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23220" w:type="dxa"/>
        <w:tblInd w:w="-455" w:type="dxa"/>
        <w:tblLayout w:type="fixed"/>
        <w:tblLook w:val="04A0" w:firstRow="1" w:lastRow="0" w:firstColumn="1" w:lastColumn="0" w:noHBand="0" w:noVBand="1"/>
      </w:tblPr>
      <w:tblGrid>
        <w:gridCol w:w="1293"/>
        <w:gridCol w:w="954"/>
        <w:gridCol w:w="1170"/>
        <w:gridCol w:w="2070"/>
        <w:gridCol w:w="1080"/>
        <w:gridCol w:w="2072"/>
        <w:gridCol w:w="1170"/>
        <w:gridCol w:w="2072"/>
        <w:gridCol w:w="1080"/>
        <w:gridCol w:w="2070"/>
        <w:gridCol w:w="1170"/>
        <w:gridCol w:w="7019"/>
      </w:tblGrid>
      <w:tr w:rsidR="00FE0715" w:rsidRPr="003B1A77" w14:paraId="446EBAB2" w14:textId="77777777" w:rsidTr="008A7699">
        <w:trPr>
          <w:trHeight w:val="341"/>
        </w:trPr>
        <w:tc>
          <w:tcPr>
            <w:tcW w:w="1293" w:type="dxa"/>
            <w:vAlign w:val="bottom"/>
          </w:tcPr>
          <w:p w14:paraId="59DA79A2" w14:textId="77777777" w:rsidR="00FE0715" w:rsidRPr="003B1A77" w:rsidRDefault="00FE0715" w:rsidP="008A7699">
            <w:pPr>
              <w:rPr>
                <w:rFonts w:asciiTheme="majorBidi" w:hAnsiTheme="majorBidi" w:cstheme="majorBidi"/>
              </w:rPr>
            </w:pPr>
            <w:r>
              <w:rPr>
                <w:rFonts w:asciiTheme="majorBidi" w:hAnsiTheme="majorBidi" w:cstheme="majorBidi"/>
                <w:b/>
                <w:bCs/>
              </w:rPr>
              <w:t>S</w:t>
            </w:r>
            <w:r w:rsidRPr="003B1A77">
              <w:rPr>
                <w:rFonts w:asciiTheme="majorBidi" w:hAnsiTheme="majorBidi" w:cstheme="majorBidi"/>
                <w:b/>
                <w:bCs/>
              </w:rPr>
              <w:t>tudy ID</w:t>
            </w:r>
          </w:p>
        </w:tc>
        <w:tc>
          <w:tcPr>
            <w:tcW w:w="954" w:type="dxa"/>
            <w:vAlign w:val="bottom"/>
          </w:tcPr>
          <w:p w14:paraId="2D7919D0" w14:textId="77777777" w:rsidR="00FE0715" w:rsidRPr="003B1A77" w:rsidRDefault="00FE0715" w:rsidP="008A7699">
            <w:pPr>
              <w:rPr>
                <w:rFonts w:asciiTheme="majorBidi" w:hAnsiTheme="majorBidi" w:cstheme="majorBidi"/>
              </w:rPr>
            </w:pPr>
            <w:r w:rsidRPr="003B1A77">
              <w:rPr>
                <w:rFonts w:asciiTheme="majorBidi" w:hAnsiTheme="majorBidi" w:cstheme="majorBidi"/>
                <w:b/>
                <w:bCs/>
              </w:rPr>
              <w:t>Design</w:t>
            </w:r>
          </w:p>
        </w:tc>
        <w:tc>
          <w:tcPr>
            <w:tcW w:w="1170" w:type="dxa"/>
            <w:vAlign w:val="bottom"/>
          </w:tcPr>
          <w:p w14:paraId="19E011DD" w14:textId="77777777" w:rsidR="00FE0715" w:rsidRPr="003B1A77" w:rsidRDefault="00FE0715" w:rsidP="008A7699">
            <w:pPr>
              <w:rPr>
                <w:rFonts w:asciiTheme="majorBidi" w:hAnsiTheme="majorBidi" w:cstheme="majorBidi"/>
              </w:rPr>
            </w:pPr>
            <w:r>
              <w:rPr>
                <w:rFonts w:asciiTheme="majorBidi" w:hAnsiTheme="majorBidi" w:cstheme="majorBidi"/>
                <w:b/>
                <w:bCs/>
              </w:rPr>
              <w:t>C</w:t>
            </w:r>
            <w:r w:rsidRPr="003B1A77">
              <w:rPr>
                <w:rFonts w:asciiTheme="majorBidi" w:hAnsiTheme="majorBidi" w:cstheme="majorBidi"/>
                <w:b/>
                <w:bCs/>
              </w:rPr>
              <w:t xml:space="preserve">ountry </w:t>
            </w:r>
          </w:p>
        </w:tc>
        <w:tc>
          <w:tcPr>
            <w:tcW w:w="3150" w:type="dxa"/>
            <w:gridSpan w:val="2"/>
            <w:vAlign w:val="bottom"/>
          </w:tcPr>
          <w:p w14:paraId="441A01D5" w14:textId="77777777" w:rsidR="00FE0715" w:rsidRPr="003B1A77" w:rsidRDefault="00FE0715" w:rsidP="008A7699">
            <w:pPr>
              <w:rPr>
                <w:rFonts w:asciiTheme="majorBidi" w:hAnsiTheme="majorBidi" w:cstheme="majorBidi"/>
              </w:rPr>
            </w:pPr>
            <w:r>
              <w:rPr>
                <w:rFonts w:asciiTheme="majorBidi" w:hAnsiTheme="majorBidi" w:cstheme="majorBidi"/>
                <w:b/>
                <w:bCs/>
              </w:rPr>
              <w:t>S</w:t>
            </w:r>
            <w:r w:rsidRPr="003B1A77">
              <w:rPr>
                <w:rFonts w:asciiTheme="majorBidi" w:hAnsiTheme="majorBidi" w:cstheme="majorBidi"/>
                <w:b/>
                <w:bCs/>
              </w:rPr>
              <w:t>ample size</w:t>
            </w:r>
          </w:p>
        </w:tc>
        <w:tc>
          <w:tcPr>
            <w:tcW w:w="3242" w:type="dxa"/>
            <w:gridSpan w:val="2"/>
            <w:vAlign w:val="bottom"/>
          </w:tcPr>
          <w:p w14:paraId="34C52B36" w14:textId="77777777" w:rsidR="00FE0715" w:rsidRPr="003B1A77" w:rsidRDefault="00FE0715" w:rsidP="008A7699">
            <w:pPr>
              <w:rPr>
                <w:rFonts w:asciiTheme="majorBidi" w:hAnsiTheme="majorBidi" w:cstheme="majorBidi"/>
              </w:rPr>
            </w:pPr>
            <w:r w:rsidRPr="003B1A77">
              <w:rPr>
                <w:rFonts w:asciiTheme="majorBidi" w:hAnsiTheme="majorBidi" w:cstheme="majorBidi"/>
                <w:b/>
                <w:bCs/>
              </w:rPr>
              <w:t>Age, Year (SD)</w:t>
            </w:r>
          </w:p>
        </w:tc>
        <w:tc>
          <w:tcPr>
            <w:tcW w:w="3152" w:type="dxa"/>
            <w:gridSpan w:val="2"/>
            <w:vAlign w:val="bottom"/>
          </w:tcPr>
          <w:p w14:paraId="0B178080" w14:textId="77777777" w:rsidR="00FE0715" w:rsidRPr="003B1A77" w:rsidRDefault="00FE0715" w:rsidP="008A7699">
            <w:pPr>
              <w:rPr>
                <w:rFonts w:asciiTheme="majorBidi" w:hAnsiTheme="majorBidi" w:cstheme="majorBidi"/>
              </w:rPr>
            </w:pPr>
            <w:r w:rsidRPr="003B1A77">
              <w:rPr>
                <w:rFonts w:asciiTheme="majorBidi" w:hAnsiTheme="majorBidi" w:cstheme="majorBidi"/>
                <w:b/>
                <w:bCs/>
              </w:rPr>
              <w:t>weight Kg</w:t>
            </w:r>
            <w:r>
              <w:rPr>
                <w:rFonts w:asciiTheme="majorBidi" w:hAnsiTheme="majorBidi" w:cstheme="majorBidi"/>
                <w:b/>
                <w:bCs/>
              </w:rPr>
              <w:t xml:space="preserve"> (</w:t>
            </w:r>
            <w:r w:rsidRPr="003B1A77">
              <w:rPr>
                <w:rFonts w:asciiTheme="majorBidi" w:hAnsiTheme="majorBidi" w:cstheme="majorBidi"/>
                <w:b/>
                <w:bCs/>
              </w:rPr>
              <w:t>Mean</w:t>
            </w:r>
            <w:r w:rsidRPr="003B1A77">
              <w:rPr>
                <w:rFonts w:asciiTheme="majorBidi" w:hAnsiTheme="majorBidi" w:cstheme="majorBidi"/>
              </w:rPr>
              <w:t>±</w:t>
            </w:r>
            <w:r w:rsidRPr="003B1A77">
              <w:rPr>
                <w:rFonts w:asciiTheme="majorBidi" w:hAnsiTheme="majorBidi" w:cstheme="majorBidi"/>
                <w:b/>
                <w:bCs/>
              </w:rPr>
              <w:t xml:space="preserve"> SD</w:t>
            </w:r>
            <w:r>
              <w:rPr>
                <w:rFonts w:asciiTheme="majorBidi" w:hAnsiTheme="majorBidi" w:cstheme="majorBidi"/>
                <w:b/>
                <w:bCs/>
              </w:rPr>
              <w:t>)</w:t>
            </w:r>
          </w:p>
        </w:tc>
        <w:tc>
          <w:tcPr>
            <w:tcW w:w="3240" w:type="dxa"/>
            <w:gridSpan w:val="2"/>
            <w:vAlign w:val="bottom"/>
          </w:tcPr>
          <w:p w14:paraId="1FA965B9" w14:textId="77777777" w:rsidR="00FE0715" w:rsidRPr="003B1A77" w:rsidRDefault="00FE0715" w:rsidP="008A7699">
            <w:pPr>
              <w:rPr>
                <w:rFonts w:asciiTheme="majorBidi" w:hAnsiTheme="majorBidi" w:cstheme="majorBidi"/>
              </w:rPr>
            </w:pPr>
            <w:r w:rsidRPr="003B1A77">
              <w:rPr>
                <w:rFonts w:asciiTheme="majorBidi" w:hAnsiTheme="majorBidi" w:cstheme="majorBidi"/>
                <w:b/>
                <w:bCs/>
              </w:rPr>
              <w:t>Sex (Male/ Female)</w:t>
            </w:r>
          </w:p>
        </w:tc>
        <w:tc>
          <w:tcPr>
            <w:tcW w:w="7019" w:type="dxa"/>
            <w:vAlign w:val="bottom"/>
          </w:tcPr>
          <w:p w14:paraId="40B03F07" w14:textId="77777777" w:rsidR="00FE0715" w:rsidRPr="003B1A77" w:rsidRDefault="00FE0715" w:rsidP="008A7699">
            <w:pPr>
              <w:rPr>
                <w:rFonts w:asciiTheme="majorBidi" w:hAnsiTheme="majorBidi" w:cstheme="majorBidi"/>
              </w:rPr>
            </w:pPr>
            <w:r>
              <w:rPr>
                <w:rFonts w:asciiTheme="majorBidi" w:hAnsiTheme="majorBidi" w:cstheme="majorBidi"/>
                <w:b/>
                <w:bCs/>
              </w:rPr>
              <w:t>M</w:t>
            </w:r>
            <w:r w:rsidRPr="003B1A77">
              <w:rPr>
                <w:rFonts w:asciiTheme="majorBidi" w:hAnsiTheme="majorBidi" w:cstheme="majorBidi"/>
                <w:b/>
                <w:bCs/>
              </w:rPr>
              <w:t>ain findings</w:t>
            </w:r>
          </w:p>
        </w:tc>
      </w:tr>
      <w:tr w:rsidR="00FE0715" w:rsidRPr="003B1A77" w14:paraId="158E4E7B" w14:textId="77777777" w:rsidTr="008A7699">
        <w:trPr>
          <w:trHeight w:val="692"/>
        </w:trPr>
        <w:tc>
          <w:tcPr>
            <w:tcW w:w="1293" w:type="dxa"/>
          </w:tcPr>
          <w:p w14:paraId="66FD1F9F" w14:textId="77777777" w:rsidR="00FE0715" w:rsidRPr="003B1A77" w:rsidRDefault="00FE0715" w:rsidP="008A7699">
            <w:pPr>
              <w:rPr>
                <w:rFonts w:asciiTheme="majorBidi" w:hAnsiTheme="majorBidi" w:cstheme="majorBidi"/>
              </w:rPr>
            </w:pPr>
          </w:p>
        </w:tc>
        <w:tc>
          <w:tcPr>
            <w:tcW w:w="954" w:type="dxa"/>
          </w:tcPr>
          <w:p w14:paraId="17B2F240" w14:textId="77777777" w:rsidR="00FE0715" w:rsidRPr="003B1A77" w:rsidRDefault="00FE0715" w:rsidP="008A7699">
            <w:pPr>
              <w:rPr>
                <w:rFonts w:asciiTheme="majorBidi" w:hAnsiTheme="majorBidi" w:cstheme="majorBidi"/>
              </w:rPr>
            </w:pPr>
          </w:p>
        </w:tc>
        <w:tc>
          <w:tcPr>
            <w:tcW w:w="1170" w:type="dxa"/>
          </w:tcPr>
          <w:p w14:paraId="470452C6" w14:textId="77777777" w:rsidR="00FE0715" w:rsidRPr="003B1A77" w:rsidRDefault="00FE0715" w:rsidP="008A7699">
            <w:pPr>
              <w:rPr>
                <w:rFonts w:asciiTheme="majorBidi" w:hAnsiTheme="majorBidi" w:cstheme="majorBidi"/>
              </w:rPr>
            </w:pPr>
          </w:p>
        </w:tc>
        <w:tc>
          <w:tcPr>
            <w:tcW w:w="2070" w:type="dxa"/>
            <w:vAlign w:val="bottom"/>
          </w:tcPr>
          <w:p w14:paraId="0BE84163" w14:textId="77777777" w:rsidR="00FE0715" w:rsidRPr="003B1A77" w:rsidRDefault="00FE0715" w:rsidP="008A7699">
            <w:pPr>
              <w:rPr>
                <w:rFonts w:asciiTheme="majorBidi" w:hAnsiTheme="majorBidi" w:cstheme="majorBidi"/>
              </w:rPr>
            </w:pPr>
            <w:r w:rsidRPr="003B1A77">
              <w:rPr>
                <w:rFonts w:asciiTheme="majorBidi" w:hAnsiTheme="majorBidi" w:cstheme="majorBidi"/>
                <w:b/>
                <w:bCs/>
              </w:rPr>
              <w:t>Dexmedetomidine</w:t>
            </w:r>
          </w:p>
        </w:tc>
        <w:tc>
          <w:tcPr>
            <w:tcW w:w="1080" w:type="dxa"/>
            <w:vAlign w:val="bottom"/>
          </w:tcPr>
          <w:p w14:paraId="68212311" w14:textId="77777777" w:rsidR="00FE0715" w:rsidRPr="003B1A77" w:rsidRDefault="00FE0715" w:rsidP="008A7699">
            <w:pPr>
              <w:rPr>
                <w:rFonts w:asciiTheme="majorBidi" w:hAnsiTheme="majorBidi" w:cstheme="majorBidi"/>
              </w:rPr>
            </w:pPr>
            <w:r w:rsidRPr="003B1A77">
              <w:rPr>
                <w:rFonts w:asciiTheme="majorBidi" w:hAnsiTheme="majorBidi" w:cstheme="majorBidi"/>
                <w:b/>
                <w:bCs/>
              </w:rPr>
              <w:t>Placebo</w:t>
            </w:r>
          </w:p>
        </w:tc>
        <w:tc>
          <w:tcPr>
            <w:tcW w:w="2072" w:type="dxa"/>
            <w:vAlign w:val="bottom"/>
          </w:tcPr>
          <w:p w14:paraId="5A4B348A" w14:textId="77777777" w:rsidR="00FE0715" w:rsidRPr="003B1A77" w:rsidRDefault="00FE0715" w:rsidP="008A7699">
            <w:pPr>
              <w:rPr>
                <w:rFonts w:asciiTheme="majorBidi" w:hAnsiTheme="majorBidi" w:cstheme="majorBidi"/>
              </w:rPr>
            </w:pPr>
            <w:r w:rsidRPr="003B1A77">
              <w:rPr>
                <w:rFonts w:asciiTheme="majorBidi" w:hAnsiTheme="majorBidi" w:cstheme="majorBidi"/>
                <w:b/>
                <w:bCs/>
              </w:rPr>
              <w:t>Dexmedetomidine</w:t>
            </w:r>
          </w:p>
        </w:tc>
        <w:tc>
          <w:tcPr>
            <w:tcW w:w="1170" w:type="dxa"/>
            <w:vAlign w:val="bottom"/>
          </w:tcPr>
          <w:p w14:paraId="122B8B85" w14:textId="77777777" w:rsidR="00FE0715" w:rsidRPr="003B1A77" w:rsidRDefault="00FE0715" w:rsidP="008A7699">
            <w:pPr>
              <w:rPr>
                <w:rFonts w:asciiTheme="majorBidi" w:hAnsiTheme="majorBidi" w:cstheme="majorBidi"/>
              </w:rPr>
            </w:pPr>
            <w:r w:rsidRPr="003B1A77">
              <w:rPr>
                <w:rFonts w:asciiTheme="majorBidi" w:hAnsiTheme="majorBidi" w:cstheme="majorBidi"/>
                <w:b/>
                <w:bCs/>
              </w:rPr>
              <w:t>Placebo</w:t>
            </w:r>
          </w:p>
        </w:tc>
        <w:tc>
          <w:tcPr>
            <w:tcW w:w="2072" w:type="dxa"/>
            <w:vAlign w:val="bottom"/>
          </w:tcPr>
          <w:p w14:paraId="2B942AAF" w14:textId="77777777" w:rsidR="00FE0715" w:rsidRPr="003B1A77" w:rsidRDefault="00FE0715" w:rsidP="008A7699">
            <w:pPr>
              <w:rPr>
                <w:rFonts w:asciiTheme="majorBidi" w:hAnsiTheme="majorBidi" w:cstheme="majorBidi"/>
              </w:rPr>
            </w:pPr>
            <w:r w:rsidRPr="003B1A77">
              <w:rPr>
                <w:rFonts w:asciiTheme="majorBidi" w:hAnsiTheme="majorBidi" w:cstheme="majorBidi"/>
                <w:b/>
                <w:bCs/>
              </w:rPr>
              <w:t>Dexmedetomidine</w:t>
            </w:r>
          </w:p>
        </w:tc>
        <w:tc>
          <w:tcPr>
            <w:tcW w:w="1080" w:type="dxa"/>
            <w:vAlign w:val="bottom"/>
          </w:tcPr>
          <w:p w14:paraId="6E364C58" w14:textId="77777777" w:rsidR="00FE0715" w:rsidRPr="003B1A77" w:rsidRDefault="00FE0715" w:rsidP="008A7699">
            <w:pPr>
              <w:rPr>
                <w:rFonts w:asciiTheme="majorBidi" w:hAnsiTheme="majorBidi" w:cstheme="majorBidi"/>
              </w:rPr>
            </w:pPr>
            <w:r w:rsidRPr="003B1A77">
              <w:rPr>
                <w:rFonts w:asciiTheme="majorBidi" w:hAnsiTheme="majorBidi" w:cstheme="majorBidi"/>
                <w:b/>
                <w:bCs/>
              </w:rPr>
              <w:t>Placebo</w:t>
            </w:r>
          </w:p>
        </w:tc>
        <w:tc>
          <w:tcPr>
            <w:tcW w:w="2070" w:type="dxa"/>
            <w:vAlign w:val="bottom"/>
          </w:tcPr>
          <w:p w14:paraId="341BC4D4" w14:textId="77777777" w:rsidR="00FE0715" w:rsidRPr="003B1A77" w:rsidRDefault="00FE0715" w:rsidP="008A7699">
            <w:pPr>
              <w:rPr>
                <w:rFonts w:asciiTheme="majorBidi" w:hAnsiTheme="majorBidi" w:cstheme="majorBidi"/>
              </w:rPr>
            </w:pPr>
            <w:r w:rsidRPr="003B1A77">
              <w:rPr>
                <w:rFonts w:asciiTheme="majorBidi" w:hAnsiTheme="majorBidi" w:cstheme="majorBidi"/>
                <w:b/>
                <w:bCs/>
              </w:rPr>
              <w:t>Dexmedetomidine</w:t>
            </w:r>
          </w:p>
        </w:tc>
        <w:tc>
          <w:tcPr>
            <w:tcW w:w="1170" w:type="dxa"/>
            <w:vAlign w:val="bottom"/>
          </w:tcPr>
          <w:p w14:paraId="285AD268" w14:textId="77777777" w:rsidR="00FE0715" w:rsidRPr="003B1A77" w:rsidRDefault="00FE0715" w:rsidP="008A7699">
            <w:pPr>
              <w:rPr>
                <w:rFonts w:asciiTheme="majorBidi" w:hAnsiTheme="majorBidi" w:cstheme="majorBidi"/>
              </w:rPr>
            </w:pPr>
            <w:r w:rsidRPr="003B1A77">
              <w:rPr>
                <w:rFonts w:asciiTheme="majorBidi" w:hAnsiTheme="majorBidi" w:cstheme="majorBidi"/>
                <w:b/>
                <w:bCs/>
              </w:rPr>
              <w:t>Placebo</w:t>
            </w:r>
          </w:p>
        </w:tc>
        <w:tc>
          <w:tcPr>
            <w:tcW w:w="7019" w:type="dxa"/>
          </w:tcPr>
          <w:p w14:paraId="3F46AE02" w14:textId="77777777" w:rsidR="00FE0715" w:rsidRPr="003B1A77" w:rsidRDefault="00FE0715" w:rsidP="008A7699">
            <w:pPr>
              <w:rPr>
                <w:rFonts w:asciiTheme="majorBidi" w:hAnsiTheme="majorBidi" w:cstheme="majorBidi"/>
              </w:rPr>
            </w:pPr>
          </w:p>
        </w:tc>
      </w:tr>
      <w:tr w:rsidR="00FE0715" w:rsidRPr="003B1A77" w14:paraId="02F00D35" w14:textId="77777777" w:rsidTr="008A7699">
        <w:tc>
          <w:tcPr>
            <w:tcW w:w="1293" w:type="dxa"/>
            <w:vAlign w:val="bottom"/>
          </w:tcPr>
          <w:p w14:paraId="0F6590AA" w14:textId="77777777" w:rsidR="00FE0715" w:rsidRPr="003B1A77" w:rsidRDefault="00FE0715" w:rsidP="008A7699">
            <w:pPr>
              <w:rPr>
                <w:rFonts w:asciiTheme="majorBidi" w:hAnsiTheme="majorBidi" w:cstheme="majorBidi"/>
              </w:rPr>
            </w:pPr>
            <w:r w:rsidRPr="003B1A77">
              <w:rPr>
                <w:rFonts w:asciiTheme="majorBidi" w:hAnsiTheme="majorBidi" w:cstheme="majorBidi"/>
              </w:rPr>
              <w:t>Arefiev 2020</w:t>
            </w:r>
            <w:hyperlink r:id="rId4" w:history="1">
              <w:r>
                <w:rPr>
                  <w:rFonts w:ascii="Times New Roman" w:eastAsia="Times New Roman" w:hAnsi="Times New Roman" w:cs="Times New Roman"/>
                </w:rPr>
                <w:t>(27)</w:t>
              </w:r>
            </w:hyperlink>
          </w:p>
        </w:tc>
        <w:tc>
          <w:tcPr>
            <w:tcW w:w="954" w:type="dxa"/>
            <w:vAlign w:val="bottom"/>
          </w:tcPr>
          <w:p w14:paraId="466B8447" w14:textId="77777777" w:rsidR="00FE0715" w:rsidRPr="003B1A77" w:rsidRDefault="00FE0715" w:rsidP="008A7699">
            <w:pPr>
              <w:rPr>
                <w:rFonts w:asciiTheme="majorBidi" w:hAnsiTheme="majorBidi" w:cstheme="majorBidi"/>
              </w:rPr>
            </w:pPr>
            <w:r w:rsidRPr="003B1A77">
              <w:rPr>
                <w:rFonts w:asciiTheme="majorBidi" w:hAnsiTheme="majorBidi" w:cstheme="majorBidi"/>
              </w:rPr>
              <w:t>RCT</w:t>
            </w:r>
          </w:p>
        </w:tc>
        <w:tc>
          <w:tcPr>
            <w:tcW w:w="1170" w:type="dxa"/>
            <w:vAlign w:val="bottom"/>
          </w:tcPr>
          <w:p w14:paraId="25BE6C50" w14:textId="77777777" w:rsidR="00FE0715" w:rsidRPr="003B1A77" w:rsidRDefault="00FE0715" w:rsidP="008A7699">
            <w:pPr>
              <w:rPr>
                <w:rFonts w:asciiTheme="majorBidi" w:hAnsiTheme="majorBidi" w:cstheme="majorBidi"/>
              </w:rPr>
            </w:pPr>
            <w:r w:rsidRPr="003B1A77">
              <w:rPr>
                <w:rFonts w:asciiTheme="majorBidi" w:hAnsiTheme="majorBidi" w:cstheme="majorBidi"/>
              </w:rPr>
              <w:t>Russia</w:t>
            </w:r>
          </w:p>
        </w:tc>
        <w:tc>
          <w:tcPr>
            <w:tcW w:w="2070" w:type="dxa"/>
            <w:vAlign w:val="bottom"/>
          </w:tcPr>
          <w:p w14:paraId="154E0EB5" w14:textId="77777777" w:rsidR="00FE0715" w:rsidRPr="003B1A77" w:rsidRDefault="00FE0715" w:rsidP="008A7699">
            <w:pPr>
              <w:rPr>
                <w:rFonts w:asciiTheme="majorBidi" w:hAnsiTheme="majorBidi" w:cstheme="majorBidi"/>
              </w:rPr>
            </w:pPr>
            <w:r w:rsidRPr="003B1A77">
              <w:rPr>
                <w:rFonts w:asciiTheme="majorBidi" w:hAnsiTheme="majorBidi" w:cstheme="majorBidi"/>
              </w:rPr>
              <w:t>20</w:t>
            </w:r>
          </w:p>
        </w:tc>
        <w:tc>
          <w:tcPr>
            <w:tcW w:w="1080" w:type="dxa"/>
            <w:vAlign w:val="bottom"/>
          </w:tcPr>
          <w:p w14:paraId="6E9700D4" w14:textId="77777777" w:rsidR="00FE0715" w:rsidRPr="003B1A77" w:rsidRDefault="00FE0715" w:rsidP="008A7699">
            <w:pPr>
              <w:rPr>
                <w:rFonts w:asciiTheme="majorBidi" w:hAnsiTheme="majorBidi" w:cstheme="majorBidi"/>
              </w:rPr>
            </w:pPr>
            <w:r w:rsidRPr="003B1A77">
              <w:rPr>
                <w:rFonts w:asciiTheme="majorBidi" w:hAnsiTheme="majorBidi" w:cstheme="majorBidi"/>
              </w:rPr>
              <w:t>20</w:t>
            </w:r>
          </w:p>
        </w:tc>
        <w:tc>
          <w:tcPr>
            <w:tcW w:w="2072" w:type="dxa"/>
            <w:vAlign w:val="bottom"/>
          </w:tcPr>
          <w:p w14:paraId="3207C55E" w14:textId="77777777" w:rsidR="00FE0715" w:rsidRPr="003B1A77" w:rsidRDefault="00FE0715" w:rsidP="008A7699">
            <w:pPr>
              <w:rPr>
                <w:rFonts w:asciiTheme="majorBidi" w:hAnsiTheme="majorBidi" w:cstheme="majorBidi"/>
              </w:rPr>
            </w:pPr>
            <w:r w:rsidRPr="003B1A77">
              <w:rPr>
                <w:rFonts w:asciiTheme="majorBidi" w:hAnsiTheme="majorBidi" w:cstheme="majorBidi"/>
              </w:rPr>
              <w:t>53.5 (12.2)</w:t>
            </w:r>
          </w:p>
        </w:tc>
        <w:tc>
          <w:tcPr>
            <w:tcW w:w="1170" w:type="dxa"/>
            <w:vAlign w:val="bottom"/>
          </w:tcPr>
          <w:p w14:paraId="6F2B86D4" w14:textId="77777777" w:rsidR="00FE0715" w:rsidRPr="003B1A77" w:rsidRDefault="00FE0715" w:rsidP="008A7699">
            <w:pPr>
              <w:rPr>
                <w:rFonts w:asciiTheme="majorBidi" w:hAnsiTheme="majorBidi" w:cstheme="majorBidi"/>
              </w:rPr>
            </w:pPr>
            <w:r w:rsidRPr="003B1A77">
              <w:rPr>
                <w:rFonts w:asciiTheme="majorBidi" w:hAnsiTheme="majorBidi" w:cstheme="majorBidi"/>
                <w:color w:val="1F1F1F"/>
              </w:rPr>
              <w:t>53.1 (9.3)</w:t>
            </w:r>
          </w:p>
        </w:tc>
        <w:tc>
          <w:tcPr>
            <w:tcW w:w="2072" w:type="dxa"/>
            <w:vAlign w:val="bottom"/>
          </w:tcPr>
          <w:p w14:paraId="73E0717E" w14:textId="77777777" w:rsidR="00FE0715" w:rsidRPr="003B1A77" w:rsidRDefault="00FE0715" w:rsidP="008A7699">
            <w:pPr>
              <w:rPr>
                <w:rFonts w:asciiTheme="majorBidi" w:hAnsiTheme="majorBidi" w:cstheme="majorBidi"/>
              </w:rPr>
            </w:pPr>
            <w:r w:rsidRPr="003B1A77">
              <w:rPr>
                <w:rFonts w:asciiTheme="majorBidi" w:hAnsiTheme="majorBidi" w:cstheme="majorBidi"/>
              </w:rPr>
              <w:t>NR</w:t>
            </w:r>
          </w:p>
        </w:tc>
        <w:tc>
          <w:tcPr>
            <w:tcW w:w="1080" w:type="dxa"/>
            <w:vAlign w:val="bottom"/>
          </w:tcPr>
          <w:p w14:paraId="046EDFFE" w14:textId="77777777" w:rsidR="00FE0715" w:rsidRPr="003B1A77" w:rsidRDefault="00FE0715" w:rsidP="008A7699">
            <w:pPr>
              <w:rPr>
                <w:rFonts w:asciiTheme="majorBidi" w:hAnsiTheme="majorBidi" w:cstheme="majorBidi"/>
              </w:rPr>
            </w:pPr>
            <w:r w:rsidRPr="003B1A77">
              <w:rPr>
                <w:rFonts w:asciiTheme="majorBidi" w:hAnsiTheme="majorBidi" w:cstheme="majorBidi"/>
              </w:rPr>
              <w:t>NR</w:t>
            </w:r>
          </w:p>
        </w:tc>
        <w:tc>
          <w:tcPr>
            <w:tcW w:w="2070" w:type="dxa"/>
            <w:vAlign w:val="bottom"/>
          </w:tcPr>
          <w:p w14:paraId="2C93D86F" w14:textId="77777777" w:rsidR="00FE0715" w:rsidRPr="003B1A77" w:rsidRDefault="00FE0715" w:rsidP="008A7699">
            <w:pPr>
              <w:rPr>
                <w:rFonts w:asciiTheme="majorBidi" w:hAnsiTheme="majorBidi" w:cstheme="majorBidi"/>
              </w:rPr>
            </w:pPr>
            <w:r w:rsidRPr="003B1A77">
              <w:rPr>
                <w:rFonts w:asciiTheme="majorBidi" w:hAnsiTheme="majorBidi" w:cstheme="majorBidi"/>
              </w:rPr>
              <w:t>9/11</w:t>
            </w:r>
          </w:p>
        </w:tc>
        <w:tc>
          <w:tcPr>
            <w:tcW w:w="1170" w:type="dxa"/>
            <w:vAlign w:val="bottom"/>
          </w:tcPr>
          <w:p w14:paraId="3EE2E6E7" w14:textId="77777777" w:rsidR="00FE0715" w:rsidRPr="003B1A77" w:rsidRDefault="00FE0715" w:rsidP="008A7699">
            <w:pPr>
              <w:rPr>
                <w:rFonts w:asciiTheme="majorBidi" w:hAnsiTheme="majorBidi" w:cstheme="majorBidi"/>
              </w:rPr>
            </w:pPr>
            <w:r w:rsidRPr="003B1A77">
              <w:rPr>
                <w:rFonts w:asciiTheme="majorBidi" w:hAnsiTheme="majorBidi" w:cstheme="majorBidi"/>
              </w:rPr>
              <w:t>10/10</w:t>
            </w:r>
          </w:p>
        </w:tc>
        <w:tc>
          <w:tcPr>
            <w:tcW w:w="7019" w:type="dxa"/>
            <w:vAlign w:val="bottom"/>
          </w:tcPr>
          <w:p w14:paraId="21C0F7D3" w14:textId="77777777" w:rsidR="00FE0715" w:rsidRPr="003B1A77" w:rsidRDefault="00FE0715" w:rsidP="008A7699">
            <w:pPr>
              <w:rPr>
                <w:rFonts w:asciiTheme="majorBidi" w:hAnsiTheme="majorBidi" w:cstheme="majorBidi"/>
              </w:rPr>
            </w:pPr>
            <w:r w:rsidRPr="003B1A77">
              <w:rPr>
                <w:rFonts w:asciiTheme="majorBidi" w:hAnsiTheme="majorBidi" w:cstheme="majorBidi"/>
              </w:rPr>
              <w:t>dexmedetomidine should be more widely utilized in routine clinical practice to optimize anesthetic management of transsphenoidal surgeries</w:t>
            </w:r>
          </w:p>
        </w:tc>
      </w:tr>
      <w:tr w:rsidR="00FE0715" w:rsidRPr="003B1A77" w14:paraId="595732D5" w14:textId="77777777" w:rsidTr="008A7699">
        <w:tc>
          <w:tcPr>
            <w:tcW w:w="1293" w:type="dxa"/>
            <w:vAlign w:val="bottom"/>
          </w:tcPr>
          <w:p w14:paraId="4E375C88" w14:textId="77777777" w:rsidR="00FE0715" w:rsidRPr="003B1A77" w:rsidRDefault="00FE0715" w:rsidP="008A7699">
            <w:pPr>
              <w:rPr>
                <w:rFonts w:asciiTheme="majorBidi" w:hAnsiTheme="majorBidi" w:cstheme="majorBidi"/>
              </w:rPr>
            </w:pPr>
            <w:r w:rsidRPr="003B1A77">
              <w:rPr>
                <w:rFonts w:asciiTheme="majorBidi" w:hAnsiTheme="majorBidi" w:cstheme="majorBidi"/>
              </w:rPr>
              <w:t>Bala 2019</w:t>
            </w:r>
            <w:hyperlink r:id="rId5" w:history="1">
              <w:r>
                <w:rPr>
                  <w:rFonts w:ascii="Times New Roman" w:eastAsia="Times New Roman" w:hAnsi="Times New Roman" w:cs="Times New Roman"/>
                </w:rPr>
                <w:t>(28)</w:t>
              </w:r>
            </w:hyperlink>
          </w:p>
        </w:tc>
        <w:tc>
          <w:tcPr>
            <w:tcW w:w="954" w:type="dxa"/>
            <w:vAlign w:val="bottom"/>
          </w:tcPr>
          <w:p w14:paraId="3CE5A2AD" w14:textId="77777777" w:rsidR="00FE0715" w:rsidRPr="003B1A77" w:rsidRDefault="00FE0715" w:rsidP="008A7699">
            <w:pPr>
              <w:rPr>
                <w:rFonts w:asciiTheme="majorBidi" w:hAnsiTheme="majorBidi" w:cstheme="majorBidi"/>
              </w:rPr>
            </w:pPr>
            <w:r w:rsidRPr="003B1A77">
              <w:rPr>
                <w:rFonts w:asciiTheme="majorBidi" w:hAnsiTheme="majorBidi" w:cstheme="majorBidi"/>
              </w:rPr>
              <w:t>RCT</w:t>
            </w:r>
          </w:p>
        </w:tc>
        <w:tc>
          <w:tcPr>
            <w:tcW w:w="1170" w:type="dxa"/>
            <w:vAlign w:val="bottom"/>
          </w:tcPr>
          <w:p w14:paraId="509EAC73" w14:textId="77777777" w:rsidR="00FE0715" w:rsidRPr="003B1A77" w:rsidRDefault="00FE0715" w:rsidP="008A7699">
            <w:pPr>
              <w:rPr>
                <w:rFonts w:asciiTheme="majorBidi" w:hAnsiTheme="majorBidi" w:cstheme="majorBidi"/>
              </w:rPr>
            </w:pPr>
            <w:r w:rsidRPr="003B1A77">
              <w:rPr>
                <w:rFonts w:asciiTheme="majorBidi" w:hAnsiTheme="majorBidi" w:cstheme="majorBidi"/>
              </w:rPr>
              <w:t>India</w:t>
            </w:r>
          </w:p>
        </w:tc>
        <w:tc>
          <w:tcPr>
            <w:tcW w:w="2070" w:type="dxa"/>
            <w:vAlign w:val="bottom"/>
          </w:tcPr>
          <w:p w14:paraId="724A9D4D" w14:textId="77777777" w:rsidR="00FE0715" w:rsidRPr="003B1A77" w:rsidRDefault="00FE0715" w:rsidP="008A7699">
            <w:pPr>
              <w:rPr>
                <w:rFonts w:asciiTheme="majorBidi" w:hAnsiTheme="majorBidi" w:cstheme="majorBidi"/>
              </w:rPr>
            </w:pPr>
            <w:r w:rsidRPr="003B1A77">
              <w:rPr>
                <w:rFonts w:asciiTheme="majorBidi" w:hAnsiTheme="majorBidi" w:cstheme="majorBidi"/>
              </w:rPr>
              <w:t>30</w:t>
            </w:r>
          </w:p>
        </w:tc>
        <w:tc>
          <w:tcPr>
            <w:tcW w:w="1080" w:type="dxa"/>
            <w:vAlign w:val="bottom"/>
          </w:tcPr>
          <w:p w14:paraId="338197E6" w14:textId="77777777" w:rsidR="00FE0715" w:rsidRPr="003B1A77" w:rsidRDefault="00FE0715" w:rsidP="008A7699">
            <w:pPr>
              <w:rPr>
                <w:rFonts w:asciiTheme="majorBidi" w:hAnsiTheme="majorBidi" w:cstheme="majorBidi"/>
              </w:rPr>
            </w:pPr>
            <w:r w:rsidRPr="003B1A77">
              <w:rPr>
                <w:rFonts w:asciiTheme="majorBidi" w:hAnsiTheme="majorBidi" w:cstheme="majorBidi"/>
              </w:rPr>
              <w:t>30</w:t>
            </w:r>
          </w:p>
        </w:tc>
        <w:tc>
          <w:tcPr>
            <w:tcW w:w="2072" w:type="dxa"/>
            <w:vAlign w:val="bottom"/>
          </w:tcPr>
          <w:p w14:paraId="0DAD0F06" w14:textId="77777777" w:rsidR="00FE0715" w:rsidRPr="003B1A77" w:rsidRDefault="00FE0715" w:rsidP="008A7699">
            <w:pPr>
              <w:rPr>
                <w:rFonts w:asciiTheme="majorBidi" w:hAnsiTheme="majorBidi" w:cstheme="majorBidi"/>
              </w:rPr>
            </w:pPr>
            <w:r w:rsidRPr="003B1A77">
              <w:rPr>
                <w:rFonts w:asciiTheme="majorBidi" w:hAnsiTheme="majorBidi" w:cstheme="majorBidi"/>
              </w:rPr>
              <w:t>37.2 ± 11.0</w:t>
            </w:r>
          </w:p>
        </w:tc>
        <w:tc>
          <w:tcPr>
            <w:tcW w:w="1170" w:type="dxa"/>
            <w:vAlign w:val="bottom"/>
          </w:tcPr>
          <w:p w14:paraId="4326230F" w14:textId="77777777" w:rsidR="00FE0715" w:rsidRPr="003B1A77" w:rsidRDefault="00FE0715" w:rsidP="008A7699">
            <w:pPr>
              <w:rPr>
                <w:rFonts w:asciiTheme="majorBidi" w:hAnsiTheme="majorBidi" w:cstheme="majorBidi"/>
              </w:rPr>
            </w:pPr>
            <w:r w:rsidRPr="003B1A77">
              <w:rPr>
                <w:rFonts w:asciiTheme="majorBidi" w:hAnsiTheme="majorBidi" w:cstheme="majorBidi"/>
              </w:rPr>
              <w:t>41 ± 13.4</w:t>
            </w:r>
          </w:p>
        </w:tc>
        <w:tc>
          <w:tcPr>
            <w:tcW w:w="2072" w:type="dxa"/>
            <w:vAlign w:val="bottom"/>
          </w:tcPr>
          <w:p w14:paraId="291BD409" w14:textId="77777777" w:rsidR="00FE0715" w:rsidRPr="003B1A77" w:rsidRDefault="00FE0715" w:rsidP="008A7699">
            <w:pPr>
              <w:rPr>
                <w:rFonts w:asciiTheme="majorBidi" w:hAnsiTheme="majorBidi" w:cstheme="majorBidi"/>
              </w:rPr>
            </w:pPr>
            <w:r w:rsidRPr="003B1A77">
              <w:rPr>
                <w:rFonts w:asciiTheme="majorBidi" w:hAnsiTheme="majorBidi" w:cstheme="majorBidi"/>
              </w:rPr>
              <w:t>67.7 ± 12.5</w:t>
            </w:r>
          </w:p>
        </w:tc>
        <w:tc>
          <w:tcPr>
            <w:tcW w:w="1080" w:type="dxa"/>
            <w:vAlign w:val="bottom"/>
          </w:tcPr>
          <w:p w14:paraId="2BA23217" w14:textId="77777777" w:rsidR="00FE0715" w:rsidRPr="003B1A77" w:rsidRDefault="00FE0715" w:rsidP="008A7699">
            <w:pPr>
              <w:rPr>
                <w:rFonts w:asciiTheme="majorBidi" w:hAnsiTheme="majorBidi" w:cstheme="majorBidi"/>
              </w:rPr>
            </w:pPr>
            <w:r w:rsidRPr="003B1A77">
              <w:rPr>
                <w:rFonts w:asciiTheme="majorBidi" w:hAnsiTheme="majorBidi" w:cstheme="majorBidi"/>
              </w:rPr>
              <w:t>71.2 ± 14.8</w:t>
            </w:r>
          </w:p>
        </w:tc>
        <w:tc>
          <w:tcPr>
            <w:tcW w:w="2070" w:type="dxa"/>
            <w:vAlign w:val="bottom"/>
          </w:tcPr>
          <w:p w14:paraId="08686783" w14:textId="77777777" w:rsidR="00FE0715" w:rsidRPr="003B1A77" w:rsidRDefault="00FE0715" w:rsidP="008A7699">
            <w:pPr>
              <w:rPr>
                <w:rFonts w:asciiTheme="majorBidi" w:hAnsiTheme="majorBidi" w:cstheme="majorBidi"/>
              </w:rPr>
            </w:pPr>
            <w:r w:rsidRPr="003B1A77">
              <w:rPr>
                <w:rFonts w:asciiTheme="majorBidi" w:hAnsiTheme="majorBidi" w:cstheme="majorBidi"/>
              </w:rPr>
              <w:t>16/14</w:t>
            </w:r>
          </w:p>
        </w:tc>
        <w:tc>
          <w:tcPr>
            <w:tcW w:w="1170" w:type="dxa"/>
            <w:vAlign w:val="bottom"/>
          </w:tcPr>
          <w:p w14:paraId="2857C72F" w14:textId="77777777" w:rsidR="00FE0715" w:rsidRPr="003B1A77" w:rsidRDefault="00FE0715" w:rsidP="008A7699">
            <w:pPr>
              <w:rPr>
                <w:rFonts w:asciiTheme="majorBidi" w:hAnsiTheme="majorBidi" w:cstheme="majorBidi"/>
              </w:rPr>
            </w:pPr>
            <w:r w:rsidRPr="003B1A77">
              <w:rPr>
                <w:rFonts w:asciiTheme="majorBidi" w:hAnsiTheme="majorBidi" w:cstheme="majorBidi"/>
              </w:rPr>
              <w:t xml:space="preserve">17/13 </w:t>
            </w:r>
          </w:p>
        </w:tc>
        <w:tc>
          <w:tcPr>
            <w:tcW w:w="7019" w:type="dxa"/>
            <w:vAlign w:val="bottom"/>
          </w:tcPr>
          <w:p w14:paraId="4A813190" w14:textId="77777777" w:rsidR="00FE0715" w:rsidRPr="003B1A77" w:rsidRDefault="00FE0715" w:rsidP="008A7699">
            <w:pPr>
              <w:rPr>
                <w:rFonts w:asciiTheme="majorBidi" w:hAnsiTheme="majorBidi" w:cstheme="majorBidi"/>
              </w:rPr>
            </w:pPr>
            <w:r w:rsidRPr="003B1A77">
              <w:rPr>
                <w:rFonts w:asciiTheme="majorBidi" w:hAnsiTheme="majorBidi" w:cstheme="majorBidi"/>
              </w:rPr>
              <w:t>Intraoperative Dex infusion is a reasonable choice in patients undergoing transsphenoidal pituitary surgery.</w:t>
            </w:r>
          </w:p>
        </w:tc>
      </w:tr>
      <w:tr w:rsidR="00FE0715" w:rsidRPr="003B1A77" w14:paraId="637DF233" w14:textId="77777777" w:rsidTr="008A7699">
        <w:tc>
          <w:tcPr>
            <w:tcW w:w="1293" w:type="dxa"/>
            <w:vAlign w:val="bottom"/>
          </w:tcPr>
          <w:p w14:paraId="01460733" w14:textId="77777777" w:rsidR="00FE0715" w:rsidRPr="003B1A77" w:rsidRDefault="00FE0715" w:rsidP="008A7699">
            <w:pPr>
              <w:rPr>
                <w:rFonts w:asciiTheme="majorBidi" w:hAnsiTheme="majorBidi" w:cstheme="majorBidi"/>
              </w:rPr>
            </w:pPr>
            <w:r w:rsidRPr="003B1A77">
              <w:rPr>
                <w:rFonts w:asciiTheme="majorBidi" w:hAnsiTheme="majorBidi" w:cstheme="majorBidi"/>
              </w:rPr>
              <w:t>Choi 2024</w:t>
            </w:r>
            <w:hyperlink r:id="rId6" w:history="1">
              <w:r>
                <w:rPr>
                  <w:rFonts w:ascii="Times New Roman" w:eastAsia="Times New Roman" w:hAnsi="Times New Roman" w:cs="Times New Roman"/>
                </w:rPr>
                <w:t>(29)</w:t>
              </w:r>
            </w:hyperlink>
          </w:p>
        </w:tc>
        <w:tc>
          <w:tcPr>
            <w:tcW w:w="954" w:type="dxa"/>
            <w:vAlign w:val="bottom"/>
          </w:tcPr>
          <w:p w14:paraId="768EDFA1" w14:textId="77777777" w:rsidR="00FE0715" w:rsidRPr="003B1A77" w:rsidRDefault="00FE0715" w:rsidP="008A7699">
            <w:pPr>
              <w:rPr>
                <w:rFonts w:asciiTheme="majorBidi" w:hAnsiTheme="majorBidi" w:cstheme="majorBidi"/>
              </w:rPr>
            </w:pPr>
            <w:r w:rsidRPr="003B1A77">
              <w:rPr>
                <w:rFonts w:asciiTheme="majorBidi" w:hAnsiTheme="majorBidi" w:cstheme="majorBidi"/>
              </w:rPr>
              <w:t>RCT</w:t>
            </w:r>
          </w:p>
        </w:tc>
        <w:tc>
          <w:tcPr>
            <w:tcW w:w="1170" w:type="dxa"/>
            <w:vAlign w:val="bottom"/>
          </w:tcPr>
          <w:p w14:paraId="622614DB" w14:textId="77777777" w:rsidR="00FE0715" w:rsidRPr="003B1A77" w:rsidRDefault="00FE0715" w:rsidP="008A7699">
            <w:pPr>
              <w:rPr>
                <w:rFonts w:asciiTheme="majorBidi" w:hAnsiTheme="majorBidi" w:cstheme="majorBidi"/>
              </w:rPr>
            </w:pPr>
            <w:r w:rsidRPr="003B1A77">
              <w:rPr>
                <w:rFonts w:asciiTheme="majorBidi" w:hAnsiTheme="majorBidi" w:cstheme="majorBidi"/>
              </w:rPr>
              <w:t>South Korea</w:t>
            </w:r>
          </w:p>
        </w:tc>
        <w:tc>
          <w:tcPr>
            <w:tcW w:w="2070" w:type="dxa"/>
            <w:vAlign w:val="bottom"/>
          </w:tcPr>
          <w:p w14:paraId="69FAF431" w14:textId="77777777" w:rsidR="00FE0715" w:rsidRPr="003B1A77" w:rsidRDefault="00FE0715" w:rsidP="008A7699">
            <w:pPr>
              <w:rPr>
                <w:rFonts w:asciiTheme="majorBidi" w:hAnsiTheme="majorBidi" w:cstheme="majorBidi"/>
              </w:rPr>
            </w:pPr>
            <w:r w:rsidRPr="003B1A77">
              <w:rPr>
                <w:rFonts w:asciiTheme="majorBidi" w:hAnsiTheme="majorBidi" w:cstheme="majorBidi"/>
              </w:rPr>
              <w:t>29</w:t>
            </w:r>
          </w:p>
        </w:tc>
        <w:tc>
          <w:tcPr>
            <w:tcW w:w="1080" w:type="dxa"/>
            <w:vAlign w:val="bottom"/>
          </w:tcPr>
          <w:p w14:paraId="5B76E573" w14:textId="77777777" w:rsidR="00FE0715" w:rsidRPr="003B1A77" w:rsidRDefault="00FE0715" w:rsidP="008A7699">
            <w:pPr>
              <w:rPr>
                <w:rFonts w:asciiTheme="majorBidi" w:hAnsiTheme="majorBidi" w:cstheme="majorBidi"/>
              </w:rPr>
            </w:pPr>
            <w:r w:rsidRPr="003B1A77">
              <w:rPr>
                <w:rFonts w:asciiTheme="majorBidi" w:hAnsiTheme="majorBidi" w:cstheme="majorBidi"/>
              </w:rPr>
              <w:t>32</w:t>
            </w:r>
          </w:p>
        </w:tc>
        <w:tc>
          <w:tcPr>
            <w:tcW w:w="2072" w:type="dxa"/>
            <w:vAlign w:val="bottom"/>
          </w:tcPr>
          <w:p w14:paraId="7B4D4AF5" w14:textId="77777777" w:rsidR="00FE0715" w:rsidRPr="003B1A77" w:rsidRDefault="00FE0715" w:rsidP="008A7699">
            <w:pPr>
              <w:rPr>
                <w:rFonts w:asciiTheme="majorBidi" w:hAnsiTheme="majorBidi" w:cstheme="majorBidi"/>
              </w:rPr>
            </w:pPr>
            <w:r w:rsidRPr="003B1A77">
              <w:rPr>
                <w:rFonts w:asciiTheme="majorBidi" w:hAnsiTheme="majorBidi" w:cstheme="majorBidi"/>
              </w:rPr>
              <w:t xml:space="preserve">51.0 (40.5–59.0) </w:t>
            </w:r>
          </w:p>
        </w:tc>
        <w:tc>
          <w:tcPr>
            <w:tcW w:w="1170" w:type="dxa"/>
            <w:vAlign w:val="bottom"/>
          </w:tcPr>
          <w:p w14:paraId="5F41A591" w14:textId="77777777" w:rsidR="00FE0715" w:rsidRPr="003B1A77" w:rsidRDefault="00FE0715" w:rsidP="008A7699">
            <w:pPr>
              <w:rPr>
                <w:rFonts w:asciiTheme="majorBidi" w:hAnsiTheme="majorBidi" w:cstheme="majorBidi"/>
              </w:rPr>
            </w:pPr>
            <w:r w:rsidRPr="003B1A77">
              <w:rPr>
                <w:rFonts w:asciiTheme="majorBidi" w:hAnsiTheme="majorBidi" w:cstheme="majorBidi"/>
              </w:rPr>
              <w:t>50.0 (42.0–57.0)</w:t>
            </w:r>
          </w:p>
        </w:tc>
        <w:tc>
          <w:tcPr>
            <w:tcW w:w="2072" w:type="dxa"/>
            <w:vAlign w:val="bottom"/>
          </w:tcPr>
          <w:p w14:paraId="7479A296" w14:textId="77777777" w:rsidR="00FE0715" w:rsidRPr="003B1A77" w:rsidRDefault="00FE0715" w:rsidP="008A7699">
            <w:pPr>
              <w:rPr>
                <w:rFonts w:asciiTheme="majorBidi" w:hAnsiTheme="majorBidi" w:cstheme="majorBidi"/>
              </w:rPr>
            </w:pPr>
            <w:r w:rsidRPr="003B1A77">
              <w:rPr>
                <w:rFonts w:asciiTheme="majorBidi" w:hAnsiTheme="majorBidi" w:cstheme="majorBidi"/>
              </w:rPr>
              <w:t xml:space="preserve">65.5 (58.5–77.5) </w:t>
            </w:r>
          </w:p>
        </w:tc>
        <w:tc>
          <w:tcPr>
            <w:tcW w:w="1080" w:type="dxa"/>
            <w:vAlign w:val="bottom"/>
          </w:tcPr>
          <w:p w14:paraId="795F3872" w14:textId="77777777" w:rsidR="00FE0715" w:rsidRPr="003B1A77" w:rsidRDefault="00FE0715" w:rsidP="008A7699">
            <w:pPr>
              <w:rPr>
                <w:rFonts w:asciiTheme="majorBidi" w:hAnsiTheme="majorBidi" w:cstheme="majorBidi"/>
              </w:rPr>
            </w:pPr>
            <w:r w:rsidRPr="003B1A77">
              <w:rPr>
                <w:rFonts w:asciiTheme="majorBidi" w:hAnsiTheme="majorBidi" w:cstheme="majorBidi"/>
              </w:rPr>
              <w:t>68.0 (57.6–76.8)</w:t>
            </w:r>
          </w:p>
        </w:tc>
        <w:tc>
          <w:tcPr>
            <w:tcW w:w="2070" w:type="dxa"/>
            <w:vAlign w:val="bottom"/>
          </w:tcPr>
          <w:p w14:paraId="5505533E" w14:textId="77777777" w:rsidR="00FE0715" w:rsidRPr="003B1A77" w:rsidRDefault="00FE0715" w:rsidP="008A7699">
            <w:pPr>
              <w:rPr>
                <w:rFonts w:asciiTheme="majorBidi" w:hAnsiTheme="majorBidi" w:cstheme="majorBidi"/>
              </w:rPr>
            </w:pPr>
            <w:r w:rsidRPr="003B1A77">
              <w:rPr>
                <w:rFonts w:asciiTheme="majorBidi" w:hAnsiTheme="majorBidi" w:cstheme="majorBidi"/>
              </w:rPr>
              <w:t>13/16</w:t>
            </w:r>
          </w:p>
        </w:tc>
        <w:tc>
          <w:tcPr>
            <w:tcW w:w="1170" w:type="dxa"/>
            <w:vAlign w:val="bottom"/>
          </w:tcPr>
          <w:p w14:paraId="485745AB" w14:textId="77777777" w:rsidR="00FE0715" w:rsidRPr="003B1A77" w:rsidRDefault="00FE0715" w:rsidP="008A7699">
            <w:pPr>
              <w:rPr>
                <w:rFonts w:asciiTheme="majorBidi" w:hAnsiTheme="majorBidi" w:cstheme="majorBidi"/>
              </w:rPr>
            </w:pPr>
            <w:r w:rsidRPr="003B1A77">
              <w:rPr>
                <w:rFonts w:asciiTheme="majorBidi" w:hAnsiTheme="majorBidi" w:cstheme="majorBidi"/>
              </w:rPr>
              <w:t>17/15</w:t>
            </w:r>
          </w:p>
        </w:tc>
        <w:tc>
          <w:tcPr>
            <w:tcW w:w="7019" w:type="dxa"/>
            <w:vAlign w:val="bottom"/>
          </w:tcPr>
          <w:p w14:paraId="57188A49" w14:textId="77777777" w:rsidR="00FE0715" w:rsidRPr="003B1A77" w:rsidRDefault="00FE0715" w:rsidP="008A7699">
            <w:pPr>
              <w:rPr>
                <w:rFonts w:asciiTheme="majorBidi" w:hAnsiTheme="majorBidi" w:cstheme="majorBidi"/>
              </w:rPr>
            </w:pPr>
            <w:r w:rsidRPr="003B1A77">
              <w:rPr>
                <w:rFonts w:asciiTheme="majorBidi" w:hAnsiTheme="majorBidi" w:cstheme="majorBidi"/>
              </w:rPr>
              <w:t>Dexmedetomidine, as an anesthetic adjuvant, did not improve early postoperative QoR in patients with NFPA during ETS.</w:t>
            </w:r>
          </w:p>
        </w:tc>
      </w:tr>
      <w:tr w:rsidR="00FE0715" w:rsidRPr="003B1A77" w14:paraId="2C6A27DD" w14:textId="77777777" w:rsidTr="008A7699">
        <w:tc>
          <w:tcPr>
            <w:tcW w:w="1293" w:type="dxa"/>
            <w:vAlign w:val="bottom"/>
          </w:tcPr>
          <w:p w14:paraId="71C18D01" w14:textId="77777777" w:rsidR="00FE0715" w:rsidRPr="003B1A77" w:rsidRDefault="00FE0715" w:rsidP="008A7699">
            <w:pPr>
              <w:rPr>
                <w:rFonts w:asciiTheme="majorBidi" w:hAnsiTheme="majorBidi" w:cstheme="majorBidi"/>
              </w:rPr>
            </w:pPr>
            <w:r w:rsidRPr="003B1A77">
              <w:rPr>
                <w:rFonts w:asciiTheme="majorBidi" w:hAnsiTheme="majorBidi" w:cstheme="majorBidi"/>
              </w:rPr>
              <w:t>Gopalakrishna 2015</w:t>
            </w:r>
            <w:hyperlink r:id="rId7" w:history="1">
              <w:r>
                <w:rPr>
                  <w:rFonts w:ascii="Times New Roman" w:eastAsia="Times New Roman" w:hAnsi="Times New Roman" w:cs="Times New Roman"/>
                </w:rPr>
                <w:t>(30)</w:t>
              </w:r>
            </w:hyperlink>
          </w:p>
        </w:tc>
        <w:tc>
          <w:tcPr>
            <w:tcW w:w="954" w:type="dxa"/>
            <w:vAlign w:val="bottom"/>
          </w:tcPr>
          <w:p w14:paraId="294B5095" w14:textId="77777777" w:rsidR="00FE0715" w:rsidRPr="003B1A77" w:rsidRDefault="00FE0715" w:rsidP="008A7699">
            <w:pPr>
              <w:rPr>
                <w:rFonts w:asciiTheme="majorBidi" w:hAnsiTheme="majorBidi" w:cstheme="majorBidi"/>
              </w:rPr>
            </w:pPr>
            <w:r w:rsidRPr="003B1A77">
              <w:rPr>
                <w:rFonts w:asciiTheme="majorBidi" w:hAnsiTheme="majorBidi" w:cstheme="majorBidi"/>
              </w:rPr>
              <w:t>RCT</w:t>
            </w:r>
          </w:p>
        </w:tc>
        <w:tc>
          <w:tcPr>
            <w:tcW w:w="1170" w:type="dxa"/>
            <w:vAlign w:val="bottom"/>
          </w:tcPr>
          <w:p w14:paraId="495F294A" w14:textId="77777777" w:rsidR="00FE0715" w:rsidRPr="003B1A77" w:rsidRDefault="00FE0715" w:rsidP="008A7699">
            <w:pPr>
              <w:rPr>
                <w:rFonts w:asciiTheme="majorBidi" w:hAnsiTheme="majorBidi" w:cstheme="majorBidi"/>
              </w:rPr>
            </w:pPr>
            <w:r w:rsidRPr="003B1A77">
              <w:rPr>
                <w:rFonts w:asciiTheme="majorBidi" w:hAnsiTheme="majorBidi" w:cstheme="majorBidi"/>
              </w:rPr>
              <w:t>India</w:t>
            </w:r>
          </w:p>
        </w:tc>
        <w:tc>
          <w:tcPr>
            <w:tcW w:w="2070" w:type="dxa"/>
            <w:vAlign w:val="bottom"/>
          </w:tcPr>
          <w:p w14:paraId="62BFC875" w14:textId="77777777" w:rsidR="00FE0715" w:rsidRPr="003B1A77" w:rsidRDefault="00FE0715" w:rsidP="008A7699">
            <w:pPr>
              <w:rPr>
                <w:rFonts w:asciiTheme="majorBidi" w:hAnsiTheme="majorBidi" w:cstheme="majorBidi"/>
              </w:rPr>
            </w:pPr>
            <w:r w:rsidRPr="003B1A77">
              <w:rPr>
                <w:rFonts w:asciiTheme="majorBidi" w:hAnsiTheme="majorBidi" w:cstheme="majorBidi"/>
              </w:rPr>
              <w:t>22</w:t>
            </w:r>
          </w:p>
        </w:tc>
        <w:tc>
          <w:tcPr>
            <w:tcW w:w="1080" w:type="dxa"/>
            <w:vAlign w:val="bottom"/>
          </w:tcPr>
          <w:p w14:paraId="727A22C4" w14:textId="77777777" w:rsidR="00FE0715" w:rsidRPr="003B1A77" w:rsidRDefault="00FE0715" w:rsidP="008A7699">
            <w:pPr>
              <w:rPr>
                <w:rFonts w:asciiTheme="majorBidi" w:hAnsiTheme="majorBidi" w:cstheme="majorBidi"/>
              </w:rPr>
            </w:pPr>
            <w:r w:rsidRPr="003B1A77">
              <w:rPr>
                <w:rFonts w:asciiTheme="majorBidi" w:hAnsiTheme="majorBidi" w:cstheme="majorBidi"/>
              </w:rPr>
              <w:t>22</w:t>
            </w:r>
          </w:p>
        </w:tc>
        <w:tc>
          <w:tcPr>
            <w:tcW w:w="2072" w:type="dxa"/>
            <w:vAlign w:val="bottom"/>
          </w:tcPr>
          <w:p w14:paraId="5294B97B" w14:textId="77777777" w:rsidR="00FE0715" w:rsidRPr="003B1A77" w:rsidRDefault="00FE0715" w:rsidP="008A7699">
            <w:pPr>
              <w:rPr>
                <w:rFonts w:asciiTheme="majorBidi" w:hAnsiTheme="majorBidi" w:cstheme="majorBidi"/>
              </w:rPr>
            </w:pPr>
            <w:r w:rsidRPr="003B1A77">
              <w:rPr>
                <w:rFonts w:asciiTheme="majorBidi" w:hAnsiTheme="majorBidi" w:cstheme="majorBidi"/>
              </w:rPr>
              <w:t>41.9± 10.4</w:t>
            </w:r>
          </w:p>
        </w:tc>
        <w:tc>
          <w:tcPr>
            <w:tcW w:w="1170" w:type="dxa"/>
            <w:vAlign w:val="bottom"/>
          </w:tcPr>
          <w:p w14:paraId="2E9C7C53" w14:textId="77777777" w:rsidR="00FE0715" w:rsidRPr="003B1A77" w:rsidRDefault="00FE0715" w:rsidP="008A7699">
            <w:pPr>
              <w:rPr>
                <w:rFonts w:asciiTheme="majorBidi" w:hAnsiTheme="majorBidi" w:cstheme="majorBidi"/>
              </w:rPr>
            </w:pPr>
            <w:r w:rsidRPr="003B1A77">
              <w:rPr>
                <w:rFonts w:asciiTheme="majorBidi" w:hAnsiTheme="majorBidi" w:cstheme="majorBidi"/>
                <w:color w:val="1F1F1F"/>
              </w:rPr>
              <w:t>48.1± 12.3</w:t>
            </w:r>
          </w:p>
        </w:tc>
        <w:tc>
          <w:tcPr>
            <w:tcW w:w="2072" w:type="dxa"/>
            <w:vAlign w:val="bottom"/>
          </w:tcPr>
          <w:p w14:paraId="445A516C" w14:textId="77777777" w:rsidR="00FE0715" w:rsidRPr="003B1A77" w:rsidRDefault="00FE0715" w:rsidP="008A7699">
            <w:pPr>
              <w:rPr>
                <w:rFonts w:asciiTheme="majorBidi" w:hAnsiTheme="majorBidi" w:cstheme="majorBidi"/>
              </w:rPr>
            </w:pPr>
            <w:r w:rsidRPr="003B1A77">
              <w:rPr>
                <w:rFonts w:asciiTheme="majorBidi" w:hAnsiTheme="majorBidi" w:cstheme="majorBidi"/>
              </w:rPr>
              <w:t xml:space="preserve">63.5± 9.8 </w:t>
            </w:r>
          </w:p>
        </w:tc>
        <w:tc>
          <w:tcPr>
            <w:tcW w:w="1080" w:type="dxa"/>
            <w:vAlign w:val="bottom"/>
          </w:tcPr>
          <w:p w14:paraId="57F26AD5" w14:textId="77777777" w:rsidR="00FE0715" w:rsidRPr="003B1A77" w:rsidRDefault="00FE0715" w:rsidP="008A7699">
            <w:pPr>
              <w:rPr>
                <w:rFonts w:asciiTheme="majorBidi" w:hAnsiTheme="majorBidi" w:cstheme="majorBidi"/>
              </w:rPr>
            </w:pPr>
            <w:r w:rsidRPr="003B1A77">
              <w:rPr>
                <w:rFonts w:asciiTheme="majorBidi" w:hAnsiTheme="majorBidi" w:cstheme="majorBidi"/>
                <w:color w:val="1F1F1F"/>
              </w:rPr>
              <w:t>64.9± 10.1</w:t>
            </w:r>
          </w:p>
        </w:tc>
        <w:tc>
          <w:tcPr>
            <w:tcW w:w="2070" w:type="dxa"/>
            <w:vAlign w:val="bottom"/>
          </w:tcPr>
          <w:p w14:paraId="09F95BFA" w14:textId="77777777" w:rsidR="00FE0715" w:rsidRPr="003B1A77" w:rsidRDefault="00FE0715" w:rsidP="008A7699">
            <w:pPr>
              <w:rPr>
                <w:rFonts w:asciiTheme="majorBidi" w:hAnsiTheme="majorBidi" w:cstheme="majorBidi"/>
              </w:rPr>
            </w:pPr>
            <w:r w:rsidRPr="003B1A77">
              <w:rPr>
                <w:rFonts w:asciiTheme="majorBidi" w:hAnsiTheme="majorBidi" w:cstheme="majorBidi"/>
              </w:rPr>
              <w:t>10:12</w:t>
            </w:r>
          </w:p>
        </w:tc>
        <w:tc>
          <w:tcPr>
            <w:tcW w:w="1170" w:type="dxa"/>
            <w:vAlign w:val="bottom"/>
          </w:tcPr>
          <w:p w14:paraId="3E4A3D31" w14:textId="77777777" w:rsidR="00FE0715" w:rsidRPr="003B1A77" w:rsidRDefault="00FE0715" w:rsidP="008A7699">
            <w:pPr>
              <w:rPr>
                <w:rFonts w:asciiTheme="majorBidi" w:hAnsiTheme="majorBidi" w:cstheme="majorBidi"/>
              </w:rPr>
            </w:pPr>
            <w:r w:rsidRPr="003B1A77">
              <w:rPr>
                <w:rFonts w:asciiTheme="majorBidi" w:hAnsiTheme="majorBidi" w:cstheme="majorBidi"/>
              </w:rPr>
              <w:t>15:07</w:t>
            </w:r>
          </w:p>
        </w:tc>
        <w:tc>
          <w:tcPr>
            <w:tcW w:w="7019" w:type="dxa"/>
            <w:vAlign w:val="bottom"/>
          </w:tcPr>
          <w:p w14:paraId="411A638E" w14:textId="77777777" w:rsidR="00FE0715" w:rsidRPr="003B1A77" w:rsidRDefault="00FE0715" w:rsidP="008A7699">
            <w:pPr>
              <w:rPr>
                <w:rFonts w:asciiTheme="majorBidi" w:hAnsiTheme="majorBidi" w:cstheme="majorBidi"/>
              </w:rPr>
            </w:pPr>
            <w:r w:rsidRPr="003B1A77">
              <w:rPr>
                <w:rFonts w:asciiTheme="majorBidi" w:hAnsiTheme="majorBidi" w:cstheme="majorBidi"/>
              </w:rPr>
              <w:t>DEX as an anesthetic adjuvant improved hemodynamic stability and decreased anesthetic requirements in patients undergoing TNTS resection of pituitary tumor.</w:t>
            </w:r>
          </w:p>
        </w:tc>
      </w:tr>
      <w:tr w:rsidR="00FE0715" w:rsidRPr="003B1A77" w14:paraId="03A45775" w14:textId="77777777" w:rsidTr="008A7699">
        <w:tc>
          <w:tcPr>
            <w:tcW w:w="1293" w:type="dxa"/>
            <w:vAlign w:val="bottom"/>
          </w:tcPr>
          <w:p w14:paraId="7F8804A0" w14:textId="77777777" w:rsidR="00FE0715" w:rsidRPr="003B1A77" w:rsidRDefault="00FE0715" w:rsidP="008A7699">
            <w:pPr>
              <w:rPr>
                <w:rFonts w:asciiTheme="majorBidi" w:hAnsiTheme="majorBidi" w:cstheme="majorBidi"/>
              </w:rPr>
            </w:pPr>
            <w:r w:rsidRPr="003B1A77">
              <w:rPr>
                <w:rFonts w:asciiTheme="majorBidi" w:hAnsiTheme="majorBidi" w:cstheme="majorBidi"/>
              </w:rPr>
              <w:t>Kang 2020</w:t>
            </w:r>
            <w:hyperlink r:id="rId8" w:history="1">
              <w:r>
                <w:rPr>
                  <w:rFonts w:ascii="Times New Roman" w:eastAsia="Times New Roman" w:hAnsi="Times New Roman" w:cs="Times New Roman"/>
                </w:rPr>
                <w:t>(17)</w:t>
              </w:r>
            </w:hyperlink>
          </w:p>
        </w:tc>
        <w:tc>
          <w:tcPr>
            <w:tcW w:w="954" w:type="dxa"/>
            <w:vAlign w:val="bottom"/>
          </w:tcPr>
          <w:p w14:paraId="202668EF" w14:textId="77777777" w:rsidR="00FE0715" w:rsidRPr="003B1A77" w:rsidRDefault="00FE0715" w:rsidP="008A7699">
            <w:pPr>
              <w:rPr>
                <w:rFonts w:asciiTheme="majorBidi" w:hAnsiTheme="majorBidi" w:cstheme="majorBidi"/>
              </w:rPr>
            </w:pPr>
            <w:r w:rsidRPr="003B1A77">
              <w:rPr>
                <w:rFonts w:asciiTheme="majorBidi" w:hAnsiTheme="majorBidi" w:cstheme="majorBidi"/>
              </w:rPr>
              <w:t>RCT</w:t>
            </w:r>
          </w:p>
        </w:tc>
        <w:tc>
          <w:tcPr>
            <w:tcW w:w="1170" w:type="dxa"/>
            <w:vAlign w:val="bottom"/>
          </w:tcPr>
          <w:p w14:paraId="7C946792" w14:textId="77777777" w:rsidR="00FE0715" w:rsidRPr="003B1A77" w:rsidRDefault="00FE0715" w:rsidP="008A7699">
            <w:pPr>
              <w:rPr>
                <w:rFonts w:asciiTheme="majorBidi" w:hAnsiTheme="majorBidi" w:cstheme="majorBidi"/>
              </w:rPr>
            </w:pPr>
            <w:r w:rsidRPr="003B1A77">
              <w:rPr>
                <w:rFonts w:asciiTheme="majorBidi" w:hAnsiTheme="majorBidi" w:cstheme="majorBidi"/>
              </w:rPr>
              <w:t>South Korea</w:t>
            </w:r>
          </w:p>
        </w:tc>
        <w:tc>
          <w:tcPr>
            <w:tcW w:w="2070" w:type="dxa"/>
            <w:vAlign w:val="bottom"/>
          </w:tcPr>
          <w:p w14:paraId="64564891" w14:textId="77777777" w:rsidR="00FE0715" w:rsidRPr="003B1A77" w:rsidRDefault="00FE0715" w:rsidP="008A7699">
            <w:pPr>
              <w:rPr>
                <w:rFonts w:asciiTheme="majorBidi" w:hAnsiTheme="majorBidi" w:cstheme="majorBidi"/>
              </w:rPr>
            </w:pPr>
            <w:r w:rsidRPr="003B1A77">
              <w:rPr>
                <w:rFonts w:asciiTheme="majorBidi" w:hAnsiTheme="majorBidi" w:cstheme="majorBidi"/>
              </w:rPr>
              <w:t>23</w:t>
            </w:r>
          </w:p>
        </w:tc>
        <w:tc>
          <w:tcPr>
            <w:tcW w:w="1080" w:type="dxa"/>
            <w:vAlign w:val="bottom"/>
          </w:tcPr>
          <w:p w14:paraId="5D2ADEAE" w14:textId="77777777" w:rsidR="00FE0715" w:rsidRPr="003B1A77" w:rsidRDefault="00FE0715" w:rsidP="008A7699">
            <w:pPr>
              <w:rPr>
                <w:rFonts w:asciiTheme="majorBidi" w:hAnsiTheme="majorBidi" w:cstheme="majorBidi"/>
              </w:rPr>
            </w:pPr>
            <w:r w:rsidRPr="003B1A77">
              <w:rPr>
                <w:rFonts w:asciiTheme="majorBidi" w:hAnsiTheme="majorBidi" w:cstheme="majorBidi"/>
              </w:rPr>
              <w:t>23</w:t>
            </w:r>
          </w:p>
        </w:tc>
        <w:tc>
          <w:tcPr>
            <w:tcW w:w="2072" w:type="dxa"/>
            <w:vAlign w:val="bottom"/>
          </w:tcPr>
          <w:p w14:paraId="50ADAAA7" w14:textId="77777777" w:rsidR="00FE0715" w:rsidRPr="003B1A77" w:rsidRDefault="00FE0715" w:rsidP="008A7699">
            <w:pPr>
              <w:rPr>
                <w:rFonts w:asciiTheme="majorBidi" w:hAnsiTheme="majorBidi" w:cstheme="majorBidi"/>
              </w:rPr>
            </w:pPr>
            <w:r w:rsidRPr="003B1A77">
              <w:rPr>
                <w:rFonts w:asciiTheme="majorBidi" w:hAnsiTheme="majorBidi" w:cstheme="majorBidi"/>
              </w:rPr>
              <w:t>55 [43–62]</w:t>
            </w:r>
          </w:p>
        </w:tc>
        <w:tc>
          <w:tcPr>
            <w:tcW w:w="1170" w:type="dxa"/>
            <w:vAlign w:val="bottom"/>
          </w:tcPr>
          <w:p w14:paraId="3178A2A8" w14:textId="77777777" w:rsidR="00FE0715" w:rsidRPr="003B1A77" w:rsidRDefault="00FE0715" w:rsidP="008A7699">
            <w:pPr>
              <w:rPr>
                <w:rFonts w:asciiTheme="majorBidi" w:hAnsiTheme="majorBidi" w:cstheme="majorBidi"/>
              </w:rPr>
            </w:pPr>
            <w:r w:rsidRPr="003B1A77">
              <w:rPr>
                <w:rFonts w:asciiTheme="majorBidi" w:hAnsiTheme="majorBidi" w:cstheme="majorBidi"/>
              </w:rPr>
              <w:t>48 [39–56]</w:t>
            </w:r>
          </w:p>
        </w:tc>
        <w:tc>
          <w:tcPr>
            <w:tcW w:w="2072" w:type="dxa"/>
            <w:vAlign w:val="bottom"/>
          </w:tcPr>
          <w:p w14:paraId="7C04E6A3" w14:textId="77777777" w:rsidR="00FE0715" w:rsidRPr="003B1A77" w:rsidRDefault="00FE0715" w:rsidP="008A7699">
            <w:pPr>
              <w:rPr>
                <w:rFonts w:asciiTheme="majorBidi" w:hAnsiTheme="majorBidi" w:cstheme="majorBidi"/>
              </w:rPr>
            </w:pPr>
            <w:r w:rsidRPr="003B1A77">
              <w:rPr>
                <w:rFonts w:asciiTheme="majorBidi" w:hAnsiTheme="majorBidi" w:cstheme="majorBidi"/>
              </w:rPr>
              <w:t>NR</w:t>
            </w:r>
          </w:p>
        </w:tc>
        <w:tc>
          <w:tcPr>
            <w:tcW w:w="1080" w:type="dxa"/>
            <w:vAlign w:val="bottom"/>
          </w:tcPr>
          <w:p w14:paraId="6310F2B9" w14:textId="77777777" w:rsidR="00FE0715" w:rsidRPr="003B1A77" w:rsidRDefault="00FE0715" w:rsidP="008A7699">
            <w:pPr>
              <w:rPr>
                <w:rFonts w:asciiTheme="majorBidi" w:hAnsiTheme="majorBidi" w:cstheme="majorBidi"/>
              </w:rPr>
            </w:pPr>
            <w:r w:rsidRPr="003B1A77">
              <w:rPr>
                <w:rFonts w:asciiTheme="majorBidi" w:hAnsiTheme="majorBidi" w:cstheme="majorBidi"/>
              </w:rPr>
              <w:t>NR</w:t>
            </w:r>
          </w:p>
        </w:tc>
        <w:tc>
          <w:tcPr>
            <w:tcW w:w="2070" w:type="dxa"/>
            <w:vAlign w:val="bottom"/>
          </w:tcPr>
          <w:p w14:paraId="1C3C989F" w14:textId="77777777" w:rsidR="00FE0715" w:rsidRPr="003B1A77" w:rsidRDefault="00FE0715" w:rsidP="008A7699">
            <w:pPr>
              <w:rPr>
                <w:rFonts w:asciiTheme="majorBidi" w:hAnsiTheme="majorBidi" w:cstheme="majorBidi"/>
              </w:rPr>
            </w:pPr>
            <w:r w:rsidRPr="003B1A77">
              <w:rPr>
                <w:rFonts w:asciiTheme="majorBidi" w:hAnsiTheme="majorBidi" w:cstheme="majorBidi"/>
              </w:rPr>
              <w:t>8/15</w:t>
            </w:r>
          </w:p>
        </w:tc>
        <w:tc>
          <w:tcPr>
            <w:tcW w:w="1170" w:type="dxa"/>
            <w:vAlign w:val="bottom"/>
          </w:tcPr>
          <w:p w14:paraId="5BB7D770" w14:textId="77777777" w:rsidR="00FE0715" w:rsidRPr="003B1A77" w:rsidRDefault="00FE0715" w:rsidP="008A7699">
            <w:pPr>
              <w:rPr>
                <w:rFonts w:asciiTheme="majorBidi" w:hAnsiTheme="majorBidi" w:cstheme="majorBidi"/>
              </w:rPr>
            </w:pPr>
            <w:r w:rsidRPr="003B1A77">
              <w:rPr>
                <w:rFonts w:asciiTheme="majorBidi" w:hAnsiTheme="majorBidi" w:cstheme="majorBidi"/>
              </w:rPr>
              <w:t>11/12</w:t>
            </w:r>
          </w:p>
        </w:tc>
        <w:tc>
          <w:tcPr>
            <w:tcW w:w="7019" w:type="dxa"/>
            <w:vAlign w:val="bottom"/>
          </w:tcPr>
          <w:p w14:paraId="36D0CF10" w14:textId="77777777" w:rsidR="00FE0715" w:rsidRPr="003B1A77" w:rsidRDefault="00FE0715" w:rsidP="008A7699">
            <w:pPr>
              <w:rPr>
                <w:rFonts w:asciiTheme="majorBidi" w:hAnsiTheme="majorBidi" w:cstheme="majorBidi"/>
              </w:rPr>
            </w:pPr>
            <w:r w:rsidRPr="003B1A77">
              <w:rPr>
                <w:rFonts w:asciiTheme="majorBidi" w:hAnsiTheme="majorBidi" w:cstheme="majorBidi"/>
              </w:rPr>
              <w:t>Intraoperative dexmedetomidine administration reduced norepinephrine release and rescue analgesic requirement.</w:t>
            </w:r>
          </w:p>
        </w:tc>
      </w:tr>
      <w:tr w:rsidR="00FE0715" w:rsidRPr="003B1A77" w14:paraId="2912483A" w14:textId="77777777" w:rsidTr="008A7699">
        <w:tc>
          <w:tcPr>
            <w:tcW w:w="1293" w:type="dxa"/>
            <w:vAlign w:val="bottom"/>
          </w:tcPr>
          <w:p w14:paraId="52BBD149" w14:textId="77777777" w:rsidR="00FE0715" w:rsidRPr="003B1A77" w:rsidRDefault="00FE0715" w:rsidP="008A7699">
            <w:pPr>
              <w:rPr>
                <w:rFonts w:asciiTheme="majorBidi" w:hAnsiTheme="majorBidi" w:cstheme="majorBidi"/>
              </w:rPr>
            </w:pPr>
            <w:r w:rsidRPr="003B1A77">
              <w:rPr>
                <w:rFonts w:asciiTheme="majorBidi" w:hAnsiTheme="majorBidi" w:cstheme="majorBidi"/>
              </w:rPr>
              <w:t>Mathew 2020</w:t>
            </w:r>
            <w:hyperlink r:id="rId9" w:history="1">
              <w:r>
                <w:rPr>
                  <w:rFonts w:ascii="Times New Roman" w:eastAsia="Times New Roman" w:hAnsi="Times New Roman" w:cs="Times New Roman"/>
                </w:rPr>
                <w:t>(16)</w:t>
              </w:r>
            </w:hyperlink>
          </w:p>
        </w:tc>
        <w:tc>
          <w:tcPr>
            <w:tcW w:w="954" w:type="dxa"/>
            <w:vAlign w:val="bottom"/>
          </w:tcPr>
          <w:p w14:paraId="0A58B6B0" w14:textId="77777777" w:rsidR="00FE0715" w:rsidRPr="003B1A77" w:rsidRDefault="00FE0715" w:rsidP="008A7699">
            <w:pPr>
              <w:rPr>
                <w:rFonts w:asciiTheme="majorBidi" w:hAnsiTheme="majorBidi" w:cstheme="majorBidi"/>
              </w:rPr>
            </w:pPr>
            <w:r w:rsidRPr="003B1A77">
              <w:rPr>
                <w:rFonts w:asciiTheme="majorBidi" w:hAnsiTheme="majorBidi" w:cstheme="majorBidi"/>
              </w:rPr>
              <w:t>RCT</w:t>
            </w:r>
          </w:p>
        </w:tc>
        <w:tc>
          <w:tcPr>
            <w:tcW w:w="1170" w:type="dxa"/>
            <w:vAlign w:val="bottom"/>
          </w:tcPr>
          <w:p w14:paraId="08653743" w14:textId="77777777" w:rsidR="00FE0715" w:rsidRPr="003B1A77" w:rsidRDefault="00FE0715" w:rsidP="008A7699">
            <w:pPr>
              <w:rPr>
                <w:rFonts w:asciiTheme="majorBidi" w:hAnsiTheme="majorBidi" w:cstheme="majorBidi"/>
              </w:rPr>
            </w:pPr>
            <w:r w:rsidRPr="003B1A77">
              <w:rPr>
                <w:rFonts w:asciiTheme="majorBidi" w:hAnsiTheme="majorBidi" w:cstheme="majorBidi"/>
              </w:rPr>
              <w:t>India</w:t>
            </w:r>
          </w:p>
        </w:tc>
        <w:tc>
          <w:tcPr>
            <w:tcW w:w="2070" w:type="dxa"/>
            <w:vAlign w:val="bottom"/>
          </w:tcPr>
          <w:p w14:paraId="2E05B718" w14:textId="77777777" w:rsidR="00FE0715" w:rsidRPr="003B1A77" w:rsidRDefault="00FE0715" w:rsidP="008A7699">
            <w:pPr>
              <w:rPr>
                <w:rFonts w:asciiTheme="majorBidi" w:hAnsiTheme="majorBidi" w:cstheme="majorBidi"/>
              </w:rPr>
            </w:pPr>
            <w:r w:rsidRPr="003B1A77">
              <w:rPr>
                <w:rFonts w:asciiTheme="majorBidi" w:hAnsiTheme="majorBidi" w:cstheme="majorBidi"/>
              </w:rPr>
              <w:t>20</w:t>
            </w:r>
          </w:p>
        </w:tc>
        <w:tc>
          <w:tcPr>
            <w:tcW w:w="1080" w:type="dxa"/>
            <w:vAlign w:val="bottom"/>
          </w:tcPr>
          <w:p w14:paraId="2C4DDE93" w14:textId="77777777" w:rsidR="00FE0715" w:rsidRPr="003B1A77" w:rsidRDefault="00FE0715" w:rsidP="008A7699">
            <w:pPr>
              <w:rPr>
                <w:rFonts w:asciiTheme="majorBidi" w:hAnsiTheme="majorBidi" w:cstheme="majorBidi"/>
              </w:rPr>
            </w:pPr>
            <w:r w:rsidRPr="003B1A77">
              <w:rPr>
                <w:rFonts w:asciiTheme="majorBidi" w:hAnsiTheme="majorBidi" w:cstheme="majorBidi"/>
              </w:rPr>
              <w:t>20</w:t>
            </w:r>
          </w:p>
        </w:tc>
        <w:tc>
          <w:tcPr>
            <w:tcW w:w="2072" w:type="dxa"/>
            <w:vAlign w:val="bottom"/>
          </w:tcPr>
          <w:p w14:paraId="4260727D" w14:textId="77777777" w:rsidR="00FE0715" w:rsidRPr="003B1A77" w:rsidRDefault="00FE0715" w:rsidP="008A7699">
            <w:pPr>
              <w:rPr>
                <w:rFonts w:asciiTheme="majorBidi" w:hAnsiTheme="majorBidi" w:cstheme="majorBidi"/>
              </w:rPr>
            </w:pPr>
            <w:r w:rsidRPr="003B1A77">
              <w:rPr>
                <w:rFonts w:asciiTheme="majorBidi" w:hAnsiTheme="majorBidi" w:cstheme="majorBidi"/>
              </w:rPr>
              <w:t>NR</w:t>
            </w:r>
          </w:p>
        </w:tc>
        <w:tc>
          <w:tcPr>
            <w:tcW w:w="1170" w:type="dxa"/>
            <w:vAlign w:val="bottom"/>
          </w:tcPr>
          <w:p w14:paraId="0914EB06" w14:textId="77777777" w:rsidR="00FE0715" w:rsidRPr="003B1A77" w:rsidRDefault="00FE0715" w:rsidP="008A7699">
            <w:pPr>
              <w:rPr>
                <w:rFonts w:asciiTheme="majorBidi" w:hAnsiTheme="majorBidi" w:cstheme="majorBidi"/>
              </w:rPr>
            </w:pPr>
            <w:r w:rsidRPr="003B1A77">
              <w:rPr>
                <w:rFonts w:asciiTheme="majorBidi" w:hAnsiTheme="majorBidi" w:cstheme="majorBidi"/>
              </w:rPr>
              <w:t>NR</w:t>
            </w:r>
          </w:p>
        </w:tc>
        <w:tc>
          <w:tcPr>
            <w:tcW w:w="2072" w:type="dxa"/>
            <w:vAlign w:val="bottom"/>
          </w:tcPr>
          <w:p w14:paraId="0288EED8" w14:textId="77777777" w:rsidR="00FE0715" w:rsidRPr="003B1A77" w:rsidRDefault="00FE0715" w:rsidP="008A7699">
            <w:pPr>
              <w:rPr>
                <w:rFonts w:asciiTheme="majorBidi" w:hAnsiTheme="majorBidi" w:cstheme="majorBidi"/>
              </w:rPr>
            </w:pPr>
            <w:r w:rsidRPr="003B1A77">
              <w:rPr>
                <w:rFonts w:asciiTheme="majorBidi" w:hAnsiTheme="majorBidi" w:cstheme="majorBidi"/>
              </w:rPr>
              <w:t>NR</w:t>
            </w:r>
          </w:p>
        </w:tc>
        <w:tc>
          <w:tcPr>
            <w:tcW w:w="1080" w:type="dxa"/>
            <w:vAlign w:val="bottom"/>
          </w:tcPr>
          <w:p w14:paraId="5A3F87A5" w14:textId="77777777" w:rsidR="00FE0715" w:rsidRPr="003B1A77" w:rsidRDefault="00FE0715" w:rsidP="008A7699">
            <w:pPr>
              <w:rPr>
                <w:rFonts w:asciiTheme="majorBidi" w:hAnsiTheme="majorBidi" w:cstheme="majorBidi"/>
              </w:rPr>
            </w:pPr>
            <w:r w:rsidRPr="003B1A77">
              <w:rPr>
                <w:rFonts w:asciiTheme="majorBidi" w:hAnsiTheme="majorBidi" w:cstheme="majorBidi"/>
              </w:rPr>
              <w:t>NR</w:t>
            </w:r>
          </w:p>
        </w:tc>
        <w:tc>
          <w:tcPr>
            <w:tcW w:w="2070" w:type="dxa"/>
            <w:vAlign w:val="bottom"/>
          </w:tcPr>
          <w:p w14:paraId="5243A11B" w14:textId="77777777" w:rsidR="00FE0715" w:rsidRPr="003B1A77" w:rsidRDefault="00FE0715" w:rsidP="008A7699">
            <w:pPr>
              <w:rPr>
                <w:rFonts w:asciiTheme="majorBidi" w:hAnsiTheme="majorBidi" w:cstheme="majorBidi"/>
              </w:rPr>
            </w:pPr>
            <w:r w:rsidRPr="003B1A77">
              <w:rPr>
                <w:rFonts w:asciiTheme="majorBidi" w:hAnsiTheme="majorBidi" w:cstheme="majorBidi"/>
              </w:rPr>
              <w:t>NR</w:t>
            </w:r>
          </w:p>
        </w:tc>
        <w:tc>
          <w:tcPr>
            <w:tcW w:w="1170" w:type="dxa"/>
            <w:vAlign w:val="bottom"/>
          </w:tcPr>
          <w:p w14:paraId="07886353" w14:textId="77777777" w:rsidR="00FE0715" w:rsidRPr="003B1A77" w:rsidRDefault="00FE0715" w:rsidP="008A7699">
            <w:pPr>
              <w:rPr>
                <w:rFonts w:asciiTheme="majorBidi" w:hAnsiTheme="majorBidi" w:cstheme="majorBidi"/>
              </w:rPr>
            </w:pPr>
            <w:r w:rsidRPr="003B1A77">
              <w:rPr>
                <w:rFonts w:asciiTheme="majorBidi" w:hAnsiTheme="majorBidi" w:cstheme="majorBidi"/>
              </w:rPr>
              <w:t>NR</w:t>
            </w:r>
          </w:p>
        </w:tc>
        <w:tc>
          <w:tcPr>
            <w:tcW w:w="7019" w:type="dxa"/>
            <w:vAlign w:val="bottom"/>
          </w:tcPr>
          <w:p w14:paraId="16572AD1" w14:textId="77777777" w:rsidR="00FE0715" w:rsidRPr="003B1A77" w:rsidRDefault="00FE0715" w:rsidP="008A7699">
            <w:pPr>
              <w:rPr>
                <w:rFonts w:asciiTheme="majorBidi" w:hAnsiTheme="majorBidi" w:cstheme="majorBidi"/>
              </w:rPr>
            </w:pPr>
            <w:r w:rsidRPr="003B1A77">
              <w:rPr>
                <w:rFonts w:asciiTheme="majorBidi" w:hAnsiTheme="majorBidi" w:cstheme="majorBidi"/>
              </w:rPr>
              <w:t>Intraoperative use of dexmedetomidine in transsphenoidal pituitary surgery provided stable perioperative hemodynamics comprising reduced cardiovascular response to intubation and surgical noxious stimuli along with a similar recovery compared with the control group.</w:t>
            </w:r>
          </w:p>
        </w:tc>
      </w:tr>
      <w:tr w:rsidR="00FE0715" w:rsidRPr="003B1A77" w14:paraId="1C737068" w14:textId="77777777" w:rsidTr="008A7699">
        <w:tc>
          <w:tcPr>
            <w:tcW w:w="1293" w:type="dxa"/>
            <w:vAlign w:val="bottom"/>
          </w:tcPr>
          <w:p w14:paraId="3D69AAAB" w14:textId="77777777" w:rsidR="00FE0715" w:rsidRPr="003B1A77" w:rsidRDefault="00FE0715" w:rsidP="008A7699">
            <w:pPr>
              <w:rPr>
                <w:rFonts w:asciiTheme="majorBidi" w:hAnsiTheme="majorBidi" w:cstheme="majorBidi"/>
              </w:rPr>
            </w:pPr>
            <w:r w:rsidRPr="003B1A77">
              <w:rPr>
                <w:rFonts w:asciiTheme="majorBidi" w:hAnsiTheme="majorBidi" w:cstheme="majorBidi"/>
              </w:rPr>
              <w:t>Muangman 2023</w:t>
            </w:r>
            <w:hyperlink r:id="rId10" w:history="1">
              <w:r>
                <w:rPr>
                  <w:rFonts w:ascii="Times New Roman" w:eastAsia="Times New Roman" w:hAnsi="Times New Roman" w:cs="Times New Roman"/>
                </w:rPr>
                <w:t>(25)</w:t>
              </w:r>
            </w:hyperlink>
          </w:p>
        </w:tc>
        <w:tc>
          <w:tcPr>
            <w:tcW w:w="954" w:type="dxa"/>
            <w:vAlign w:val="bottom"/>
          </w:tcPr>
          <w:p w14:paraId="19C5348B" w14:textId="77777777" w:rsidR="00FE0715" w:rsidRPr="003B1A77" w:rsidRDefault="00FE0715" w:rsidP="008A7699">
            <w:pPr>
              <w:rPr>
                <w:rFonts w:asciiTheme="majorBidi" w:hAnsiTheme="majorBidi" w:cstheme="majorBidi"/>
              </w:rPr>
            </w:pPr>
            <w:r w:rsidRPr="003B1A77">
              <w:rPr>
                <w:rFonts w:asciiTheme="majorBidi" w:hAnsiTheme="majorBidi" w:cstheme="majorBidi"/>
              </w:rPr>
              <w:t>RCT</w:t>
            </w:r>
          </w:p>
        </w:tc>
        <w:tc>
          <w:tcPr>
            <w:tcW w:w="1170" w:type="dxa"/>
            <w:vAlign w:val="bottom"/>
          </w:tcPr>
          <w:p w14:paraId="3D7D8AD8" w14:textId="77777777" w:rsidR="00FE0715" w:rsidRPr="003B1A77" w:rsidRDefault="00FE0715" w:rsidP="008A7699">
            <w:pPr>
              <w:rPr>
                <w:rFonts w:asciiTheme="majorBidi" w:hAnsiTheme="majorBidi" w:cstheme="majorBidi"/>
              </w:rPr>
            </w:pPr>
            <w:r w:rsidRPr="003B1A77">
              <w:rPr>
                <w:rFonts w:asciiTheme="majorBidi" w:hAnsiTheme="majorBidi" w:cstheme="majorBidi"/>
              </w:rPr>
              <w:t>Thailand</w:t>
            </w:r>
          </w:p>
        </w:tc>
        <w:tc>
          <w:tcPr>
            <w:tcW w:w="2070" w:type="dxa"/>
            <w:vAlign w:val="bottom"/>
          </w:tcPr>
          <w:p w14:paraId="14444BD9" w14:textId="77777777" w:rsidR="00FE0715" w:rsidRPr="003B1A77" w:rsidRDefault="00FE0715" w:rsidP="008A7699">
            <w:pPr>
              <w:rPr>
                <w:rFonts w:asciiTheme="majorBidi" w:hAnsiTheme="majorBidi" w:cstheme="majorBidi"/>
              </w:rPr>
            </w:pPr>
            <w:r w:rsidRPr="003B1A77">
              <w:rPr>
                <w:rFonts w:asciiTheme="majorBidi" w:hAnsiTheme="majorBidi" w:cstheme="majorBidi"/>
              </w:rPr>
              <w:t>40</w:t>
            </w:r>
          </w:p>
        </w:tc>
        <w:tc>
          <w:tcPr>
            <w:tcW w:w="1080" w:type="dxa"/>
            <w:vAlign w:val="bottom"/>
          </w:tcPr>
          <w:p w14:paraId="1B1E9355" w14:textId="77777777" w:rsidR="00FE0715" w:rsidRPr="003B1A77" w:rsidRDefault="00FE0715" w:rsidP="008A7699">
            <w:pPr>
              <w:rPr>
                <w:rFonts w:asciiTheme="majorBidi" w:hAnsiTheme="majorBidi" w:cstheme="majorBidi"/>
              </w:rPr>
            </w:pPr>
            <w:r w:rsidRPr="003B1A77">
              <w:rPr>
                <w:rFonts w:asciiTheme="majorBidi" w:hAnsiTheme="majorBidi" w:cstheme="majorBidi"/>
              </w:rPr>
              <w:t>40</w:t>
            </w:r>
          </w:p>
        </w:tc>
        <w:tc>
          <w:tcPr>
            <w:tcW w:w="2072" w:type="dxa"/>
            <w:vAlign w:val="bottom"/>
          </w:tcPr>
          <w:p w14:paraId="7F06F300" w14:textId="77777777" w:rsidR="00FE0715" w:rsidRPr="003B1A77" w:rsidRDefault="00FE0715" w:rsidP="008A7699">
            <w:pPr>
              <w:rPr>
                <w:rFonts w:asciiTheme="majorBidi" w:hAnsiTheme="majorBidi" w:cstheme="majorBidi"/>
              </w:rPr>
            </w:pPr>
            <w:r w:rsidRPr="003B1A77">
              <w:rPr>
                <w:rFonts w:asciiTheme="majorBidi" w:hAnsiTheme="majorBidi" w:cstheme="majorBidi"/>
              </w:rPr>
              <w:t>47.9 11.8</w:t>
            </w:r>
          </w:p>
        </w:tc>
        <w:tc>
          <w:tcPr>
            <w:tcW w:w="1170" w:type="dxa"/>
            <w:vAlign w:val="bottom"/>
          </w:tcPr>
          <w:p w14:paraId="48A54002" w14:textId="77777777" w:rsidR="00FE0715" w:rsidRPr="003B1A77" w:rsidRDefault="00FE0715" w:rsidP="008A7699">
            <w:pPr>
              <w:rPr>
                <w:rFonts w:asciiTheme="majorBidi" w:hAnsiTheme="majorBidi" w:cstheme="majorBidi"/>
              </w:rPr>
            </w:pPr>
            <w:r w:rsidRPr="003B1A77">
              <w:rPr>
                <w:rFonts w:asciiTheme="majorBidi" w:hAnsiTheme="majorBidi" w:cstheme="majorBidi"/>
              </w:rPr>
              <w:t xml:space="preserve">43.6 12.9 </w:t>
            </w:r>
          </w:p>
        </w:tc>
        <w:tc>
          <w:tcPr>
            <w:tcW w:w="2072" w:type="dxa"/>
            <w:vAlign w:val="bottom"/>
          </w:tcPr>
          <w:p w14:paraId="0695740E" w14:textId="77777777" w:rsidR="00FE0715" w:rsidRPr="003B1A77" w:rsidRDefault="00FE0715" w:rsidP="008A7699">
            <w:pPr>
              <w:rPr>
                <w:rFonts w:asciiTheme="majorBidi" w:hAnsiTheme="majorBidi" w:cstheme="majorBidi"/>
              </w:rPr>
            </w:pPr>
            <w:r w:rsidRPr="003B1A77">
              <w:rPr>
                <w:rFonts w:asciiTheme="majorBidi" w:hAnsiTheme="majorBidi" w:cstheme="majorBidi"/>
              </w:rPr>
              <w:t>63.8 11.9</w:t>
            </w:r>
          </w:p>
        </w:tc>
        <w:tc>
          <w:tcPr>
            <w:tcW w:w="1080" w:type="dxa"/>
            <w:vAlign w:val="bottom"/>
          </w:tcPr>
          <w:p w14:paraId="2E920312" w14:textId="77777777" w:rsidR="00FE0715" w:rsidRPr="003B1A77" w:rsidRDefault="00FE0715" w:rsidP="008A7699">
            <w:pPr>
              <w:rPr>
                <w:rFonts w:asciiTheme="majorBidi" w:hAnsiTheme="majorBidi" w:cstheme="majorBidi"/>
              </w:rPr>
            </w:pPr>
            <w:r w:rsidRPr="003B1A77">
              <w:rPr>
                <w:rFonts w:asciiTheme="majorBidi" w:hAnsiTheme="majorBidi" w:cstheme="majorBidi"/>
              </w:rPr>
              <w:t xml:space="preserve">66.9 11.9 </w:t>
            </w:r>
          </w:p>
        </w:tc>
        <w:tc>
          <w:tcPr>
            <w:tcW w:w="2070" w:type="dxa"/>
            <w:vAlign w:val="bottom"/>
          </w:tcPr>
          <w:p w14:paraId="328C960B" w14:textId="77777777" w:rsidR="00FE0715" w:rsidRPr="003B1A77" w:rsidRDefault="00FE0715" w:rsidP="008A7699">
            <w:pPr>
              <w:rPr>
                <w:rFonts w:asciiTheme="majorBidi" w:hAnsiTheme="majorBidi" w:cstheme="majorBidi"/>
              </w:rPr>
            </w:pPr>
            <w:r w:rsidRPr="003B1A77">
              <w:rPr>
                <w:rFonts w:asciiTheme="majorBidi" w:hAnsiTheme="majorBidi" w:cstheme="majorBidi"/>
              </w:rPr>
              <w:t>19:21</w:t>
            </w:r>
          </w:p>
        </w:tc>
        <w:tc>
          <w:tcPr>
            <w:tcW w:w="1170" w:type="dxa"/>
            <w:vAlign w:val="bottom"/>
          </w:tcPr>
          <w:p w14:paraId="5664E8EE" w14:textId="77777777" w:rsidR="00FE0715" w:rsidRPr="003B1A77" w:rsidRDefault="00FE0715" w:rsidP="008A7699">
            <w:pPr>
              <w:rPr>
                <w:rFonts w:asciiTheme="majorBidi" w:hAnsiTheme="majorBidi" w:cstheme="majorBidi"/>
              </w:rPr>
            </w:pPr>
            <w:r w:rsidRPr="003B1A77">
              <w:rPr>
                <w:rFonts w:asciiTheme="majorBidi" w:hAnsiTheme="majorBidi" w:cstheme="majorBidi"/>
              </w:rPr>
              <w:t>14:26</w:t>
            </w:r>
          </w:p>
        </w:tc>
        <w:tc>
          <w:tcPr>
            <w:tcW w:w="7019" w:type="dxa"/>
            <w:vAlign w:val="bottom"/>
          </w:tcPr>
          <w:p w14:paraId="7848D07E" w14:textId="77777777" w:rsidR="00FE0715" w:rsidRPr="003B1A77" w:rsidRDefault="00FE0715" w:rsidP="008A7699">
            <w:pPr>
              <w:rPr>
                <w:rFonts w:asciiTheme="majorBidi" w:hAnsiTheme="majorBidi" w:cstheme="majorBidi"/>
              </w:rPr>
            </w:pPr>
            <w:r w:rsidRPr="003B1A77">
              <w:rPr>
                <w:rFonts w:asciiTheme="majorBidi" w:hAnsiTheme="majorBidi" w:cstheme="majorBidi"/>
              </w:rPr>
              <w:t>dexmedetomidine infusions of 0.2 and 0.5 mcg/kg/h showed the same effect on blood loss and hemodynamics</w:t>
            </w:r>
            <w:r>
              <w:rPr>
                <w:rFonts w:asciiTheme="majorBidi" w:hAnsiTheme="majorBidi" w:cstheme="majorBidi"/>
              </w:rPr>
              <w:t>.</w:t>
            </w:r>
          </w:p>
        </w:tc>
      </w:tr>
      <w:tr w:rsidR="00FE0715" w:rsidRPr="003B1A77" w14:paraId="320BAB14" w14:textId="77777777" w:rsidTr="008A7699">
        <w:tc>
          <w:tcPr>
            <w:tcW w:w="1293" w:type="dxa"/>
            <w:vAlign w:val="bottom"/>
          </w:tcPr>
          <w:p w14:paraId="13ABF85C" w14:textId="77777777" w:rsidR="00FE0715" w:rsidRPr="003B1A77" w:rsidRDefault="00FE0715" w:rsidP="008A7699">
            <w:pPr>
              <w:rPr>
                <w:rFonts w:asciiTheme="majorBidi" w:hAnsiTheme="majorBidi" w:cstheme="majorBidi"/>
              </w:rPr>
            </w:pPr>
            <w:r w:rsidRPr="003B1A77">
              <w:rPr>
                <w:rFonts w:asciiTheme="majorBidi" w:hAnsiTheme="majorBidi" w:cstheme="majorBidi"/>
              </w:rPr>
              <w:t>Praveen 2023</w:t>
            </w:r>
            <w:hyperlink r:id="rId11" w:history="1">
              <w:r>
                <w:rPr>
                  <w:rFonts w:ascii="Times New Roman" w:eastAsia="Times New Roman" w:hAnsi="Times New Roman" w:cs="Times New Roman"/>
                </w:rPr>
                <w:t>(18)</w:t>
              </w:r>
            </w:hyperlink>
          </w:p>
        </w:tc>
        <w:tc>
          <w:tcPr>
            <w:tcW w:w="954" w:type="dxa"/>
            <w:vAlign w:val="bottom"/>
          </w:tcPr>
          <w:p w14:paraId="4763AC33" w14:textId="77777777" w:rsidR="00FE0715" w:rsidRPr="003B1A77" w:rsidRDefault="00FE0715" w:rsidP="008A7699">
            <w:pPr>
              <w:rPr>
                <w:rFonts w:asciiTheme="majorBidi" w:hAnsiTheme="majorBidi" w:cstheme="majorBidi"/>
              </w:rPr>
            </w:pPr>
            <w:r w:rsidRPr="003B1A77">
              <w:rPr>
                <w:rFonts w:asciiTheme="majorBidi" w:hAnsiTheme="majorBidi" w:cstheme="majorBidi"/>
              </w:rPr>
              <w:t>RCT</w:t>
            </w:r>
          </w:p>
        </w:tc>
        <w:tc>
          <w:tcPr>
            <w:tcW w:w="1170" w:type="dxa"/>
            <w:vAlign w:val="bottom"/>
          </w:tcPr>
          <w:p w14:paraId="55D20501" w14:textId="77777777" w:rsidR="00FE0715" w:rsidRPr="003B1A77" w:rsidRDefault="00FE0715" w:rsidP="008A7699">
            <w:pPr>
              <w:rPr>
                <w:rFonts w:asciiTheme="majorBidi" w:hAnsiTheme="majorBidi" w:cstheme="majorBidi"/>
              </w:rPr>
            </w:pPr>
            <w:r w:rsidRPr="003B1A77">
              <w:rPr>
                <w:rFonts w:asciiTheme="majorBidi" w:hAnsiTheme="majorBidi" w:cstheme="majorBidi"/>
              </w:rPr>
              <w:t>India</w:t>
            </w:r>
          </w:p>
        </w:tc>
        <w:tc>
          <w:tcPr>
            <w:tcW w:w="2070" w:type="dxa"/>
            <w:vAlign w:val="bottom"/>
          </w:tcPr>
          <w:p w14:paraId="7516E774" w14:textId="77777777" w:rsidR="00FE0715" w:rsidRPr="003B1A77" w:rsidRDefault="00FE0715" w:rsidP="008A7699">
            <w:pPr>
              <w:rPr>
                <w:rFonts w:asciiTheme="majorBidi" w:hAnsiTheme="majorBidi" w:cstheme="majorBidi"/>
              </w:rPr>
            </w:pPr>
            <w:r w:rsidRPr="003B1A77">
              <w:rPr>
                <w:rFonts w:asciiTheme="majorBidi" w:hAnsiTheme="majorBidi" w:cstheme="majorBidi"/>
              </w:rPr>
              <w:t>25</w:t>
            </w:r>
          </w:p>
        </w:tc>
        <w:tc>
          <w:tcPr>
            <w:tcW w:w="1080" w:type="dxa"/>
            <w:vAlign w:val="bottom"/>
          </w:tcPr>
          <w:p w14:paraId="0ABA4328" w14:textId="77777777" w:rsidR="00FE0715" w:rsidRPr="003B1A77" w:rsidRDefault="00FE0715" w:rsidP="008A7699">
            <w:pPr>
              <w:rPr>
                <w:rFonts w:asciiTheme="majorBidi" w:hAnsiTheme="majorBidi" w:cstheme="majorBidi"/>
              </w:rPr>
            </w:pPr>
            <w:r w:rsidRPr="003B1A77">
              <w:rPr>
                <w:rFonts w:asciiTheme="majorBidi" w:hAnsiTheme="majorBidi" w:cstheme="majorBidi"/>
              </w:rPr>
              <w:t>25</w:t>
            </w:r>
          </w:p>
        </w:tc>
        <w:tc>
          <w:tcPr>
            <w:tcW w:w="2072" w:type="dxa"/>
            <w:vAlign w:val="bottom"/>
          </w:tcPr>
          <w:p w14:paraId="26AF0C4E" w14:textId="77777777" w:rsidR="00FE0715" w:rsidRPr="003B1A77" w:rsidRDefault="00FE0715" w:rsidP="008A7699">
            <w:pPr>
              <w:rPr>
                <w:rFonts w:asciiTheme="majorBidi" w:hAnsiTheme="majorBidi" w:cstheme="majorBidi"/>
              </w:rPr>
            </w:pPr>
            <w:r w:rsidRPr="003B1A77">
              <w:rPr>
                <w:rFonts w:asciiTheme="majorBidi" w:hAnsiTheme="majorBidi" w:cstheme="majorBidi"/>
              </w:rPr>
              <w:t>46.08 (±12.07)</w:t>
            </w:r>
          </w:p>
        </w:tc>
        <w:tc>
          <w:tcPr>
            <w:tcW w:w="1170" w:type="dxa"/>
            <w:vAlign w:val="bottom"/>
          </w:tcPr>
          <w:p w14:paraId="2477DDB6" w14:textId="77777777" w:rsidR="00FE0715" w:rsidRPr="003B1A77" w:rsidRDefault="00FE0715" w:rsidP="008A7699">
            <w:pPr>
              <w:rPr>
                <w:rFonts w:asciiTheme="majorBidi" w:hAnsiTheme="majorBidi" w:cstheme="majorBidi"/>
              </w:rPr>
            </w:pPr>
            <w:r w:rsidRPr="003B1A77">
              <w:rPr>
                <w:rFonts w:asciiTheme="majorBidi" w:hAnsiTheme="majorBidi" w:cstheme="majorBidi"/>
              </w:rPr>
              <w:t>46.24 (±12.38)</w:t>
            </w:r>
          </w:p>
        </w:tc>
        <w:tc>
          <w:tcPr>
            <w:tcW w:w="2072" w:type="dxa"/>
            <w:vAlign w:val="bottom"/>
          </w:tcPr>
          <w:p w14:paraId="25814CA3" w14:textId="77777777" w:rsidR="00FE0715" w:rsidRPr="003B1A77" w:rsidRDefault="00FE0715" w:rsidP="008A7699">
            <w:pPr>
              <w:rPr>
                <w:rFonts w:asciiTheme="majorBidi" w:hAnsiTheme="majorBidi" w:cstheme="majorBidi"/>
              </w:rPr>
            </w:pPr>
            <w:r w:rsidRPr="003B1A77">
              <w:rPr>
                <w:rFonts w:asciiTheme="majorBidi" w:hAnsiTheme="majorBidi" w:cstheme="majorBidi"/>
              </w:rPr>
              <w:t>73.16 (±13.90)</w:t>
            </w:r>
          </w:p>
        </w:tc>
        <w:tc>
          <w:tcPr>
            <w:tcW w:w="1080" w:type="dxa"/>
            <w:vAlign w:val="bottom"/>
          </w:tcPr>
          <w:p w14:paraId="6C65C18F" w14:textId="77777777" w:rsidR="00FE0715" w:rsidRPr="003B1A77" w:rsidRDefault="00FE0715" w:rsidP="008A7699">
            <w:pPr>
              <w:rPr>
                <w:rFonts w:asciiTheme="majorBidi" w:hAnsiTheme="majorBidi" w:cstheme="majorBidi"/>
              </w:rPr>
            </w:pPr>
            <w:r w:rsidRPr="003B1A77">
              <w:rPr>
                <w:rFonts w:asciiTheme="majorBidi" w:hAnsiTheme="majorBidi" w:cstheme="majorBidi"/>
              </w:rPr>
              <w:t xml:space="preserve">65.80 (±11.31) </w:t>
            </w:r>
          </w:p>
        </w:tc>
        <w:tc>
          <w:tcPr>
            <w:tcW w:w="2070" w:type="dxa"/>
            <w:vAlign w:val="bottom"/>
          </w:tcPr>
          <w:p w14:paraId="16BF7B92" w14:textId="77777777" w:rsidR="00FE0715" w:rsidRPr="003B1A77" w:rsidRDefault="00FE0715" w:rsidP="008A7699">
            <w:pPr>
              <w:rPr>
                <w:rFonts w:asciiTheme="majorBidi" w:hAnsiTheme="majorBidi" w:cstheme="majorBidi"/>
              </w:rPr>
            </w:pPr>
            <w:r w:rsidRPr="003B1A77">
              <w:rPr>
                <w:rFonts w:asciiTheme="majorBidi" w:hAnsiTheme="majorBidi" w:cstheme="majorBidi"/>
              </w:rPr>
              <w:t>11/14</w:t>
            </w:r>
          </w:p>
        </w:tc>
        <w:tc>
          <w:tcPr>
            <w:tcW w:w="1170" w:type="dxa"/>
            <w:vAlign w:val="bottom"/>
          </w:tcPr>
          <w:p w14:paraId="4AF443D0" w14:textId="77777777" w:rsidR="00FE0715" w:rsidRPr="003B1A77" w:rsidRDefault="00FE0715" w:rsidP="008A7699">
            <w:pPr>
              <w:rPr>
                <w:rFonts w:asciiTheme="majorBidi" w:hAnsiTheme="majorBidi" w:cstheme="majorBidi"/>
              </w:rPr>
            </w:pPr>
            <w:r w:rsidRPr="003B1A77">
              <w:rPr>
                <w:rFonts w:asciiTheme="majorBidi" w:hAnsiTheme="majorBidi" w:cstheme="majorBidi"/>
              </w:rPr>
              <w:t>12/13</w:t>
            </w:r>
          </w:p>
        </w:tc>
        <w:tc>
          <w:tcPr>
            <w:tcW w:w="7019" w:type="dxa"/>
            <w:vAlign w:val="bottom"/>
          </w:tcPr>
          <w:p w14:paraId="17DA701C" w14:textId="77777777" w:rsidR="00FE0715" w:rsidRPr="003B1A77" w:rsidRDefault="00FE0715" w:rsidP="008A7699">
            <w:pPr>
              <w:rPr>
                <w:rFonts w:asciiTheme="majorBidi" w:hAnsiTheme="majorBidi" w:cstheme="majorBidi"/>
              </w:rPr>
            </w:pPr>
            <w:r w:rsidRPr="003B1A77">
              <w:rPr>
                <w:rFonts w:asciiTheme="majorBidi" w:hAnsiTheme="majorBidi" w:cstheme="majorBidi"/>
              </w:rPr>
              <w:t>Nebulized dexmedetomidine proved superior to its combination with lignocaine across all evaluated parameters.</w:t>
            </w:r>
          </w:p>
        </w:tc>
      </w:tr>
      <w:tr w:rsidR="00FE0715" w:rsidRPr="003B1A77" w14:paraId="25B7A5DD" w14:textId="77777777" w:rsidTr="008A7699">
        <w:tc>
          <w:tcPr>
            <w:tcW w:w="1293" w:type="dxa"/>
            <w:vAlign w:val="bottom"/>
          </w:tcPr>
          <w:p w14:paraId="04AEEDFE" w14:textId="77777777" w:rsidR="00FE0715" w:rsidRPr="003B1A77" w:rsidRDefault="00FE0715" w:rsidP="008A7699">
            <w:pPr>
              <w:rPr>
                <w:rFonts w:asciiTheme="majorBidi" w:hAnsiTheme="majorBidi" w:cstheme="majorBidi"/>
              </w:rPr>
            </w:pPr>
            <w:r w:rsidRPr="003B1A77">
              <w:rPr>
                <w:rFonts w:asciiTheme="majorBidi" w:hAnsiTheme="majorBidi" w:cstheme="majorBidi"/>
              </w:rPr>
              <w:t>SALIMI 201</w:t>
            </w:r>
            <w:r>
              <w:rPr>
                <w:rFonts w:asciiTheme="majorBidi" w:hAnsiTheme="majorBidi" w:cstheme="majorBidi"/>
              </w:rPr>
              <w:t>7</w:t>
            </w:r>
            <w:hyperlink r:id="rId12" w:history="1">
              <w:r>
                <w:rPr>
                  <w:rFonts w:ascii="Times New Roman" w:eastAsia="Times New Roman" w:hAnsi="Times New Roman" w:cs="Times New Roman"/>
                </w:rPr>
                <w:t>(26)</w:t>
              </w:r>
            </w:hyperlink>
          </w:p>
        </w:tc>
        <w:tc>
          <w:tcPr>
            <w:tcW w:w="954" w:type="dxa"/>
            <w:vAlign w:val="bottom"/>
          </w:tcPr>
          <w:p w14:paraId="45ECE6F0" w14:textId="77777777" w:rsidR="00FE0715" w:rsidRPr="003B1A77" w:rsidRDefault="00FE0715" w:rsidP="008A7699">
            <w:pPr>
              <w:rPr>
                <w:rFonts w:asciiTheme="majorBidi" w:hAnsiTheme="majorBidi" w:cstheme="majorBidi"/>
              </w:rPr>
            </w:pPr>
            <w:r w:rsidRPr="003B1A77">
              <w:rPr>
                <w:rFonts w:asciiTheme="majorBidi" w:hAnsiTheme="majorBidi" w:cstheme="majorBidi"/>
              </w:rPr>
              <w:t>RCT</w:t>
            </w:r>
          </w:p>
        </w:tc>
        <w:tc>
          <w:tcPr>
            <w:tcW w:w="1170" w:type="dxa"/>
            <w:vAlign w:val="bottom"/>
          </w:tcPr>
          <w:p w14:paraId="2C6471D6" w14:textId="77777777" w:rsidR="00FE0715" w:rsidRPr="003B1A77" w:rsidRDefault="00FE0715" w:rsidP="008A7699">
            <w:pPr>
              <w:rPr>
                <w:rFonts w:asciiTheme="majorBidi" w:hAnsiTheme="majorBidi" w:cstheme="majorBidi"/>
              </w:rPr>
            </w:pPr>
            <w:r w:rsidRPr="003B1A77">
              <w:rPr>
                <w:rFonts w:asciiTheme="majorBidi" w:hAnsiTheme="majorBidi" w:cstheme="majorBidi"/>
              </w:rPr>
              <w:t>Iran</w:t>
            </w:r>
          </w:p>
        </w:tc>
        <w:tc>
          <w:tcPr>
            <w:tcW w:w="2070" w:type="dxa"/>
            <w:vAlign w:val="bottom"/>
          </w:tcPr>
          <w:p w14:paraId="246FE0C2" w14:textId="77777777" w:rsidR="00FE0715" w:rsidRPr="003B1A77" w:rsidRDefault="00FE0715" w:rsidP="008A7699">
            <w:pPr>
              <w:rPr>
                <w:rFonts w:asciiTheme="majorBidi" w:hAnsiTheme="majorBidi" w:cstheme="majorBidi"/>
              </w:rPr>
            </w:pPr>
            <w:r w:rsidRPr="003B1A77">
              <w:rPr>
                <w:rFonts w:asciiTheme="majorBidi" w:hAnsiTheme="majorBidi" w:cstheme="majorBidi"/>
              </w:rPr>
              <w:t>30</w:t>
            </w:r>
          </w:p>
        </w:tc>
        <w:tc>
          <w:tcPr>
            <w:tcW w:w="1080" w:type="dxa"/>
            <w:vAlign w:val="bottom"/>
          </w:tcPr>
          <w:p w14:paraId="730E26EC" w14:textId="77777777" w:rsidR="00FE0715" w:rsidRPr="003B1A77" w:rsidRDefault="00FE0715" w:rsidP="008A7699">
            <w:pPr>
              <w:rPr>
                <w:rFonts w:asciiTheme="majorBidi" w:hAnsiTheme="majorBidi" w:cstheme="majorBidi"/>
              </w:rPr>
            </w:pPr>
            <w:r w:rsidRPr="003B1A77">
              <w:rPr>
                <w:rFonts w:asciiTheme="majorBidi" w:hAnsiTheme="majorBidi" w:cstheme="majorBidi"/>
              </w:rPr>
              <w:t>30</w:t>
            </w:r>
          </w:p>
        </w:tc>
        <w:tc>
          <w:tcPr>
            <w:tcW w:w="2072" w:type="dxa"/>
            <w:vAlign w:val="bottom"/>
          </w:tcPr>
          <w:p w14:paraId="00F831A3" w14:textId="77777777" w:rsidR="00FE0715" w:rsidRPr="003B1A77" w:rsidRDefault="00FE0715" w:rsidP="008A7699">
            <w:pPr>
              <w:rPr>
                <w:rFonts w:asciiTheme="majorBidi" w:hAnsiTheme="majorBidi" w:cstheme="majorBidi"/>
              </w:rPr>
            </w:pPr>
            <w:r w:rsidRPr="003B1A77">
              <w:rPr>
                <w:rFonts w:asciiTheme="majorBidi" w:hAnsiTheme="majorBidi" w:cstheme="majorBidi"/>
              </w:rPr>
              <w:t>42.76±13.6</w:t>
            </w:r>
          </w:p>
        </w:tc>
        <w:tc>
          <w:tcPr>
            <w:tcW w:w="1170" w:type="dxa"/>
            <w:vAlign w:val="bottom"/>
          </w:tcPr>
          <w:p w14:paraId="4C94DE1B" w14:textId="77777777" w:rsidR="00FE0715" w:rsidRPr="003B1A77" w:rsidRDefault="00FE0715" w:rsidP="008A7699">
            <w:pPr>
              <w:rPr>
                <w:rFonts w:asciiTheme="majorBidi" w:hAnsiTheme="majorBidi" w:cstheme="majorBidi"/>
              </w:rPr>
            </w:pPr>
            <w:r w:rsidRPr="003B1A77">
              <w:rPr>
                <w:rFonts w:asciiTheme="majorBidi" w:hAnsiTheme="majorBidi" w:cstheme="majorBidi"/>
                <w:color w:val="1F1F1F"/>
              </w:rPr>
              <w:t>43.85±11.46</w:t>
            </w:r>
          </w:p>
        </w:tc>
        <w:tc>
          <w:tcPr>
            <w:tcW w:w="2072" w:type="dxa"/>
            <w:vAlign w:val="bottom"/>
          </w:tcPr>
          <w:p w14:paraId="06198BE1" w14:textId="77777777" w:rsidR="00FE0715" w:rsidRPr="003B1A77" w:rsidRDefault="00FE0715" w:rsidP="008A7699">
            <w:pPr>
              <w:rPr>
                <w:rFonts w:asciiTheme="majorBidi" w:hAnsiTheme="majorBidi" w:cstheme="majorBidi"/>
              </w:rPr>
            </w:pPr>
            <w:r w:rsidRPr="003B1A77">
              <w:rPr>
                <w:rFonts w:asciiTheme="majorBidi" w:hAnsiTheme="majorBidi" w:cstheme="majorBidi"/>
              </w:rPr>
              <w:t xml:space="preserve">72.33±12.58 </w:t>
            </w:r>
          </w:p>
        </w:tc>
        <w:tc>
          <w:tcPr>
            <w:tcW w:w="1080" w:type="dxa"/>
            <w:vAlign w:val="bottom"/>
          </w:tcPr>
          <w:p w14:paraId="1D17DC0E" w14:textId="77777777" w:rsidR="00FE0715" w:rsidRPr="003B1A77" w:rsidRDefault="00FE0715" w:rsidP="008A7699">
            <w:pPr>
              <w:rPr>
                <w:rFonts w:asciiTheme="majorBidi" w:hAnsiTheme="majorBidi" w:cstheme="majorBidi"/>
              </w:rPr>
            </w:pPr>
            <w:r w:rsidRPr="003B1A77">
              <w:rPr>
                <w:rFonts w:asciiTheme="majorBidi" w:hAnsiTheme="majorBidi" w:cstheme="majorBidi"/>
              </w:rPr>
              <w:t>76.89±13.64</w:t>
            </w:r>
          </w:p>
        </w:tc>
        <w:tc>
          <w:tcPr>
            <w:tcW w:w="2070" w:type="dxa"/>
            <w:vAlign w:val="bottom"/>
          </w:tcPr>
          <w:p w14:paraId="3761CA19" w14:textId="77777777" w:rsidR="00FE0715" w:rsidRPr="003B1A77" w:rsidRDefault="00FE0715" w:rsidP="008A7699">
            <w:pPr>
              <w:rPr>
                <w:rFonts w:asciiTheme="majorBidi" w:hAnsiTheme="majorBidi" w:cstheme="majorBidi"/>
              </w:rPr>
            </w:pPr>
            <w:r w:rsidRPr="003B1A77">
              <w:rPr>
                <w:rFonts w:asciiTheme="majorBidi" w:hAnsiTheme="majorBidi" w:cstheme="majorBidi"/>
              </w:rPr>
              <w:t xml:space="preserve">14/16 </w:t>
            </w:r>
          </w:p>
        </w:tc>
        <w:tc>
          <w:tcPr>
            <w:tcW w:w="1170" w:type="dxa"/>
            <w:vAlign w:val="bottom"/>
          </w:tcPr>
          <w:p w14:paraId="3D92DFB9" w14:textId="77777777" w:rsidR="00FE0715" w:rsidRPr="003B1A77" w:rsidRDefault="00FE0715" w:rsidP="008A7699">
            <w:pPr>
              <w:rPr>
                <w:rFonts w:asciiTheme="majorBidi" w:hAnsiTheme="majorBidi" w:cstheme="majorBidi"/>
              </w:rPr>
            </w:pPr>
            <w:r w:rsidRPr="003B1A77">
              <w:rPr>
                <w:rFonts w:asciiTheme="majorBidi" w:hAnsiTheme="majorBidi" w:cstheme="majorBidi"/>
              </w:rPr>
              <w:t>15/15</w:t>
            </w:r>
          </w:p>
        </w:tc>
        <w:tc>
          <w:tcPr>
            <w:tcW w:w="7019" w:type="dxa"/>
            <w:vAlign w:val="bottom"/>
          </w:tcPr>
          <w:p w14:paraId="469D905A" w14:textId="77777777" w:rsidR="00FE0715" w:rsidRPr="003B1A77" w:rsidRDefault="00FE0715" w:rsidP="008A7699">
            <w:pPr>
              <w:rPr>
                <w:rFonts w:asciiTheme="majorBidi" w:hAnsiTheme="majorBidi" w:cstheme="majorBidi"/>
              </w:rPr>
            </w:pPr>
            <w:r w:rsidRPr="003B1A77">
              <w:rPr>
                <w:rFonts w:asciiTheme="majorBidi" w:hAnsiTheme="majorBidi" w:cstheme="majorBidi"/>
              </w:rPr>
              <w:t>Dexmedetomidine infusion (0.6μg/kg/hour) could reduce bleeding and provide surgeon's satisfaction during trans</w:t>
            </w:r>
            <w:r w:rsidRPr="003B1A77">
              <w:rPr>
                <w:rFonts w:asciiTheme="majorBidi" w:hAnsiTheme="majorBidi" w:cstheme="majorBidi"/>
              </w:rPr>
              <w:softHyphen/>
              <w:t>sphenoidal resection of pituitary adenoma.</w:t>
            </w:r>
          </w:p>
        </w:tc>
      </w:tr>
      <w:tr w:rsidR="00FE0715" w:rsidRPr="003B1A77" w14:paraId="1F2704B1" w14:textId="77777777" w:rsidTr="008A7699">
        <w:tc>
          <w:tcPr>
            <w:tcW w:w="1293" w:type="dxa"/>
            <w:vAlign w:val="bottom"/>
          </w:tcPr>
          <w:p w14:paraId="1162C89C" w14:textId="77777777" w:rsidR="00FE0715" w:rsidRPr="003B1A77" w:rsidRDefault="00FE0715" w:rsidP="008A7699">
            <w:pPr>
              <w:rPr>
                <w:rFonts w:asciiTheme="majorBidi" w:hAnsiTheme="majorBidi" w:cstheme="majorBidi"/>
              </w:rPr>
            </w:pPr>
            <w:r w:rsidRPr="003B1A77">
              <w:rPr>
                <w:rFonts w:asciiTheme="majorBidi" w:hAnsiTheme="majorBidi" w:cstheme="majorBidi"/>
              </w:rPr>
              <w:t>Soliman 2017</w:t>
            </w:r>
            <w:hyperlink r:id="rId13" w:history="1">
              <w:r>
                <w:rPr>
                  <w:rFonts w:ascii="Times New Roman" w:eastAsia="Times New Roman" w:hAnsi="Times New Roman" w:cs="Times New Roman"/>
                </w:rPr>
                <w:t>(19)</w:t>
              </w:r>
            </w:hyperlink>
          </w:p>
        </w:tc>
        <w:tc>
          <w:tcPr>
            <w:tcW w:w="954" w:type="dxa"/>
            <w:vAlign w:val="bottom"/>
          </w:tcPr>
          <w:p w14:paraId="15B6BA6D" w14:textId="77777777" w:rsidR="00FE0715" w:rsidRPr="003B1A77" w:rsidRDefault="00FE0715" w:rsidP="008A7699">
            <w:pPr>
              <w:rPr>
                <w:rFonts w:asciiTheme="majorBidi" w:hAnsiTheme="majorBidi" w:cstheme="majorBidi"/>
              </w:rPr>
            </w:pPr>
            <w:r w:rsidRPr="003B1A77">
              <w:rPr>
                <w:rFonts w:asciiTheme="majorBidi" w:hAnsiTheme="majorBidi" w:cstheme="majorBidi"/>
              </w:rPr>
              <w:t>RCT</w:t>
            </w:r>
          </w:p>
        </w:tc>
        <w:tc>
          <w:tcPr>
            <w:tcW w:w="1170" w:type="dxa"/>
            <w:vAlign w:val="bottom"/>
          </w:tcPr>
          <w:p w14:paraId="1E1AB274" w14:textId="77777777" w:rsidR="00FE0715" w:rsidRPr="003B1A77" w:rsidRDefault="00FE0715" w:rsidP="008A7699">
            <w:pPr>
              <w:rPr>
                <w:rFonts w:asciiTheme="majorBidi" w:hAnsiTheme="majorBidi" w:cstheme="majorBidi"/>
              </w:rPr>
            </w:pPr>
            <w:r w:rsidRPr="003B1A77">
              <w:rPr>
                <w:rFonts w:asciiTheme="majorBidi" w:hAnsiTheme="majorBidi" w:cstheme="majorBidi"/>
              </w:rPr>
              <w:t>Egypt</w:t>
            </w:r>
          </w:p>
        </w:tc>
        <w:tc>
          <w:tcPr>
            <w:tcW w:w="2070" w:type="dxa"/>
            <w:vAlign w:val="bottom"/>
          </w:tcPr>
          <w:p w14:paraId="013CD13B" w14:textId="77777777" w:rsidR="00FE0715" w:rsidRPr="003B1A77" w:rsidRDefault="00FE0715" w:rsidP="008A7699">
            <w:pPr>
              <w:rPr>
                <w:rFonts w:asciiTheme="majorBidi" w:hAnsiTheme="majorBidi" w:cstheme="majorBidi"/>
              </w:rPr>
            </w:pPr>
            <w:r w:rsidRPr="003B1A77">
              <w:rPr>
                <w:rFonts w:asciiTheme="majorBidi" w:hAnsiTheme="majorBidi" w:cstheme="majorBidi"/>
              </w:rPr>
              <w:t>76</w:t>
            </w:r>
          </w:p>
        </w:tc>
        <w:tc>
          <w:tcPr>
            <w:tcW w:w="1080" w:type="dxa"/>
            <w:vAlign w:val="bottom"/>
          </w:tcPr>
          <w:p w14:paraId="153363AE" w14:textId="77777777" w:rsidR="00FE0715" w:rsidRPr="003B1A77" w:rsidRDefault="00FE0715" w:rsidP="008A7699">
            <w:pPr>
              <w:rPr>
                <w:rFonts w:asciiTheme="majorBidi" w:hAnsiTheme="majorBidi" w:cstheme="majorBidi"/>
              </w:rPr>
            </w:pPr>
            <w:r w:rsidRPr="003B1A77">
              <w:rPr>
                <w:rFonts w:asciiTheme="majorBidi" w:hAnsiTheme="majorBidi" w:cstheme="majorBidi"/>
              </w:rPr>
              <w:t>76</w:t>
            </w:r>
          </w:p>
        </w:tc>
        <w:tc>
          <w:tcPr>
            <w:tcW w:w="2072" w:type="dxa"/>
            <w:vAlign w:val="bottom"/>
          </w:tcPr>
          <w:p w14:paraId="6F83DA3C" w14:textId="77777777" w:rsidR="00FE0715" w:rsidRPr="003B1A77" w:rsidRDefault="00FE0715" w:rsidP="008A7699">
            <w:pPr>
              <w:rPr>
                <w:rFonts w:asciiTheme="majorBidi" w:hAnsiTheme="majorBidi" w:cstheme="majorBidi"/>
              </w:rPr>
            </w:pPr>
            <w:r w:rsidRPr="003B1A77">
              <w:rPr>
                <w:rFonts w:asciiTheme="majorBidi" w:hAnsiTheme="majorBidi" w:cstheme="majorBidi"/>
              </w:rPr>
              <w:t>43.20±10.93</w:t>
            </w:r>
          </w:p>
        </w:tc>
        <w:tc>
          <w:tcPr>
            <w:tcW w:w="1170" w:type="dxa"/>
            <w:vAlign w:val="bottom"/>
          </w:tcPr>
          <w:p w14:paraId="305814D7" w14:textId="77777777" w:rsidR="00FE0715" w:rsidRPr="003B1A77" w:rsidRDefault="00FE0715" w:rsidP="008A7699">
            <w:pPr>
              <w:rPr>
                <w:rFonts w:asciiTheme="majorBidi" w:hAnsiTheme="majorBidi" w:cstheme="majorBidi"/>
              </w:rPr>
            </w:pPr>
            <w:r w:rsidRPr="003B1A77">
              <w:rPr>
                <w:rFonts w:asciiTheme="majorBidi" w:hAnsiTheme="majorBidi" w:cstheme="majorBidi"/>
                <w:color w:val="1F1F1F"/>
              </w:rPr>
              <w:t>44.02±10.14</w:t>
            </w:r>
          </w:p>
        </w:tc>
        <w:tc>
          <w:tcPr>
            <w:tcW w:w="2072" w:type="dxa"/>
            <w:vAlign w:val="bottom"/>
          </w:tcPr>
          <w:p w14:paraId="3E2440AA" w14:textId="77777777" w:rsidR="00FE0715" w:rsidRPr="003B1A77" w:rsidRDefault="00FE0715" w:rsidP="008A7699">
            <w:pPr>
              <w:rPr>
                <w:rFonts w:asciiTheme="majorBidi" w:hAnsiTheme="majorBidi" w:cstheme="majorBidi"/>
              </w:rPr>
            </w:pPr>
            <w:r w:rsidRPr="003B1A77">
              <w:rPr>
                <w:rFonts w:asciiTheme="majorBidi" w:hAnsiTheme="majorBidi" w:cstheme="majorBidi"/>
              </w:rPr>
              <w:t xml:space="preserve">90.09±9.98 </w:t>
            </w:r>
          </w:p>
        </w:tc>
        <w:tc>
          <w:tcPr>
            <w:tcW w:w="1080" w:type="dxa"/>
            <w:vAlign w:val="bottom"/>
          </w:tcPr>
          <w:p w14:paraId="0FD19B51" w14:textId="77777777" w:rsidR="00FE0715" w:rsidRPr="003B1A77" w:rsidRDefault="00FE0715" w:rsidP="008A7699">
            <w:pPr>
              <w:rPr>
                <w:rFonts w:asciiTheme="majorBidi" w:hAnsiTheme="majorBidi" w:cstheme="majorBidi"/>
              </w:rPr>
            </w:pPr>
            <w:r w:rsidRPr="003B1A77">
              <w:rPr>
                <w:rFonts w:asciiTheme="majorBidi" w:hAnsiTheme="majorBidi" w:cstheme="majorBidi"/>
              </w:rPr>
              <w:t>92.26±10.24</w:t>
            </w:r>
          </w:p>
        </w:tc>
        <w:tc>
          <w:tcPr>
            <w:tcW w:w="2070" w:type="dxa"/>
            <w:vAlign w:val="bottom"/>
          </w:tcPr>
          <w:p w14:paraId="774038EE" w14:textId="77777777" w:rsidR="00FE0715" w:rsidRPr="003B1A77" w:rsidRDefault="00FE0715" w:rsidP="008A7699">
            <w:pPr>
              <w:rPr>
                <w:rFonts w:asciiTheme="majorBidi" w:hAnsiTheme="majorBidi" w:cstheme="majorBidi"/>
              </w:rPr>
            </w:pPr>
            <w:r w:rsidRPr="003B1A77">
              <w:rPr>
                <w:rFonts w:asciiTheme="majorBidi" w:hAnsiTheme="majorBidi" w:cstheme="majorBidi"/>
              </w:rPr>
              <w:t>40/36</w:t>
            </w:r>
          </w:p>
        </w:tc>
        <w:tc>
          <w:tcPr>
            <w:tcW w:w="1170" w:type="dxa"/>
            <w:vAlign w:val="bottom"/>
          </w:tcPr>
          <w:p w14:paraId="75D4FFBD" w14:textId="77777777" w:rsidR="00FE0715" w:rsidRPr="003B1A77" w:rsidRDefault="00FE0715" w:rsidP="008A7699">
            <w:pPr>
              <w:rPr>
                <w:rFonts w:asciiTheme="majorBidi" w:hAnsiTheme="majorBidi" w:cstheme="majorBidi"/>
              </w:rPr>
            </w:pPr>
            <w:r w:rsidRPr="003B1A77">
              <w:rPr>
                <w:rFonts w:asciiTheme="majorBidi" w:hAnsiTheme="majorBidi" w:cstheme="majorBidi"/>
              </w:rPr>
              <w:t>36/41</w:t>
            </w:r>
          </w:p>
        </w:tc>
        <w:tc>
          <w:tcPr>
            <w:tcW w:w="7019" w:type="dxa"/>
            <w:vAlign w:val="bottom"/>
          </w:tcPr>
          <w:p w14:paraId="0763EA7A" w14:textId="77777777" w:rsidR="00FE0715" w:rsidRPr="003B1A77" w:rsidRDefault="00FE0715" w:rsidP="008A7699">
            <w:pPr>
              <w:rPr>
                <w:rFonts w:asciiTheme="majorBidi" w:hAnsiTheme="majorBidi" w:cstheme="majorBidi"/>
              </w:rPr>
            </w:pPr>
            <w:r w:rsidRPr="003B1A77">
              <w:rPr>
                <w:rFonts w:asciiTheme="majorBidi" w:hAnsiTheme="majorBidi" w:cstheme="majorBidi"/>
              </w:rPr>
              <w:t>dexmedetomidine, compared to magnesium, is associated with lower blood loss and better operating conditions but with more hypotension and bradycardia</w:t>
            </w:r>
          </w:p>
        </w:tc>
      </w:tr>
    </w:tbl>
    <w:p w14:paraId="6E83A755" w14:textId="77777777" w:rsidR="003B1A77" w:rsidRDefault="003B1A77">
      <w:pPr>
        <w:rPr>
          <w:rFonts w:ascii="Times New Roman" w:eastAsia="Times New Roman" w:hAnsi="Times New Roman" w:cs="Times New Roman"/>
          <w:color w:val="000000"/>
          <w:kern w:val="0"/>
          <w:sz w:val="22"/>
          <w14:ligatures w14:val="none"/>
        </w:rPr>
      </w:pPr>
    </w:p>
    <w:p w14:paraId="4471559A" w14:textId="6825FB9B" w:rsidR="003B1A77" w:rsidRPr="003B1A77" w:rsidRDefault="003B1A77" w:rsidP="003B1A77">
      <w:pPr>
        <w:rPr>
          <w:rFonts w:ascii="Times New Roman" w:hAnsi="Times New Roman" w:cs="Times New Roman"/>
          <w:color w:val="000000"/>
          <w:sz w:val="28"/>
          <w:szCs w:val="32"/>
        </w:rPr>
      </w:pPr>
      <w:r w:rsidRPr="003B1A77">
        <w:rPr>
          <w:rFonts w:ascii="Times New Roman" w:eastAsia="Times New Roman" w:hAnsi="Times New Roman" w:cs="Times New Roman"/>
          <w:b/>
          <w:bCs/>
          <w:color w:val="000000"/>
          <w:kern w:val="0"/>
          <w:sz w:val="28"/>
          <w:szCs w:val="32"/>
          <w14:ligatures w14:val="none"/>
        </w:rPr>
        <w:t>Table 1</w:t>
      </w:r>
      <w:r w:rsidRPr="003B1A77">
        <w:rPr>
          <w:rFonts w:ascii="Times New Roman" w:eastAsia="Times New Roman" w:hAnsi="Times New Roman" w:cs="Times New Roman"/>
          <w:color w:val="000000"/>
          <w:kern w:val="0"/>
          <w:sz w:val="28"/>
          <w:szCs w:val="32"/>
          <w14:ligatures w14:val="none"/>
        </w:rPr>
        <w:t>: baseline characteristics of included studies.</w:t>
      </w:r>
    </w:p>
    <w:p w14:paraId="62960233" w14:textId="0E2069B2" w:rsidR="003B1A77" w:rsidRPr="003B1A77" w:rsidRDefault="003B1A77" w:rsidP="003B1A77">
      <w:pPr>
        <w:spacing w:afterLines="100" w:after="240" w:line="220" w:lineRule="auto"/>
        <w:ind w:left="640" w:hanging="640"/>
        <w:rPr>
          <w:rFonts w:asciiTheme="majorBidi" w:hAnsiTheme="majorBidi" w:cstheme="majorBidi"/>
          <w:sz w:val="22"/>
          <w:szCs w:val="22"/>
        </w:rPr>
      </w:pPr>
      <w:r w:rsidRPr="003B1A77">
        <w:rPr>
          <w:rFonts w:ascii="Times New Roman" w:hAnsi="Times New Roman" w:cs="Times New Roman"/>
          <w:color w:val="000000"/>
          <w:sz w:val="22"/>
        </w:rPr>
        <w:t xml:space="preserve"> </w:t>
      </w:r>
    </w:p>
    <w:sectPr w:rsidR="003B1A77" w:rsidRPr="003B1A77" w:rsidSect="003B1A77">
      <w:pgSz w:w="23811" w:h="16838" w:orient="landscape" w:code="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1A77"/>
    <w:rsid w:val="003501FF"/>
    <w:rsid w:val="003B1A77"/>
    <w:rsid w:val="0075290F"/>
    <w:rsid w:val="00993112"/>
    <w:rsid w:val="00FE071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5D5C0"/>
  <w15:chartTrackingRefBased/>
  <w15:docId w15:val="{46B47A05-89B4-494D-A58F-B7896B6EE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B1A7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B1A7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B1A7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B1A7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B1A7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B1A7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B1A7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B1A7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B1A7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1A7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B1A7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B1A7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B1A7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B1A7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B1A7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B1A7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B1A7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B1A77"/>
    <w:rPr>
      <w:rFonts w:eastAsiaTheme="majorEastAsia" w:cstheme="majorBidi"/>
      <w:color w:val="272727" w:themeColor="text1" w:themeTint="D8"/>
    </w:rPr>
  </w:style>
  <w:style w:type="paragraph" w:styleId="Title">
    <w:name w:val="Title"/>
    <w:basedOn w:val="Normal"/>
    <w:next w:val="Normal"/>
    <w:link w:val="TitleChar"/>
    <w:uiPriority w:val="10"/>
    <w:qFormat/>
    <w:rsid w:val="003B1A7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B1A7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B1A7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B1A7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B1A77"/>
    <w:pPr>
      <w:spacing w:before="160"/>
      <w:jc w:val="center"/>
    </w:pPr>
    <w:rPr>
      <w:i/>
      <w:iCs/>
      <w:color w:val="404040" w:themeColor="text1" w:themeTint="BF"/>
    </w:rPr>
  </w:style>
  <w:style w:type="character" w:customStyle="1" w:styleId="QuoteChar">
    <w:name w:val="Quote Char"/>
    <w:basedOn w:val="DefaultParagraphFont"/>
    <w:link w:val="Quote"/>
    <w:uiPriority w:val="29"/>
    <w:rsid w:val="003B1A77"/>
    <w:rPr>
      <w:i/>
      <w:iCs/>
      <w:color w:val="404040" w:themeColor="text1" w:themeTint="BF"/>
    </w:rPr>
  </w:style>
  <w:style w:type="paragraph" w:styleId="ListParagraph">
    <w:name w:val="List Paragraph"/>
    <w:basedOn w:val="Normal"/>
    <w:uiPriority w:val="34"/>
    <w:qFormat/>
    <w:rsid w:val="003B1A77"/>
    <w:pPr>
      <w:ind w:left="720"/>
      <w:contextualSpacing/>
    </w:pPr>
  </w:style>
  <w:style w:type="character" w:styleId="IntenseEmphasis">
    <w:name w:val="Intense Emphasis"/>
    <w:basedOn w:val="DefaultParagraphFont"/>
    <w:uiPriority w:val="21"/>
    <w:qFormat/>
    <w:rsid w:val="003B1A77"/>
    <w:rPr>
      <w:i/>
      <w:iCs/>
      <w:color w:val="0F4761" w:themeColor="accent1" w:themeShade="BF"/>
    </w:rPr>
  </w:style>
  <w:style w:type="paragraph" w:styleId="IntenseQuote">
    <w:name w:val="Intense Quote"/>
    <w:basedOn w:val="Normal"/>
    <w:next w:val="Normal"/>
    <w:link w:val="IntenseQuoteChar"/>
    <w:uiPriority w:val="30"/>
    <w:qFormat/>
    <w:rsid w:val="003B1A7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B1A77"/>
    <w:rPr>
      <w:i/>
      <w:iCs/>
      <w:color w:val="0F4761" w:themeColor="accent1" w:themeShade="BF"/>
    </w:rPr>
  </w:style>
  <w:style w:type="character" w:styleId="IntenseReference">
    <w:name w:val="Intense Reference"/>
    <w:basedOn w:val="DefaultParagraphFont"/>
    <w:uiPriority w:val="32"/>
    <w:qFormat/>
    <w:rsid w:val="003B1A77"/>
    <w:rPr>
      <w:b/>
      <w:bCs/>
      <w:smallCaps/>
      <w:color w:val="0F4761" w:themeColor="accent1" w:themeShade="BF"/>
      <w:spacing w:val="5"/>
    </w:rPr>
  </w:style>
  <w:style w:type="table" w:styleId="TableGrid">
    <w:name w:val="Table Grid"/>
    <w:basedOn w:val="TableNormal"/>
    <w:uiPriority w:val="39"/>
    <w:rsid w:val="003B1A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3B1A77"/>
    <w:rPr>
      <w:color w:val="0000FF"/>
      <w:u w:val="single"/>
    </w:rPr>
  </w:style>
  <w:style w:type="paragraph" w:styleId="NormalWeb">
    <w:name w:val="Normal (Web)"/>
    <w:basedOn w:val="Normal"/>
    <w:uiPriority w:val="99"/>
    <w:semiHidden/>
    <w:unhideWhenUsed/>
    <w:rsid w:val="003B1A77"/>
    <w:pPr>
      <w:spacing w:before="100" w:beforeAutospacing="1" w:after="100" w:afterAutospacing="1" w:line="240" w:lineRule="auto"/>
    </w:pPr>
    <w:rPr>
      <w:rFonts w:ascii="Times New Roman" w:eastAsiaTheme="minorEastAsia" w:hAnsi="Times New Roman" w:cs="Times New Roman"/>
      <w:kern w:val="0"/>
      <w14:ligatures w14:val="none"/>
    </w:rPr>
  </w:style>
  <w:style w:type="character" w:customStyle="1" w:styleId="csl-left-margin">
    <w:name w:val="csl-left-margin"/>
    <w:basedOn w:val="DefaultParagraphFont"/>
    <w:rsid w:val="003B1A77"/>
  </w:style>
  <w:style w:type="character" w:customStyle="1" w:styleId="csl-right-inline">
    <w:name w:val="csl-right-inline"/>
    <w:basedOn w:val="DefaultParagraphFont"/>
    <w:rsid w:val="003B1A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78936">
      <w:bodyDiv w:val="1"/>
      <w:marLeft w:val="0"/>
      <w:marRight w:val="0"/>
      <w:marTop w:val="0"/>
      <w:marBottom w:val="0"/>
      <w:divBdr>
        <w:top w:val="none" w:sz="0" w:space="0" w:color="auto"/>
        <w:left w:val="none" w:sz="0" w:space="0" w:color="auto"/>
        <w:bottom w:val="none" w:sz="0" w:space="0" w:color="auto"/>
        <w:right w:val="none" w:sz="0" w:space="0" w:color="auto"/>
      </w:divBdr>
    </w:div>
    <w:div w:id="363868238">
      <w:bodyDiv w:val="1"/>
      <w:marLeft w:val="0"/>
      <w:marRight w:val="0"/>
      <w:marTop w:val="0"/>
      <w:marBottom w:val="0"/>
      <w:divBdr>
        <w:top w:val="none" w:sz="0" w:space="0" w:color="auto"/>
        <w:left w:val="none" w:sz="0" w:space="0" w:color="auto"/>
        <w:bottom w:val="none" w:sz="0" w:space="0" w:color="auto"/>
        <w:right w:val="none" w:sz="0" w:space="0" w:color="auto"/>
      </w:divBdr>
    </w:div>
    <w:div w:id="820388491">
      <w:bodyDiv w:val="1"/>
      <w:marLeft w:val="0"/>
      <w:marRight w:val="0"/>
      <w:marTop w:val="0"/>
      <w:marBottom w:val="0"/>
      <w:divBdr>
        <w:top w:val="none" w:sz="0" w:space="0" w:color="auto"/>
        <w:left w:val="none" w:sz="0" w:space="0" w:color="auto"/>
        <w:bottom w:val="none" w:sz="0" w:space="0" w:color="auto"/>
        <w:right w:val="none" w:sz="0" w:space="0" w:color="auto"/>
      </w:divBdr>
    </w:div>
    <w:div w:id="982538365">
      <w:bodyDiv w:val="1"/>
      <w:marLeft w:val="0"/>
      <w:marRight w:val="0"/>
      <w:marTop w:val="0"/>
      <w:marBottom w:val="0"/>
      <w:divBdr>
        <w:top w:val="none" w:sz="0" w:space="0" w:color="auto"/>
        <w:left w:val="none" w:sz="0" w:space="0" w:color="auto"/>
        <w:bottom w:val="none" w:sz="0" w:space="0" w:color="auto"/>
        <w:right w:val="none" w:sz="0" w:space="0" w:color="auto"/>
      </w:divBdr>
    </w:div>
    <w:div w:id="1292905291">
      <w:bodyDiv w:val="1"/>
      <w:marLeft w:val="0"/>
      <w:marRight w:val="0"/>
      <w:marTop w:val="0"/>
      <w:marBottom w:val="0"/>
      <w:divBdr>
        <w:top w:val="none" w:sz="0" w:space="0" w:color="auto"/>
        <w:left w:val="none" w:sz="0" w:space="0" w:color="auto"/>
        <w:bottom w:val="none" w:sz="0" w:space="0" w:color="auto"/>
        <w:right w:val="none" w:sz="0" w:space="0" w:color="auto"/>
      </w:divBdr>
    </w:div>
    <w:div w:id="1650132226">
      <w:bodyDiv w:val="1"/>
      <w:marLeft w:val="0"/>
      <w:marRight w:val="0"/>
      <w:marTop w:val="0"/>
      <w:marBottom w:val="0"/>
      <w:divBdr>
        <w:top w:val="none" w:sz="0" w:space="0" w:color="auto"/>
        <w:left w:val="none" w:sz="0" w:space="0" w:color="auto"/>
        <w:bottom w:val="none" w:sz="0" w:space="0" w:color="auto"/>
        <w:right w:val="none" w:sz="0" w:space="0" w:color="auto"/>
      </w:divBdr>
    </w:div>
    <w:div w:id="1821267702">
      <w:bodyDiv w:val="1"/>
      <w:marLeft w:val="0"/>
      <w:marRight w:val="0"/>
      <w:marTop w:val="0"/>
      <w:marBottom w:val="0"/>
      <w:divBdr>
        <w:top w:val="none" w:sz="0" w:space="0" w:color="auto"/>
        <w:left w:val="none" w:sz="0" w:space="0" w:color="auto"/>
        <w:bottom w:val="none" w:sz="0" w:space="0" w:color="auto"/>
        <w:right w:val="none" w:sz="0" w:space="0" w:color="auto"/>
      </w:divBdr>
    </w:div>
    <w:div w:id="1823156978">
      <w:bodyDiv w:val="1"/>
      <w:marLeft w:val="0"/>
      <w:marRight w:val="0"/>
      <w:marTop w:val="0"/>
      <w:marBottom w:val="0"/>
      <w:divBdr>
        <w:top w:val="none" w:sz="0" w:space="0" w:color="auto"/>
        <w:left w:val="none" w:sz="0" w:space="0" w:color="auto"/>
        <w:bottom w:val="none" w:sz="0" w:space="0" w:color="auto"/>
        <w:right w:val="none" w:sz="0" w:space="0" w:color="auto"/>
      </w:divBdr>
    </w:div>
    <w:div w:id="1908108171">
      <w:bodyDiv w:val="1"/>
      <w:marLeft w:val="0"/>
      <w:marRight w:val="0"/>
      <w:marTop w:val="0"/>
      <w:marBottom w:val="0"/>
      <w:divBdr>
        <w:top w:val="none" w:sz="0" w:space="0" w:color="auto"/>
        <w:left w:val="none" w:sz="0" w:space="0" w:color="auto"/>
        <w:bottom w:val="none" w:sz="0" w:space="0" w:color="auto"/>
        <w:right w:val="none" w:sz="0" w:space="0" w:color="auto"/>
      </w:divBdr>
    </w:div>
    <w:div w:id="2005352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iwheel.com/work/citation?ids=16587996&amp;pre=&amp;suf=&amp;sa=0&amp;dbf=0" TargetMode="External"/><Relationship Id="rId13" Type="http://schemas.openxmlformats.org/officeDocument/2006/relationships/hyperlink" Target="https://sciwheel.com/work/citation?ids=16588086&amp;pre=&amp;suf=&amp;sa=0&amp;dbf=0" TargetMode="External"/><Relationship Id="rId3" Type="http://schemas.openxmlformats.org/officeDocument/2006/relationships/webSettings" Target="webSettings.xml"/><Relationship Id="rId7" Type="http://schemas.openxmlformats.org/officeDocument/2006/relationships/hyperlink" Target="https://sciwheel.com/work/citation?ids=16588074&amp;pre=&amp;suf=&amp;sa=0&amp;dbf=0" TargetMode="External"/><Relationship Id="rId12" Type="http://schemas.openxmlformats.org/officeDocument/2006/relationships/hyperlink" Target="https://sciwheel.com/work/citation?ids=6539566&amp;pre=&amp;suf=&amp;sa=0&amp;dbf=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ciwheel.com/work/citation?ids=16588075&amp;pre=&amp;suf=&amp;sa=0&amp;dbf=0" TargetMode="External"/><Relationship Id="rId11" Type="http://schemas.openxmlformats.org/officeDocument/2006/relationships/hyperlink" Target="https://sciwheel.com/work/citation?ids=16587992&amp;pre=&amp;suf=&amp;sa=0&amp;dbf=0" TargetMode="External"/><Relationship Id="rId5" Type="http://schemas.openxmlformats.org/officeDocument/2006/relationships/hyperlink" Target="https://sciwheel.com/work/citation?ids=13038359&amp;pre=&amp;suf=&amp;sa=0&amp;dbf=0" TargetMode="External"/><Relationship Id="rId15" Type="http://schemas.openxmlformats.org/officeDocument/2006/relationships/theme" Target="theme/theme1.xml"/><Relationship Id="rId10" Type="http://schemas.openxmlformats.org/officeDocument/2006/relationships/hyperlink" Target="https://sciwheel.com/work/citation?ids=16588098&amp;pre=&amp;suf=&amp;sa=0&amp;dbf=0" TargetMode="External"/><Relationship Id="rId4" Type="http://schemas.openxmlformats.org/officeDocument/2006/relationships/hyperlink" Target="https://sciwheel.com/work/citation?ids=16588088&amp;pre=&amp;suf=&amp;sa=0&amp;dbf=0" TargetMode="External"/><Relationship Id="rId9" Type="http://schemas.openxmlformats.org/officeDocument/2006/relationships/hyperlink" Target="https://sciwheel.com/work/citation?ids=16588012&amp;pre=&amp;suf=&amp;sa=0&amp;dbf=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D30D9F2-CE95-482C-853B-DC654E5C9DCE}">
  <we:reference id="wa200002534" version="6.0.0.0" store="en-US" storeType="OMEX"/>
  <we:alternateReferences>
    <we:reference id="WA200002534" version="6.0.0.0" store="" storeType="OMEX"/>
  </we:alternateReferences>
  <we:properties>
    <we:property name="sciwheel-csl-items" value="[{&quot;title&quot;:&quot;Effects of Low versus Intermediate Doses of Dexmedetomidine Infusion on Blood Loss, Hemodynamics, and Operative Time in Transsphenoidal Pituitary Tumor Removal: A Prospective Randomized Study&quot;,&quot;page&quot;:&quot;039-045&quot;,&quot;volume&quot;:&quot;10&quot;,&quot;issue&quot;:&quot;01&quot;,&quot;journalAbbreviation&quot;:&quot;J. Neuroanaesth. Crit. Care&quot;,&quot;id&quot;:&quot;16588098&quot;,&quot;type&quot;:&quot;article-journal&quot;,&quot;container-title&quot;:&quot;Journal of neuroanaesthesiology and critical care&quot;,&quot;container-title-short&quot;:&quot;J. Neuroanaesth. Crit. Care&quot;,&quot;abstract&quot;:&quot;Background Dexmedetomidine, an alpha-2 agonist, has been widely used as an anesthetic adjunct for transsphenoidal pituitary resection. However, there is no consensus on the appropriate infusion dosage. This study aimed to compare the effects of low (0.2 mcg/kg/h) and intermediate (0.5 mcg/kg/h) dexmedetomidine infusions during anesthetic maintenance on blood loss, hemodynamics, and operating time.\nMethods A randomized controlled trial involving two centers was conducted. Between December 2015 and November 2019, 80 patients (40 in each group) who underwent elective transsphenoidal pituitary tumor resection were recruited. Dexmedetomidine was administered to group I at a loading dose of 0.5 mcg/kg, followed by 0.2 mcg/kg/h, and to group II at the same loading dose, followed by 0.5 mcg/kg/h. Comparative analyses were performed using the Student's t-test, repeated-measures analysis of variance, and Mann–Whitney U test; p-values &lt; 0.05 were considered statistically significant.\nResults Eighty patients were analyzed. Patient demographics were comparable. The difference in intraoperative blood loss between both groups (320 [220–525] vs. 250 [100-487] mL, p = 0.070) was not statistically significant. There were no differences in blood pressure or heart rate between the groups. In group II, the procedure took significantly less time (179 vs. 142 minutes, p = 0.018), with more episodes of transient hypotension (p = 0.034).\nConclusion When maintaining anesthesia for transsphenoidal pituitary resection, dexmedetomidine infusions of 0.2 and 0.5 mcg/kg/h showed the same effect on blood loss and hemodynamics; however, significantly more episodes of transient hypotension and shorter operating times were noted with the latter.&quot;,&quot;author&quot;:[{&quot;family&quot;:&quot;Muangman&quot;,&quot;given&quot;:&quot;Saipin&quot;},{&quot;family&quot;:&quot;Raksakietisak&quot;,&quot;given&quot;:&quot;Manee&quot;},{&quot;family&quot;:&quot;Akavipat&quot;,&quot;given&quot;:&quot;Phuping&quot;},{&quot;family&quot;:&quot;Rushatamukayanunt&quot;,&quot;given&quot;:&quot;Pranee&quot;},{&quot;family&quot;:&quot;Akkaworakit&quot;,&quot;given&quot;:&quot;Sirinuttakul&quot;},{&quot;family&quot;:&quot;Romkespikun&quot;,&quot;given&quot;:&quot;Natthaporn&quot;},{&quot;family&quot;:&quot;Mahatnirunkul&quot;,&quot;given&quot;:&quot;Porntip&quot;}],&quot;issued&quot;:{&quot;date-parts&quot;:[[&quot;2023&quot;,&quot;3&quot;]]},&quot;DOI&quot;:&quot;10.1055/s-0042-1758747&quot;,&quot;citation-label&quot;:&quot;16588098&quot;},{&quot;title&quot;:&quot;Dexmedetomidine infusion for prevention of hypertension and agitation during awakening after transsphenoidal resection of pituitary adenoma&quot;,&quot;page&quot;:&quot;30&quot;,&quot;issue&quot;:&quot;6&quot;,&quot;journalAbbreviation&quot;:&quot;Anaes. i reanim.&quot;,&quot;id&quot;:&quot;16588088&quot;,&quot;type&quot;:&quot;article-journal&quot;,&quot;container-title&quot;:&quot;Anesteziologiya i reanimatologiya&quot;,&quot;container-title-short&quot;:&quot;Anaes. i reanim.&quot;,&quot;author&quot;:[{&quot;family&quot;:&quot;Arefiev&quot;,&quot;given&quot;:&quot;A M&quot;},{&quot;family&quot;:&quot;Kulikov&quot;,&quot;given&quot;:&quot;A S&quot;},{&quot;family&quot;:&quot;Kurnosov&quot;,&quot;given&quot;:&quot;A B&quot;},{&quot;family&quot;:&quot;Gadzhieva&quot;,&quot;given&quot;:&quot;O A&quot;},{&quot;family&quot;:&quot;Lubnin&quot;,&quot;given&quot;:&quot;A.Yu.&quot;}],&quot;issued&quot;:{&quot;date-parts&quot;:[[&quot;2020&quot;]]},&quot;DOI&quot;:&quot;10.17116/anaesthesiology202006130&quot;,&quot;citation-label&quot;:&quot;16588088&quot;},{&quot;title&quot;:&quot;The effects of dexmedetomidine and magnesium sulphate in adult patients undergoing endoscopic transnasal transsphenoidal resection of pituitary adenoma: A double-blind randomised study.&quot;,&quot;page&quot;:&quot;410-417&quot;,&quot;volume&quot;:&quot;61&quot;,&quot;issue&quot;:&quot;5&quot;,&quot;journalAbbreviation&quot;:&quot;Indian J. Anaesth.&quot;,&quot;id&quot;:&quot;16588086&quot;,&quot;type&quot;:&quot;article-journal&quot;,&quot;container-title&quot;:&quot;Indian journal of anaesthesia&quot;,&quot;container-title-short&quot;:&quot;Indian J. Anaesth.&quot;,&quot;abstract&quot;:&quot;BACKGROUND AND AIM: Transnasal transsphenoidal resection of pituitary tumours is associated with blood loss and wide fluctuations in haemodynamic parameters. The aim of the present study was to compare the effect of dexmedetomidine and magnesium sulphate during the transsphenoidal resection of pituitary tumours.METHODS: The study was a double-blind, randomised study and included 152 patients classified randomly into two groups: Group D: Dexmedetomidine was given as a loading dose 1 μg/kg over 10 min before induction followed by an infusion at 0.5 μg/kg/h during the surgery. Group M: Magnesium sulphate was given as loading dose of 50 mg/kg over 10 min followed by an infusion at 15 mg/kg/h during the surgery. The systolic, diastolic and mean arterial blood pressures, in addition to the amount of blood loss were measured at specific timepoints. Data were described in terms of mean ± standard deviation, median, frequencies, 95% confidence of interval of mean and percentages.RESULTS: Mean bleeding score was lower in Group D than Group M (1.36 ± 0.48 vs. 3.05 ± 0.65, respectively; P = 0.002). Mean blood loss was lower in Group D (157.43 ± 48.79 ml vs.299.47 ± 77.28 ml in Group M; P &lt;  0.001)Heart rate, mean arterial pressure, fentanyl requirements, end-tidal sevoflurane concentration, and extubation and emergence times were lower, while incidence of bradycardia and hypotension were higher in Group D.CONCLUSIONS: During transsphenoidal pituitary resection, dexmedetomidine, compared to magnesium, is associated with lower blood loss and better operating conditions but with more hypotension and bradycardia.&quot;,&quot;author&quot;:[{&quot;family&quot;:&quot;Soliman&quot;,&quot;given&quot;:&quot;Rabie&quot;},{&quot;family&quot;:&quot;Fouad&quot;,&quot;given&quot;:&quot;Eman&quot;}],&quot;issued&quot;:{&quot;date-parts&quot;:[[&quot;2017&quot;,&quot;5&quot;]]},&quot;DOI&quot;:&quot;10.4103/ija.IJA_581_16&quot;,&quot;PMID&quot;:&quot;28584351&quot;,&quot;PMCID&quot;:&quot;PMC5444220&quot;,&quot;citation-label&quot;:&quot;16588086&quot;},{&quot;title&quot;:&quot;Dexmedetomidine could enhance surgical satisfaction in Trans-sphenoidal resection of pituitary adenoma.&quot;,&quot;page&quot;:&quot;46-52&quot;,&quot;volume&quot;:&quot;61&quot;,&quot;issue&quot;:&quot;1&quot;,&quot;journalAbbreviation&quot;:&quot;J. Neurosurg. Sci.&quot;,&quot;id&quot;:&quot;6539566&quot;,&quot;type&quot;:&quot;article-journal&quot;,&quot;container-title&quot;:&quot;Journal of neurosurgical sciences&quot;,&quot;container-title-short&quot;:&quot;J. Neurosurg. Sci.&quot;,&quot;abstract&quot;:&quot;BACKGROUND: Excessive bleeding is an unwanted complication of trans-sphenoidal resection of pituitary adenoma due to increases in intracranial pressure (ICP) and hemodynamic instability. Dexmedetomidine (Dex) anα2-agonists is the drug of choice in intensive care units (ICU) and cardiac surgeries to control abrupt changes in hemodynamic. Severe cardiovascular responses occur during trans-sphenoidal resection (TSR) of the pituitary adenoma despite adequate depth of anesthesia. The aim of this paper was to determine the effect of Dexmedetomidine on bleeding as primary outcome, and surgeon's satisfaction and hemodynamic stability as secondary outcomes in patients undergoing trans-sphenoidal resection of pituitary adenoma.METHODS: Total numbers of 60 patients between 18-65 years old and candidate for elective trans-sphenoidal resection of pituitary adenoma were randomLy allocated to two groups; Dexmedetomidine infusion (0.6µg/kg/hour) or normal saline infusion. Mean arterial pressure (MAP), heart rate (HR), dose of hypnotics and narcotics during surgery, bleeding, and surgeon's satisfaction were recorded.RESULTS: Propofol maintenance dose (µg/kg/min) and total Fentanyl use (µg) were significantly lower in Dex group compare to control group (P=0.01 and 0.003, respectively). Total bleeding amount during operation in Dex group was significantly lower than control group (P=0.012). Surgeon's satisfaction was significantly higher in Dex group at the end of surgery. MAP and heart rate throughout surgery were significantly lower in Dex group compare to control group (P=0.001).CONCLUSIONS: Dexmedetomidine infusion (0.6µg/kg/hour) could reduce bleeding and provide surgeon's satisfaction during trans-sphenoidal resection of pituitary adenoma.&quot;,&quot;author&quot;:[{&quot;family&quot;:&quot;Salimi&quot;,&quot;given&quot;:&quot;Alireza&quot;},{&quot;family&quot;:&quot;Sharifi&quot;,&quot;given&quot;:&quot;Guive&quot;},{&quot;family&quot;:&quot;Bahrani&quot;,&quot;given&quot;:&quot;Houshang&quot;},{&quot;family&quot;:&quot;Mohajerani&quot;,&quot;given&quot;:&quot;Seyed A&quot;},{&quot;family&quot;:&quot;Jafari&quot;,&quot;given&quot;:&quot;Alireza&quot;},{&quot;family&quot;:&quot;Safari&quot;,&quot;given&quot;:&quot;Farhad&quot;},{&quot;family&quot;:&quot;Jalessi&quot;,&quot;given&quot;:&quot;Maryam&quot;},{&quot;family&quot;:&quot;Mirkheshti&quot;,&quot;given&quot;:&quot;Alireza&quot;},{&quot;family&quot;:&quot;Mottaghi&quot;,&quot;given&quot;:&quot;Kamran&quot;}],&quot;issued&quot;:{&quot;date-parts&quot;:[[&quot;2017&quot;]]},&quot;DOI&quot;:&quot;10.23736/S0390-5616.16.02792-2&quot;,&quot;PMID&quot;:&quot;24866894&quot;,&quot;citation-label&quot;:&quot;6539566&quot;},{&quot;title&quot;:&quot;Effect of intraoperative dexmedetomidine on early postoperative quality of recovery in patients undergoing endoscopic transsphenoidal surgery for non-functioning pituitary adenoma: a randomized controlled trial&quot;,&quot;journalAbbreviation&quot;:&quot;Res. Sq.&quot;,&quot;id&quot;:&quot;16588075&quot;,&quot;type&quot;:&quot;article-journal&quot;,&quot;container-title&quot;:&quot;Research square&quot;,&quot;container-title-short&quot;:&quot;Res. Sq.&quot;,&quot;abstract&quot;:&quot;Purpose Intraoperative dexmedetomidine administration attenuates surgical stress response and reduces postoperative pain, which are both essential for enhancing postoperative quality of recovery (QoR). This study aimed to determine whether intraoperative dexmedetomidine could improve early postoperative QoR in patients with nonfunctioning pituitary adenoma (NFPA) undergoing endoscopic transsphenoidal surgery (ETS). Methods Patients with NFPA who underwent ETS under total intravenous anesthesia using continuous infusion of propofol and remifentanil were randomly assigned to receive either intraoperative dexmedetomidine (dexmedetomidine group, n = 29) or normal saline (control group, n = 32). The QoR-15 questionnaire was used to evaluate the postoperative QoR. The primary outcome measure was the QoR-15 score on postoperative day 1. Perioperative serum cortisol levels, intraoperative serum interleukin-6 levels, and pain scores at 4, 24, and 48 h postoperatively were also evaluated. Results The QoR-15 score on postoperative day 1 did not differ between the dexmedetomidine and control groups (94.0 [79.0–112.0] vs. 92.5 [68.3–110.8], P = 0.606). Perioperative serum cortisol levels showed no significant time × group effect (P = 0.578). Intraoperative serum interleukin-6 level did not differ between the two groups (P = 0.974). Pain score was lower in the dexmedetomidine group at 4 h postoperatively (0.0 [0.0–0.0] vs. 1.0 [0.0–3.0], P = 0.003) than the control group. Conclusion Dexmedetomidine, as an anesthetic adjuvant, did not improve early postoperative QoR in patients with NFPA during ETS.&quot;,&quot;author&quot;:[{&quot;family&quot;:&quot;Choi&quot;,&quot;given&quot;:&quot;Seungeun&quot;},{&quot;family&quot;:&quot;Lim&quot;,&quot;given&quot;:&quot;Han Byeol&quot;},{&quot;family&quot;:&quot;Shin&quot;,&quot;given&quot;:&quot;Kyong Won&quot;},{&quot;family&quot;:&quot;Oh&quot;,&quot;given&quot;:&quot;Hyongmin&quot;},{&quot;family&quot;:&quot;Kim&quot;,&quot;given&quot;:&quot;Yong Hwy&quot;},{&quot;family&quot;:&quot;Kim&quot;,&quot;given&quot;:&quot;Jung Hee&quot;},{&quot;family&quot;:&quot;Park&quot;,&quot;given&quot;:&quot;Hee-Pyoung&quot;}],&quot;issued&quot;:{&quot;date-parts&quot;:[[&quot;2024&quot;,&quot;3&quot;,&quot;27&quot;]]},&quot;DOI&quot;:&quot;10.21203/rs.3.rs-4149671/v1&quot;,&quot;citation-label&quot;:&quot;16588075&quot;},{&quot;title&quot;:&quot;Dexmedetomidine as an anesthetic adjuvant in patients undergoing transsphenoidal resection of pituitary tumor.&quot;,&quot;page&quot;:&quot;209-215&quot;,&quot;volume&quot;:&quot;27&quot;,&quot;issue&quot;:&quot;3&quot;,&quot;journalAbbreviation&quot;:&quot;J. Neurosurg. Anesthesiol.&quot;,&quot;id&quot;:&quot;16588074&quot;,&quot;type&quot;:&quot;article-journal&quot;,&quot;container-title&quot;:&quot;Journal of Neurosurgical Anesthesiology&quot;,&quot;container-title-short&quot;:&quot;J. Neurosurg. Anesthesiol.&quot;,&quot;abstract&quot;:&quot;BACKGROUND: Transnasal transsphenoidal (TNTS) resection of pituitary tumors involves wide fluctuation in hemodynamic parameter and causes hypertension and tachycardia due to intense noxious stimuli during various stages of surgery. None of routinely used anesthetic agents effectively blunts the undesirable hemodynamic responses, and therefore usually there is a need to use increased doses of anesthetic agents. Dexmedetomidine (DEX) an α-2 adrenergic receptor agonist, because its sympatholytic and antinociceptive properties may ensure optimal intraoperative hemodynamic stability during critical moments of surgical manipulation. In addition, DEX reduced the anesthetic requirement with rapid recovery at the end of surgery. The main aim of our study was to evaluate the effect of DEX on perioperative hemodynamics, anesthetic requirements, and recovery characteristics in patients undergoing TNTS resection of pituitary tumors.MATERIALS AND METHODS: Forty-six patients scheduled for elective TNTS resection of pituitary tumor were randomized to receive a continuous infusion of DEX (group D) or 0.9% saline (group C). Patients in both the groups were subjected to a standardized anesthesia comprising of induction with propofol, fentanyl, vecuronium, and positive pressure ventilation with O2/air (1:1)/isoflurane. The response entropy target range during maintenance of anesthesia was 40 to 60. The hemodynamic variables at various stages of surgery, intraoperative anesthetic, and analgesic and recovery characteristics were recorded.RESULTS: Total fentanyl consumption during the study period was significantly lower in group D compared with group C (4.7 and 7.7 µg/kg, respectively; P&lt; 0.01). End-tidal isoflurane concentration requirement was found to be significantly reduced in group D compared with group C throughout the surgical period. Fentanyl and end-tidal isoflurane concentration requirement was reduced in group D compared with group C by 40% and 33.3%, respectively. Heart rate and mean arterial pressure were significantly higher in the group C compared with group D after intubation, during various stages of surgery and immediately after extubation. The group D had excellent surgical conditions and lesser bleeding in comparison to group C. Emergence time and extubation time were significantly shorter in group D compared with group C.CONCLUSIONS: DEX as an anesthetic adjuvant improved hemodynamic stability and decreased anesthetic requirements in patients undergoing TNTS resection of pituitary tumor. In addition, DEX provided better surgical field exposure conditions and early recovery from anesthesia.&quot;,&quot;author&quot;:[{&quot;family&quot;:&quot;Gopalakrishna&quot;,&quot;given&quot;:&quot;Kadarapura N&quot;},{&quot;family&quot;:&quot;Dash&quot;,&quot;given&quot;:&quot;Prasanta K&quot;},{&quot;family&quot;:&quot;Chatterjee&quot;,&quot;given&quot;:&quot;Nilay&quot;},{&quot;family&quot;:&quot;Easwer&quot;,&quot;given&quot;:&quot;Hariharan V&quot;},{&quot;family&quot;:&quot;Ganesamoorthi&quot;,&quot;given&quot;:&quot;Arimanickam&quot;}],&quot;issued&quot;:{&quot;date-parts&quot;:[[&quot;2015&quot;,&quot;7&quot;]]},&quot;DOI&quot;:&quot;10.1097/ANA.0000000000000144&quot;,&quot;PMID&quot;:&quot;25493927&quot;,&quot;citation-label&quot;:&quot;16588074&quot;},{&quot;title&quot;:&quot;Intraoperative dexmedetomidine maintains hemodynamic stability and hastens postoperative recovery in patients undergoing transsphenoidal pituitary surgery.&quot;,&quot;page&quot;:&quot;599-605&quot;,&quot;volume&quot;:&quot;10&quot;,&quot;issue&quot;:&quot;4&quot;,&quot;journalAbbreviation&quot;:&quot;J. Neurosci. Rural Pract.&quot;,&quot;id&quot;:&quot;13038359&quot;,&quot;type&quot;:&quot;article-journal&quot;,&quot;container-title&quot;:&quot;Journal of neurosciences in rural practice&quot;,&quot;container-title-short&quot;:&quot;J. Neurosci. Rural Pract.&quot;,&quot;abstract&quot;:&quot;Background Transsphenoidal resection of pituitary tumors is the neurosurgical procedure of choice to excise most of the tumors of the sellar/suprasellar region. The main goals of anesthesia are maintenance of hemodynamic stability, provision of conditions that facilitate good surgical exposure, and a prompt and smooth emergence to allow neurological and visual assessment. Dexmedetomidine (Dex), a selective α-2 agonist, is known to maintain cardiovascular stability and anxiolysis and provide pain relief. Therefore, we hypothesized that intraoperative Dex will attenuate hemodynamic response to nasal speculum (NS) insertion, decrease analgesic requirement, and hasten postoperative recovery. Materials and Methods This prospective, randomized, double-blind, placebo-controlled study was conducted in 60 adult patients of either sex, American Society of Anesthesiologists status I or II undergoing elective pituitary surgery for excision of pituitary adenoma. Randomization was done into two groups; Group D ( n = 30) received Dex bolus 1 μg/kg over 10 minutes, followed by 0.5 μg/kg/h, and group control Group C ( n = 30) received normal saline (0.9%) in a similar manner. A standard anesthesia technique comprising fentanyl, propofol, rocuronium, sevoflurane, nitrous oxide, and oxygen was used. Intraoperative monitoring was uniform and standardized in all the patients; cardiovascular perturbations, if any, were noted and managed appropriately. After completion of surgery, tracheal extubation was performed, and emergence time, extubation time, modified Aldrete score, sedation, pain, time for first analgesic, nausea, vomiting, and shivering were recorded. Results In both the groups, an increase in heart rate and blood pressure occurred at the time of laryngoscopy and intubation, NS insertion, and extubation, but it was more in Group C ( p &lt;  0.05). In Group D, intraoperative requirement of analgesic, neuromuscular relaxant, and inhalational anesthetic was lesser compared with Group C. Emergence time as well as visual analog scale at emergence was less in Group D. Conclusions Intraoperative Dex infusion is a reasonable choice in patients undergoing transsphenoidal pituitary surgery.&quot;,&quot;author&quot;:[{&quot;family&quot;:&quot;Bala&quot;,&quot;given&quot;:&quot;Renu&quot;},{&quot;family&quot;:&quot;Chaturvedi&quot;,&quot;given&quot;:&quot;Arvind&quot;},{&quot;family&quot;:&quot;Pandia&quot;,&quot;given&quot;:&quot;Mihir Prakash&quot;},{&quot;family&quot;:&quot;Bithal&quot;,&quot;given&quot;:&quot;Parmod K&quot;}],&quot;issued&quot;:{&quot;date-parts&quot;:[[&quot;2019&quot;,&quot;10&quot;]]},&quot;DOI&quot;:&quot;10.1055/s-0039-3399402&quot;,&quot;PMID&quot;:&quot;31831977&quot;,&quot;PMCID&quot;:&quot;PMC6906115&quot;,&quot;citation-label&quot;:&quot;13038359&quot;},{&quot;title&quot;:&quot;Randomized Controlled Trial of Intravenous Dexmedetomidine for Control of Hemodynamics, Surgical Bleeding, and Recovery Profile during Transsphenoidal Pituitary Surgery&quot;,&quot;page&quot;:&quot;091-095&quot;,&quot;volume&quot;:&quot;07&quot;,&quot;issue&quot;:&quot;02&quot;,&quot;journalAbbreviation&quot;:&quot;J. Neuroanaesth. Crit. Care&quot;,&quot;id&quot;:&quot;16588012&quot;,&quot;type&quot;:&quot;article-journal&quot;,&quot;container-title&quot;:&quot;Journal of neuroanaesthesiology and critical care&quot;,&quot;container-title-short&quot;:&quot;J. Neuroanaesth. Crit. Care&quot;,&quot;abstract&quot;:&quot;Background Microscopic transsphenoidal excision of pituitary gland, though considered safe from neurosurgical point of view, produces marked cardiovascular and stress responses despite adequate depth of anesthesia. The aim of this study was to evaluate the effect of dexmedetomidine bolus and infusion in microscopic transsphenoidal pituitary surgery on hemodynamics, bleeding in surgical field, and recovery parameters.\nMaterials and Methods A prospective randomized double-blind study was conducted in 40 American Society of Anesthesiologists (ASA) I-II patients between 18 and 65 years, who underwent elective transsphenoidal excision of pituitary tumor. Two groups were constituted: one group received dexmedetomidine 1 μg/kg loading dose followed by 0.5 μg/kg/h infusion, the other received placebo bolus and infusion. A standard anesthesia protocol including isoflurane and fentanyl was used in both groups. The hemodynamic profile, intraoperative bleeding, and recovery profile were studied.\nResults The heart rate (HR) did not vary significantly from the baseline during surgery and recovery in the dexmedetomidine group. The systolic, diastolic, and mean blood pressures decreased significantly with dexmedetomidine in statistical terms, though they were within the clinically acceptable range and did not require intervention. On comparing the groups, dexmedetomidine group had better perioperative blood pressure profile and decreased isoflurane requirement. Bleeding scores during surgery and recovery were similar in both groups.\nConclusions Intraoperative use of dexmedetomidine in transsphenoidal pituitary surgery provided stable perioperative hemodynamics comprising reduced cardiovascular response to intubation and surgical noxious stimuli along with a similar recovery compared with the control group. Therefore, dexmedetomidine appears as a useful adjunct to control hemodynamics in neurosurgical patients undergoing transsphenoidal surgery.&quot;,&quot;author&quot;:[{&quot;family&quot;:&quot;Mathew&quot;,&quot;given&quot;:&quot;Preethy J.&quot;},{&quot;family&quot;:&quot;Jain&quot;,&quot;given&quot;:&quot;Aparna&quot;},{&quot;family&quot;:&quot;Wig&quot;,&quot;given&quot;:&quot;Jyotsna&quot;},{&quot;family&quot;:&quot;Mukherjee&quot;,&quot;given&quot;:&quot;Kanchan K.&quot;},{&quot;family&quot;:&quot;Gupta&quot;,&quot;given&quot;:&quot;Aakriti&quot;}],&quot;issued&quot;:{&quot;date-parts&quot;:[[&quot;2020&quot;,&quot;6&quot;]]},&quot;DOI&quot;:&quot;10.1055/s-0039-1697558&quot;,&quot;citation-label&quot;:&quot;16588012&quot;},{&quot;title&quot;:&quot;Intraoperative dexmedetomidine attenuates norepinephrine levels in patients undergoing transsphenoidal surgery: a randomized, placebo-controlled trial.&quot;,&quot;page&quot;:&quot;100&quot;,&quot;volume&quot;:&quot;20&quot;,&quot;issue&quot;:&quot;1&quot;,&quot;journalAbbreviation&quot;:&quot;BMC Anesthesiol.&quot;,&quot;id&quot;:&quot;16587996&quot;,&quot;type&quot;:&quot;article-journal&quot;,&quot;container-title&quot;:&quot;BMC Anesthesiology&quot;,&quot;container-title-short&quot;:&quot;BMC Anesthesiol.&quot;,&quot;abstract&quot;:&quot;BACKGROUND: Dexmedetomidine has sympatholytic effects. We investigated whether dexmedetomidine could attenuate stress responses in patients undergoing endoscopic transnasal transseptal transsphenoidal surgery.METHODS: Forty-six patients were randomized to receive a continuous infusion of 0.9% saline (n = 23) or dexmedetomidine (n = 23). Immediately after general anesthesia induction, the dexmedetomidine group received a loading dose of 1 mcg/kg dexmedetomidine over 10 min, followed by a maintenance dose of 0.2-0.7 mcg/kg/h and the control group received 0.9% saline at the same volume until 30 min before the end of surgery. Serum levels of epinephrine, norepinephrine, and glucose were assessed before surgery (T1) and the end of drug infusion (T2). The primary outcome was the change in norepinephrine levels between the two time points.RESULTS: Changes (T2-T1 values) in perioperative serum norepinephrine levels were significantly greater in the dexmedetomidine group than in the control group (median difference, 56.9 pg/dL; 95% confidence interval, 20.7 to 83.8 pg/dL; P = 0.002). However, epinephrine level changes did not show significant intergroup differences (P = 0.208). Significantly fewer patients in the dexmedetomidine group than in the control group required rescue analgesics at the recovery area (4.3% vs. 30.4%, P = 0.047).CONCLUSIONS: Intraoperative dexmedetomidine administration reduced norepinephrine release and rescue analgesic requirement. Dexmedetomidine might be used as an anesthetic adjuvant in patients undergoing transnasal transseptal transsphenoidal surgery.TRIAL REGISTRATION: Clinical Trial Registry of Korea, identifier: KCT0003366; registration date: 21/11/2018; presenting author: Ji Seon Jeong.&quot;,&quot;author&quot;:[{&quot;family&quot;:&quot;Kang&quot;,&quot;given&quot;:&quot;RyungA&quot;},{&quot;family&quot;:&quot;Jeong&quot;,&quot;given&quot;:&quot;Ji Seon&quot;},{&quot;family&quot;:&quot;Ko&quot;,&quot;given&quot;:&quot;Justin Sangwook&quot;},{&quot;family&quot;:&quot;Lee&quot;,&quot;given&quot;:&quot;Soo-Youn&quot;},{&quot;family&quot;:&quot;Lee&quot;,&quot;given&quot;:&quot;Jong Hwan&quot;},{&quot;family&quot;:&quot;Choi&quot;,&quot;given&quot;:&quot;Soo Joo&quot;},{&quot;family&quot;:&quot;Cha&quot;,&quot;given&quot;:&quot;Sungrok&quot;},{&quot;family&quot;:&quot;Lee&quot;,&quot;given&quot;:&quot;Jeong Jin&quot;}],&quot;issued&quot;:{&quot;date-parts&quot;:[[&quot;2020&quot;,&quot;5&quot;,&quot;2&quot;]]},&quot;DOI&quot;:&quot;10.1186/s12871-020-01025-7&quot;,&quot;PMID&quot;:&quot;32359367&quot;,&quot;PMCID&quot;:&quot;PMC7195722&quot;,&quot;citation-label&quot;:&quot;16587996&quot;},{&quot;title&quot;:&quot;A prospective-randomized placebo-controlled trial comparing the effects of nebulized dexmedetomidine v/s dexmedetomidine-lignocaine mixture on intraoperative hemodynamics and surgical field quality in patients undergoing endoscopic transnasal transsphenoidal pituitary tumor surgery.&quot;,&quot;page&quot;:&quot;431&quot;,&quot;volume&quot;:&quot;14&quot;,&quot;journalAbbreviation&quot;:&quot;Surg. Neurol. Int.&quot;,&quot;id&quot;:&quot;16587992&quot;,&quot;type&quot;:&quot;article-journal&quot;,&quot;container-title&quot;:&quot;Surgical neurology international&quot;,&quot;container-title-short&quot;:&quot;Surg. Neurol. Int.&quot;,&quot;abstract&quot;:&quot;BACKGROUND: During transnasal transsphenoidal pituitary surgery (TNTSS), the primary objective is to maintain stable hemodynamics while ensuring ideal surgical conditions. This study aimed to investigate the effect of nebulized dexmedetomidine on hemodynamic parameters and the quality of the surgical field during TNTSS.METHODS: Seventy-five patients scheduled for TNTSS were randomized into three groups of 25 each and received preoperative nebulization with 5 mL of nebulizing fluid consisting of 1.5 μg/kg of dexmedetomidine with saline in dexmedetomidine (D) group; 1.5 μg/kg of dexmedetomidine with 2% lignocaine in dexmedetomidine-lignocaine (DL) group and normal saline in the control (S) group. Heart rate (HR), mean blood pressure, Formmers score, anesthetic requirement, and emergence were evaluated for each group.RESULTS: Group S had significantly higher HR and mean arterial pressure than the other two groups across various time points during surgery (P &lt;  0.01). The total requirements for fentanyl, propofol, sevoflurane, and labetalol and the incidence of delayed emergence were significantly higher in the S group compared to the other two groups (P &lt;  0.01). The D and DL groups exhibited significantly better surgical field conditions than the S group. In all the parameters assessed, patients in the D group outperformed those in the DL group.CONCLUSION: The administration of nebulized dexmedetomidine, both alone and in combination with lignocaine, resulted in stable hemodynamics, favorable operative conditions, reduced anesthetic requirement, and facilitated prompt emergence during TNTSS. Nebulized dexmedetomidine proved superior to its combination with lignocaine across all evaluated parameters.Copyright: © 2023 Surgical Neurology International.&quot;,&quot;author&quot;:[{&quot;family&quot;:&quot;Praveen&quot;,&quot;given&quot;:&quot;Ranganatha&quot;},{&quot;family&quot;:&quot;Sethuraman&quot;,&quot;given&quot;:&quot;Manikandan&quot;},{&quot;family&quot;:&quot;Vimala&quot;,&quot;given&quot;:&quot;Smita&quot;},{&quot;family&quot;:&quot;Prathapadas&quot;,&quot;given&quot;:&quot;Unnikrishnan&quot;},{&quot;family&quot;:&quot;Hrishi&quot;,&quot;given&quot;:&quot;Ajay Prasad&quot;},{&quot;family&quot;:&quot;Nair&quot;,&quot;given&quot;:&quot;Prakash&quot;},{&quot;family&quot;:&quot;Surendran&quot;,&quot;given&quot;:&quot;Sarath&quot;},{&quot;family&quot;:&quot;Ahuja&quot;,&quot;given&quot;:&quot;Arvin&quot;},{&quot;family&quot;:&quot;Sreekumar&quot;,&quot;given&quot;:&quot;Revikrishnan&quot;},{&quot;family&quot;:&quot;Vishnu&quot;,&quot;given&quot;:&quot;Bijith&quot;},{&quot;family&quot;:&quot;Gowtham&quot;,&quot;given&quot;:&quot;Matham&quot;}],&quot;issued&quot;:{&quot;date-parts&quot;:[[&quot;2023&quot;,&quot;12&quot;,&quot;15&quot;]]},&quot;DOI&quot;:&quot;10.25259/SNI_858_2023&quot;,&quot;PMID&quot;:&quot;38213443&quot;,&quot;PMCID&quot;:&quot;PMC10783663&quot;,&quot;citation-label&quot;:&quot;16587992&quot;}]"/>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10</TotalTime>
  <Pages>1</Pages>
  <Words>510</Words>
  <Characters>2908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hemaserag89@outlook.com</dc:creator>
  <cp:keywords/>
  <dc:description/>
  <cp:lastModifiedBy>Ibrahim Serag</cp:lastModifiedBy>
  <cp:revision>2</cp:revision>
  <dcterms:created xsi:type="dcterms:W3CDTF">2024-06-22T22:49:00Z</dcterms:created>
  <dcterms:modified xsi:type="dcterms:W3CDTF">2024-06-24T06:15:00Z</dcterms:modified>
</cp:coreProperties>
</file>