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wmf" ContentType="image/x-wmf"/>
  <Override PartName="/word/media/image3.wmf" ContentType="image/x-wmf"/>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240"/>
        <w:jc w:val="center"/>
        <w:rPr/>
      </w:pPr>
      <w:r>
        <w:rPr>
          <w:rFonts w:eastAsia="Times New Roman" w:cs="Times New Roman" w:ascii="Times New Roman" w:hAnsi="Times New Roman"/>
          <w:b/>
          <w:color w:val="000000"/>
          <w:sz w:val="24"/>
          <w:shd w:fill="auto" w:val="clear"/>
        </w:rPr>
        <w:t>Gold Lunula - Sinusoidal Calendar of Electrical Soil Resistivity</w:t>
      </w:r>
    </w:p>
    <w:p>
      <w:pPr>
        <w:pStyle w:val="Normal"/>
        <w:bidi w:val="0"/>
        <w:spacing w:lineRule="auto" w:line="240"/>
        <w:jc w:val="center"/>
        <w:rPr>
          <w:rFonts w:ascii="Times New Roman" w:hAnsi="Times New Roman" w:eastAsia="Times New Roman" w:cs="Times New Roman"/>
          <w:b/>
          <w:color w:val="auto"/>
          <w:sz w:val="24"/>
          <w:shd w:fill="auto" w:val="clear"/>
        </w:rPr>
      </w:pPr>
      <w:r>
        <w:rPr>
          <w:rFonts w:eastAsia="Times New Roman" w:cs="Times New Roman" w:ascii="Times New Roman" w:hAnsi="Times New Roman"/>
          <w:b/>
          <w:color w:val="000000"/>
          <w:sz w:val="24"/>
          <w:shd w:fill="auto" w:val="clear"/>
        </w:rPr>
      </w:r>
    </w:p>
    <w:p>
      <w:pPr>
        <w:pStyle w:val="Normal"/>
        <w:bidi w:val="0"/>
        <w:spacing w:lineRule="auto" w:line="240"/>
        <w:jc w:val="center"/>
        <w:rPr>
          <w:rFonts w:ascii="Calibri" w:hAnsi="Calibri" w:eastAsia="Calibri" w:cs="Calibri"/>
          <w:b w:val="false"/>
          <w:color w:val="auto"/>
          <w:sz w:val="22"/>
          <w:shd w:fill="auto" w:val="clear"/>
        </w:rPr>
      </w:pPr>
      <w:r>
        <w:rPr>
          <w:rFonts w:eastAsia="Calibri" w:cs="Calibri"/>
          <w:b w:val="false"/>
          <w:color w:val="000000"/>
          <w:sz w:val="22"/>
          <w:shd w:fill="auto" w:val="clear"/>
        </w:rPr>
        <w:drawing>
          <wp:anchor behindDoc="0" distT="0" distB="0" distL="0" distR="0" simplePos="0" locked="0" layoutInCell="0" allowOverlap="1" relativeHeight="4">
            <wp:simplePos x="0" y="0"/>
            <wp:positionH relativeFrom="column">
              <wp:posOffset>2432685</wp:posOffset>
            </wp:positionH>
            <wp:positionV relativeFrom="paragraph">
              <wp:posOffset>67945</wp:posOffset>
            </wp:positionV>
            <wp:extent cx="1066800" cy="1069975"/>
            <wp:effectExtent l="0" t="0" r="0" b="0"/>
            <wp:wrapTopAndBottom/>
            <wp:docPr id="1" name="graphics1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2" descr="" title=""/>
                    <pic:cNvPicPr>
                      <a:picLocks noChangeAspect="1" noChangeArrowheads="1"/>
                    </pic:cNvPicPr>
                  </pic:nvPicPr>
                  <pic:blipFill>
                    <a:blip r:embed="rId2"/>
                    <a:stretch>
                      <a:fillRect/>
                    </a:stretch>
                  </pic:blipFill>
                  <pic:spPr bwMode="auto">
                    <a:xfrm>
                      <a:off x="0" y="0"/>
                      <a:ext cx="1066800" cy="1069975"/>
                    </a:xfrm>
                    <a:prstGeom prst="rect">
                      <a:avLst/>
                    </a:prstGeom>
                    <a:noFill/>
                  </pic:spPr>
                </pic:pic>
              </a:graphicData>
            </a:graphic>
          </wp:anchor>
        </w:drawing>
      </w:r>
    </w:p>
    <w:p>
      <w:pPr>
        <w:pStyle w:val="Normal"/>
        <w:bidi w:val="0"/>
        <w:spacing w:lineRule="auto" w:line="240"/>
        <w:jc w:val="both"/>
        <w:rPr>
          <w:rFonts w:ascii="Times New Roman" w:hAnsi="Times New Roman" w:eastAsia="Times New Roman" w:cs="Times New Roman"/>
          <w:b w:val="false"/>
          <w:color w:val="auto"/>
          <w:sz w:val="24"/>
          <w:shd w:fill="auto" w:val="clear"/>
        </w:rPr>
      </w:pPr>
      <w:r>
        <w:rPr>
          <w:rFonts w:eastAsia="Times New Roman" w:cs="Times New Roman" w:ascii="Times New Roman" w:hAnsi="Times New Roman"/>
          <w:b w:val="false"/>
          <w:color w:val="000000"/>
          <w:sz w:val="24"/>
          <w:shd w:fill="auto" w:val="clear"/>
        </w:rPr>
        <w:tab/>
        <w:t>In the instructions for using the GEOHM-40D device, a graph of the seasonal variability of the electrical resistance of the near-surface layer from 0 to 1.5 meters deep without the influence of precipitation with an amplitude of 30% is presented. The course of the specific earthing resistance depending on the season can be represented with a fairly good approximation by a sinusoidal curve (Figure 1), where the maximum of this sinusoid is registered around March 1st, and the minimum around September 1st.</w:t>
      </w:r>
    </w:p>
    <w:p>
      <w:pPr>
        <w:pStyle w:val="Normal"/>
        <w:bidi w:val="0"/>
        <w:spacing w:lineRule="auto" w:line="240"/>
        <w:jc w:val="both"/>
        <w:rPr>
          <w:rFonts w:ascii="Calibri" w:hAnsi="Calibri" w:eastAsia="Calibri" w:cs="Calibri"/>
          <w:b w:val="false"/>
          <w:color w:val="auto"/>
          <w:sz w:val="22"/>
          <w:shd w:fill="auto" w:val="clear"/>
        </w:rPr>
      </w:pPr>
      <w:r>
        <w:rPr/>
        <w:drawing>
          <wp:inline distT="0" distB="0" distL="0" distR="0">
            <wp:extent cx="5819140" cy="1779905"/>
            <wp:effectExtent l="0" t="0" r="0" b="0"/>
            <wp:docPr id="2" name="Object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ject1" descr="" title=""/>
                    <pic:cNvPicPr>
                      <a:picLocks noChangeAspect="1" noChangeArrowheads="1"/>
                    </pic:cNvPicPr>
                  </pic:nvPicPr>
                  <pic:blipFill>
                    <a:blip r:embed="rId3"/>
                    <a:stretch>
                      <a:fillRect/>
                    </a:stretch>
                  </pic:blipFill>
                  <pic:spPr bwMode="auto">
                    <a:xfrm>
                      <a:off x="0" y="0"/>
                      <a:ext cx="5819140" cy="1779905"/>
                    </a:xfrm>
                    <a:prstGeom prst="rect">
                      <a:avLst/>
                    </a:prstGeom>
                    <a:noFill/>
                  </pic:spPr>
                </pic:pic>
              </a:graphicData>
            </a:graphic>
          </wp:inline>
        </w:drawing>
      </w:r>
    </w:p>
    <w:p>
      <w:pPr>
        <w:pStyle w:val="Normal"/>
        <w:bidi w:val="0"/>
        <w:spacing w:lineRule="auto" w:line="240"/>
        <w:jc w:val="both"/>
        <w:rPr/>
      </w:pPr>
      <w:r>
        <w:rPr>
          <w:rFonts w:eastAsia="Times New Roman" w:cs="Times New Roman" w:ascii="Times New Roman" w:hAnsi="Times New Roman"/>
          <w:b w:val="false"/>
          <w:i/>
          <w:color w:val="000000"/>
          <w:sz w:val="24"/>
          <w:shd w:fill="auto" w:val="clear"/>
        </w:rPr>
        <w:t>Figure 1. The solid curve shows the seasonal variation of electrical resistance (ΔR), and the light-colored dashed curve shows the seasonal variation of electrical conductivity (Δρ) of the underground layer up to 1.5 m deep.</w:t>
      </w:r>
    </w:p>
    <w:p>
      <w:pPr>
        <w:pStyle w:val="Normal"/>
        <w:bidi w:val="0"/>
        <w:spacing w:lineRule="auto" w:line="240"/>
        <w:jc w:val="both"/>
        <w:rPr>
          <w:rFonts w:ascii="Calibri" w:hAnsi="Calibri" w:eastAsia="Calibri" w:cs="Calibri"/>
          <w:b w:val="false"/>
          <w:color w:val="auto"/>
          <w:sz w:val="22"/>
          <w:shd w:fill="auto" w:val="clear"/>
        </w:rPr>
      </w:pPr>
      <w:r>
        <w:rPr>
          <w:rFonts w:eastAsia="Calibri" w:cs="Calibri"/>
          <w:b w:val="false"/>
          <w:color w:val="000000"/>
          <w:sz w:val="22"/>
          <w:shd w:fill="auto" w:val="clear"/>
        </w:rPr>
      </w:r>
    </w:p>
    <w:p>
      <w:pPr>
        <w:pStyle w:val="Normal"/>
        <w:bidi w:val="0"/>
        <w:spacing w:lineRule="auto" w:line="240"/>
        <w:jc w:val="both"/>
        <w:rPr/>
      </w:pPr>
      <w:r>
        <w:rPr>
          <w:rFonts w:eastAsia="Times New Roman" w:cs="Times New Roman" w:ascii="Times New Roman" w:hAnsi="Times New Roman"/>
          <w:b w:val="false"/>
          <w:color w:val="000000"/>
          <w:sz w:val="24"/>
          <w:shd w:fill="auto" w:val="clear"/>
        </w:rPr>
        <w:t>Such a similar graph of seasonal variability of the amplitude of 20% was also confirmed in the report of a team of Russian geophysicists entitled "Seasonal Variations in Specific Resistivity in the Upper Layers of the Earth Crust", which performed measurements in the area of ​​the Peter the Great ridge in Tajikistan. The measurements I personally carried out in the fields confirmed the existence of this sinusoidal curve, which has been known in geophysics since 1912, when the principle of measuring the electrical resistance of the soil was published by the French physicist Conrad Schlumberger.</w:t>
      </w:r>
    </w:p>
    <w:p>
      <w:pPr>
        <w:pStyle w:val="Normal"/>
        <w:bidi w:val="0"/>
        <w:spacing w:lineRule="auto" w:line="240"/>
        <w:jc w:val="both"/>
        <w:rPr>
          <w:rFonts w:ascii="Times New Roman" w:hAnsi="Times New Roman" w:eastAsia="Times New Roman" w:cs="Times New Roman"/>
          <w:b w:val="false"/>
          <w:color w:val="auto"/>
          <w:sz w:val="24"/>
          <w:shd w:fill="auto" w:val="clear"/>
        </w:rPr>
      </w:pPr>
      <w:r>
        <w:rPr>
          <w:rFonts w:eastAsia="Times New Roman" w:cs="Times New Roman" w:ascii="Times New Roman" w:hAnsi="Times New Roman"/>
          <w:b w:val="false"/>
          <w:color w:val="000000"/>
          <w:sz w:val="24"/>
          <w:shd w:fill="auto" w:val="clear"/>
        </w:rPr>
      </w:r>
    </w:p>
    <w:p>
      <w:pPr>
        <w:pStyle w:val="Normal"/>
        <w:bidi w:val="0"/>
        <w:spacing w:lineRule="auto" w:line="240"/>
        <w:jc w:val="both"/>
        <w:rPr/>
      </w:pPr>
      <w:r>
        <w:rPr/>
        <w:drawing>
          <wp:inline distT="0" distB="0" distL="0" distR="0">
            <wp:extent cx="4324350" cy="1085850"/>
            <wp:effectExtent l="0" t="0" r="0" b="0"/>
            <wp:docPr id="3" name="Object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ject2" descr="" title=""/>
                    <pic:cNvPicPr>
                      <a:picLocks noChangeAspect="1" noChangeArrowheads="1"/>
                    </pic:cNvPicPr>
                  </pic:nvPicPr>
                  <pic:blipFill>
                    <a:blip r:embed="rId4"/>
                    <a:stretch>
                      <a:fillRect/>
                    </a:stretch>
                  </pic:blipFill>
                  <pic:spPr bwMode="auto">
                    <a:xfrm>
                      <a:off x="0" y="0"/>
                      <a:ext cx="4324350" cy="1085850"/>
                    </a:xfrm>
                    <a:prstGeom prst="rect">
                      <a:avLst/>
                    </a:prstGeom>
                    <a:noFill/>
                  </pic:spPr>
                </pic:pic>
              </a:graphicData>
            </a:graphic>
          </wp:inline>
        </w:drawing>
      </w:r>
    </w:p>
    <w:p>
      <w:pPr>
        <w:pStyle w:val="Normal"/>
        <w:bidi w:val="0"/>
        <w:spacing w:lineRule="auto" w:line="240"/>
        <w:jc w:val="both"/>
        <w:rPr/>
      </w:pPr>
      <w:r>
        <w:rPr/>
      </w:r>
    </w:p>
    <w:p>
      <w:pPr>
        <w:pStyle w:val="Normal"/>
        <w:bidi w:val="0"/>
        <w:spacing w:lineRule="auto" w:line="240"/>
        <w:jc w:val="both"/>
        <w:rPr/>
      </w:pPr>
      <w:r>
        <w:rPr>
          <w:rFonts w:eastAsia="Times New Roman" w:cs="Times New Roman" w:ascii="Times New Roman" w:hAnsi="Times New Roman"/>
          <w:b w:val="false"/>
          <w:color w:val="000000"/>
          <w:sz w:val="24"/>
          <w:shd w:fill="auto" w:val="clear"/>
        </w:rPr>
        <w:t>Figure 2. Sinusoidal curve shown inside a circle with 50%, 40%, 30% and 20% seasonal variability</w:t>
      </w:r>
    </w:p>
    <w:p>
      <w:pPr>
        <w:pStyle w:val="Normal"/>
        <w:bidi w:val="0"/>
        <w:spacing w:lineRule="auto" w:line="240"/>
        <w:jc w:val="both"/>
        <w:rPr/>
      </w:pPr>
      <w:r>
        <w:rPr>
          <w:rFonts w:eastAsia="Times New Roman" w:cs="Times New Roman" w:ascii="Times New Roman" w:hAnsi="Times New Roman"/>
          <w:b w:val="false"/>
          <w:color w:val="000000"/>
          <w:sz w:val="24"/>
          <w:shd w:fill="auto" w:val="clear"/>
        </w:rPr>
        <w:tab/>
        <w:t>Electroreceptive humans described to me seasonal changes in the intensity of bodily sensations above the subterranean anomalies. At the end of August, they noticed significantly stronger sensations above the same air-filled underground cavities, which were even ten times stronger than at the end of February. At first I was skeptical of their descriptions, but I organized tests to see for myself the phenomenon.</w:t>
      </w:r>
    </w:p>
    <w:p>
      <w:pPr>
        <w:pStyle w:val="Normal"/>
        <w:bidi w:val="0"/>
        <w:spacing w:lineRule="auto" w:line="240"/>
        <w:jc w:val="both"/>
        <w:rPr>
          <w:rFonts w:ascii="Times New Roman" w:hAnsi="Times New Roman" w:eastAsia="Times New Roman" w:cs="Times New Roman"/>
          <w:b w:val="false"/>
          <w:color w:val="auto"/>
          <w:sz w:val="24"/>
          <w:shd w:fill="auto" w:val="clear"/>
        </w:rPr>
      </w:pPr>
      <w:r>
        <w:rPr>
          <w:rFonts w:eastAsia="Times New Roman" w:cs="Times New Roman" w:ascii="Times New Roman" w:hAnsi="Times New Roman"/>
          <w:b w:val="false"/>
          <w:color w:val="000000"/>
          <w:sz w:val="24"/>
          <w:shd w:fill="auto" w:val="clear"/>
        </w:rPr>
        <w:tab/>
        <w:t>During the last ten days of August, electroreceptive humans had a hard time staying above the underground cavities, often not even a few seconds, and some even experienced asthmatic attacks. In one case, an electroreceptive woman, as soon as she stepped above an underground tunnel, fell to her knees and became ill, so I had to drag her from that place. There were dozens of such examples.</w:t>
      </w:r>
    </w:p>
    <w:p>
      <w:pPr>
        <w:pStyle w:val="Normal"/>
        <w:bidi w:val="0"/>
        <w:spacing w:lineRule="auto" w:line="240"/>
        <w:jc w:val="both"/>
        <w:rPr>
          <w:rFonts w:ascii="Times New Roman" w:hAnsi="Times New Roman" w:eastAsia="Times New Roman" w:cs="Times New Roman"/>
          <w:b w:val="false"/>
          <w:color w:val="auto"/>
          <w:sz w:val="24"/>
          <w:shd w:fill="auto" w:val="clear"/>
        </w:rPr>
      </w:pPr>
      <w:r>
        <w:rPr>
          <w:rFonts w:eastAsia="Times New Roman" w:cs="Times New Roman" w:ascii="Times New Roman" w:hAnsi="Times New Roman"/>
          <w:b w:val="false"/>
          <w:color w:val="000000"/>
          <w:sz w:val="24"/>
          <w:shd w:fill="auto" w:val="clear"/>
        </w:rPr>
        <w:t>The annual variation of the "Air-Earth" current density does not have a constant shape, but reaches its highest values ​​during the summer. When an electroreceptive man with low skin resistance walks on terrain without underground anomalies, the normal current density to which he is accustomed flows through his body. However, if he stands above the ground water, the current through his body becomes stronger, which causes physical stress and a sense of loss of energy. On the other hand, if it stands above an underground cavity filled with air, the current is weaker than usual, causing stress with a feeling of inner energy fire.</w:t>
      </w:r>
    </w:p>
    <w:p>
      <w:pPr>
        <w:pStyle w:val="Normal"/>
        <w:bidi w:val="0"/>
        <w:spacing w:lineRule="auto" w:line="240"/>
        <w:jc w:val="both"/>
        <w:rPr>
          <w:rFonts w:ascii="Times New Roman" w:hAnsi="Times New Roman" w:eastAsia="Times New Roman" w:cs="Times New Roman"/>
          <w:b w:val="false"/>
          <w:color w:val="auto"/>
          <w:sz w:val="24"/>
          <w:shd w:fill="auto" w:val="clear"/>
        </w:rPr>
      </w:pPr>
      <w:r>
        <w:rPr>
          <w:rFonts w:eastAsia="Times New Roman" w:cs="Times New Roman" w:ascii="Times New Roman" w:hAnsi="Times New Roman"/>
          <w:b w:val="false"/>
          <w:color w:val="000000"/>
          <w:sz w:val="24"/>
          <w:shd w:fill="auto" w:val="clear"/>
        </w:rPr>
        <w:t>After discovering this, I go on vacation every year at the end of August and walk barefoot over underground air-filled cavities to activate my stunted electroreceptive cells.</w:t>
      </w:r>
    </w:p>
    <w:p>
      <w:pPr>
        <w:pStyle w:val="Normal"/>
        <w:bidi w:val="0"/>
        <w:spacing w:lineRule="auto" w:line="240"/>
        <w:jc w:val="both"/>
        <w:rPr/>
      </w:pPr>
      <w:r>
        <w:rPr>
          <w:rFonts w:eastAsia="Times New Roman" w:cs="Times New Roman" w:ascii="Times New Roman" w:hAnsi="Times New Roman"/>
          <w:b w:val="false"/>
          <w:color w:val="000000"/>
          <w:sz w:val="24"/>
          <w:shd w:fill="auto" w:val="clear"/>
        </w:rPr>
        <w:tab/>
        <w:t>Ancient electroreceptive people most likely counted the winter inversion of the lunula calendar as 70 days from the winter solstice, and the summer inversion as 72 days from the summer solstice. The winter and summer solstice do not always occur exactly on December 21 and June 21. Because of this, it is not possible to precisely predict changes in the electrical resistance calendar of the underground on March 1 and September 1 each year. However, by observing the sunset, the day of the solstice can be accurately determined because that is when the azimuth reaches its lowest or highest value and the inversion occurs the following day.</w:t>
      </w:r>
    </w:p>
    <w:p>
      <w:pPr>
        <w:pStyle w:val="Normal"/>
        <w:bidi w:val="0"/>
        <w:spacing w:lineRule="auto" w:line="240"/>
        <w:jc w:val="both"/>
        <w:rPr>
          <w:rFonts w:ascii="Times New Roman" w:hAnsi="Times New Roman" w:eastAsia="Times New Roman" w:cs="Times New Roman"/>
          <w:b w:val="false"/>
          <w:color w:val="auto"/>
          <w:sz w:val="24"/>
          <w:shd w:fill="auto" w:val="clear"/>
        </w:rPr>
      </w:pPr>
      <w:r>
        <w:rPr>
          <w:rFonts w:eastAsia="Times New Roman" w:cs="Times New Roman" w:ascii="Times New Roman" w:hAnsi="Times New Roman"/>
          <w:b w:val="false"/>
          <w:color w:val="000000"/>
          <w:sz w:val="24"/>
          <w:shd w:fill="auto" w:val="clear"/>
        </w:rPr>
      </w:r>
    </w:p>
    <w:p>
      <w:pPr>
        <w:pStyle w:val="Normal"/>
        <w:bidi w:val="0"/>
        <w:spacing w:lineRule="auto" w:line="240"/>
        <w:jc w:val="both"/>
        <w:rPr>
          <w:rFonts w:ascii="Calibri" w:hAnsi="Calibri" w:eastAsia="Calibri" w:cs="Calibri"/>
          <w:b w:val="false"/>
          <w:color w:val="auto"/>
          <w:sz w:val="22"/>
          <w:shd w:fill="auto" w:val="clear"/>
        </w:rPr>
      </w:pPr>
      <w:r>
        <w:rPr>
          <w:rFonts w:eastAsia="Calibri" w:cs="Calibri"/>
          <w:b w:val="false"/>
          <w:color w:val="000000"/>
          <w:sz w:val="22"/>
          <w:shd w:fill="auto" w:val="clear"/>
        </w:rPr>
      </w:r>
    </w:p>
    <w:p>
      <w:pPr>
        <w:pStyle w:val="Normal"/>
        <w:bidi w:val="0"/>
        <w:spacing w:lineRule="auto" w:line="240"/>
        <w:jc w:val="both"/>
        <w:rPr>
          <w:rFonts w:ascii="Calibri" w:hAnsi="Calibri" w:eastAsia="Calibri" w:cs="Calibri"/>
          <w:b w:val="false"/>
          <w:color w:val="auto"/>
          <w:sz w:val="22"/>
          <w:shd w:fill="auto" w:val="clear"/>
        </w:rPr>
      </w:pPr>
      <w:r>
        <w:rPr>
          <w:rFonts w:eastAsia="Calibri" w:cs="Calibri"/>
          <w:b w:val="false"/>
          <w:color w:val="000000"/>
          <w:sz w:val="22"/>
          <w:shd w:fill="auto" w:val="clear"/>
        </w:rPr>
      </w:r>
    </w:p>
    <w:p>
      <w:pPr>
        <w:pStyle w:val="Normal"/>
        <w:bidi w:val="0"/>
        <w:spacing w:lineRule="auto" w:line="240"/>
        <w:jc w:val="both"/>
        <w:rPr>
          <w:rFonts w:ascii="Calibri" w:hAnsi="Calibri" w:eastAsia="Calibri" w:cs="Calibri"/>
          <w:b w:val="false"/>
          <w:color w:val="auto"/>
          <w:sz w:val="22"/>
          <w:shd w:fill="auto" w:val="clear"/>
        </w:rPr>
      </w:pPr>
      <w:r>
        <w:rPr>
          <w:rFonts w:eastAsia="Calibri" w:cs="Calibri"/>
          <w:b w:val="false"/>
          <w:color w:val="000000"/>
          <w:sz w:val="22"/>
          <w:shd w:fill="auto" w:val="clear"/>
        </w:rPr>
      </w:r>
    </w:p>
    <w:p>
      <w:pPr>
        <w:pStyle w:val="Normal"/>
        <w:bidi w:val="0"/>
        <w:spacing w:lineRule="auto" w:line="240" w:before="0" w:after="120"/>
        <w:jc w:val="both"/>
        <w:rPr>
          <w:rFonts w:ascii="Times New Roman" w:hAnsi="Times New Roman" w:eastAsia="Times New Roman" w:cs="Times New Roman"/>
          <w:b w:val="false"/>
          <w:color w:val="auto"/>
          <w:sz w:val="24"/>
          <w:shd w:fill="auto" w:val="clear"/>
        </w:rPr>
      </w:pPr>
      <w:r>
        <w:rPr>
          <w:rFonts w:eastAsia="Times New Roman" w:cs="Times New Roman" w:ascii="Times New Roman" w:hAnsi="Times New Roman"/>
          <w:b w:val="false"/>
          <w:color w:val="000000"/>
          <w:sz w:val="24"/>
          <w:shd w:fill="auto" w:val="clear"/>
        </w:rPr>
        <w:tab/>
      </w:r>
    </w:p>
    <w:p>
      <w:pPr>
        <w:pStyle w:val="Normal"/>
        <w:bidi w:val="0"/>
        <w:spacing w:lineRule="auto" w:line="240"/>
        <w:jc w:val="both"/>
        <w:rPr>
          <w:rFonts w:ascii="Calibri" w:hAnsi="Calibri" w:eastAsia="Calibri" w:cs="Calibri"/>
          <w:b w:val="false"/>
          <w:color w:val="auto"/>
          <w:sz w:val="22"/>
          <w:shd w:fill="auto" w:val="clear"/>
        </w:rPr>
      </w:pPr>
      <w:r>
        <w:rPr>
          <w:rFonts w:eastAsia="Calibri" w:cs="Calibri"/>
          <w:b w:val="false"/>
          <w:color w:val="000000"/>
          <w:sz w:val="22"/>
          <w:shd w:fill="auto" w:val="clear"/>
        </w:rPr>
      </w:r>
    </w:p>
    <w:sectPr>
      <w:headerReference w:type="even" r:id="rId5"/>
      <w:headerReference w:type="default" r:id="rId6"/>
      <w:headerReference w:type="first" r:id="rId7"/>
      <w:footerReference w:type="even" r:id="rId8"/>
      <w:footerReference w:type="default" r:id="rId9"/>
      <w:footerReference w:type="first" r:id="rId10"/>
      <w:type w:val="nextPage"/>
      <w:pgSz w:w="12240" w:h="15840"/>
      <w:pgMar w:left="1134" w:right="1134" w:gutter="0" w:header="1134" w:top="1686" w:footer="1134" w:bottom="1686"/>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swiss"/>
    <w:pitch w:val="variable"/>
  </w:font>
  <w:font w:name="Liberation Sans">
    <w:altName w:val="Arial"/>
    <w:charset w:val="00" w:characterSet="windows-1252"/>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bidi w:val="0"/>
      <w:jc w:val="start"/>
      <w:rPr/>
    </w:pPr>
    <w:r>
      <w:rPr/>
      <w:t>10.6084/m9.figshare.27643986</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uppressLineNumbers/>
      <w:bidi w:val="0"/>
      <w:jc w:val="start"/>
      <w:rPr/>
    </w:pPr>
    <w:r>
      <w:rPr/>
      <w:t>10.6084/m9.figshare.27643986</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start"/>
      <w:rPr/>
    </w:pPr>
    <w:r>
      <w:rPr/>
      <w:t>10.6084/m9.figshare.27643986</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start"/>
      <w:rPr/>
    </w:pPr>
    <w:r>
      <w:rPr/>
      <w:t>10.6084/m9.figshare.27643986</w:t>
    </w:r>
  </w:p>
</w:hdr>
</file>

<file path=word/settings.xml><?xml version="1.0" encoding="utf-8"?>
<w:settings xmlns:w="http://schemas.openxmlformats.org/wordprocessingml/2006/main">
  <w:zoom w:percent="130"/>
  <w:defaultTabStop w:val="1134"/>
  <w:autoHyphenation w:val="true"/>
  <w:hyphenationZone w:val="0"/>
  <w:compat>
    <w:compatSetting w:name="compatibilityMode" w:uri="http://schemas.microsoft.com/office/word" w:val="15"/>
    <w:compatSetting w:name="useWord2013TrackBottomHyphenation" w:uri="http://schemas.microsoft.com/office/word" w:val="1"/>
    <w:compatSetting w:name="allowHyphenationAtTrackBottom"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egoe UI" w:cs="Tahoma"/>
        <w:color w:val="000000"/>
        <w:sz w:val="22"/>
        <w:szCs w:val="24"/>
        <w:lang w:val="en-US"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start"/>
    </w:pPr>
    <w:rPr>
      <w:rFonts w:ascii="Calibri" w:hAnsi="Calibri" w:eastAsia="Segoe UI" w:cs="Tahoma"/>
      <w:color w:val="000000"/>
      <w:kern w:val="0"/>
      <w:sz w:val="22"/>
      <w:szCs w:val="24"/>
      <w:lang w:val="en-US" w:eastAsia="zh-CN" w:bidi="hi-IN"/>
    </w:rPr>
  </w:style>
  <w:style w:type="paragraph" w:styleId="Heading">
    <w:name w:val="Heading"/>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HeaderandFooter">
    <w:name w:val="Header and Footer"/>
    <w:basedOn w:val="Normal"/>
    <w:qFormat/>
    <w:pPr>
      <w:suppressLineNumbers/>
      <w:tabs>
        <w:tab w:val="clear" w:pos="1134"/>
        <w:tab w:val="center" w:pos="4986" w:leader="none"/>
        <w:tab w:val="right" w:pos="9972" w:leader="none"/>
      </w:tabs>
    </w:pPr>
    <w:rPr/>
  </w:style>
  <w:style w:type="paragraph" w:styleId="Footer">
    <w:name w:val="footer"/>
    <w:basedOn w:val="HeaderandFooter"/>
    <w:pPr>
      <w:suppressLineNumbers/>
    </w:pPr>
    <w:rPr/>
  </w:style>
  <w:style w:type="paragraph" w:styleId="Header">
    <w:name w:val="head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9</TotalTime>
  <Application>LibreOffice/24.8.2.1$Windows_X86_64 LibreOffice_project/0f794b6e29741098670a3b95d60478a65d05ef13</Application>
  <AppVersion>15.0000</AppVersion>
  <Pages>2</Pages>
  <Words>607</Words>
  <Characters>3201</Characters>
  <CharactersWithSpaces>3805</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2024-11-10T20:50:48Z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