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00F1" w:rsidRDefault="006900F1" w:rsidP="006900F1">
      <w:pPr>
        <w:spacing w:line="259" w:lineRule="auto"/>
        <w:ind w:left="-851"/>
      </w:pPr>
      <w:r w:rsidRPr="00400EC8">
        <w:t xml:space="preserve">Table </w:t>
      </w:r>
      <w:r w:rsidR="00DC7C86">
        <w:t>3</w:t>
      </w:r>
      <w:r w:rsidRPr="00400EC8">
        <w:t>. Studies of Natural Disaster Preparedness in Elderly</w:t>
      </w:r>
    </w:p>
    <w:tbl>
      <w:tblPr>
        <w:tblStyle w:val="TableGrid"/>
        <w:tblW w:w="15130" w:type="dxa"/>
        <w:jc w:val="center"/>
        <w:tblLook w:val="04A0" w:firstRow="1" w:lastRow="0" w:firstColumn="1" w:lastColumn="0" w:noHBand="0" w:noVBand="1"/>
      </w:tblPr>
      <w:tblGrid>
        <w:gridCol w:w="1821"/>
        <w:gridCol w:w="1071"/>
        <w:gridCol w:w="1990"/>
        <w:gridCol w:w="1263"/>
        <w:gridCol w:w="2074"/>
        <w:gridCol w:w="1504"/>
        <w:gridCol w:w="2498"/>
        <w:gridCol w:w="2909"/>
      </w:tblGrid>
      <w:tr w:rsidR="006900F1" w:rsidRPr="00316643" w:rsidTr="007C4D57">
        <w:trPr>
          <w:jc w:val="center"/>
        </w:trPr>
        <w:tc>
          <w:tcPr>
            <w:tcW w:w="1821" w:type="dxa"/>
            <w:vAlign w:val="center"/>
          </w:tcPr>
          <w:p w:rsidR="006900F1" w:rsidRPr="00316643" w:rsidRDefault="006900F1" w:rsidP="007C4D57">
            <w:pPr>
              <w:jc w:val="center"/>
              <w:rPr>
                <w:sz w:val="20"/>
                <w:szCs w:val="20"/>
              </w:rPr>
            </w:pPr>
            <w:r w:rsidRPr="00316643">
              <w:rPr>
                <w:b/>
                <w:bCs/>
                <w:sz w:val="20"/>
                <w:szCs w:val="20"/>
              </w:rPr>
              <w:t>Author</w:t>
            </w:r>
          </w:p>
        </w:tc>
        <w:tc>
          <w:tcPr>
            <w:tcW w:w="1071" w:type="dxa"/>
            <w:vAlign w:val="center"/>
          </w:tcPr>
          <w:p w:rsidR="006900F1" w:rsidRPr="00316643" w:rsidRDefault="006900F1" w:rsidP="007C4D57">
            <w:pPr>
              <w:jc w:val="center"/>
              <w:rPr>
                <w:sz w:val="20"/>
                <w:szCs w:val="20"/>
              </w:rPr>
            </w:pPr>
            <w:r w:rsidRPr="00316643">
              <w:rPr>
                <w:b/>
                <w:bCs/>
                <w:sz w:val="20"/>
                <w:szCs w:val="20"/>
              </w:rPr>
              <w:t>Settings</w:t>
            </w:r>
          </w:p>
        </w:tc>
        <w:tc>
          <w:tcPr>
            <w:tcW w:w="1990" w:type="dxa"/>
            <w:vAlign w:val="center"/>
          </w:tcPr>
          <w:p w:rsidR="006900F1" w:rsidRPr="00316643" w:rsidRDefault="006900F1" w:rsidP="007C4D57">
            <w:pPr>
              <w:jc w:val="center"/>
              <w:rPr>
                <w:sz w:val="20"/>
                <w:szCs w:val="20"/>
              </w:rPr>
            </w:pPr>
            <w:r w:rsidRPr="00316643">
              <w:rPr>
                <w:b/>
                <w:bCs/>
                <w:sz w:val="20"/>
                <w:szCs w:val="20"/>
              </w:rPr>
              <w:t>Samples</w:t>
            </w:r>
          </w:p>
        </w:tc>
        <w:tc>
          <w:tcPr>
            <w:tcW w:w="1261" w:type="dxa"/>
            <w:vAlign w:val="center"/>
          </w:tcPr>
          <w:p w:rsidR="006900F1" w:rsidRPr="00316643" w:rsidRDefault="006900F1" w:rsidP="007C4D57">
            <w:pPr>
              <w:jc w:val="center"/>
              <w:rPr>
                <w:sz w:val="20"/>
                <w:szCs w:val="20"/>
              </w:rPr>
            </w:pPr>
            <w:r w:rsidRPr="00316643">
              <w:rPr>
                <w:b/>
                <w:bCs/>
                <w:sz w:val="20"/>
                <w:szCs w:val="20"/>
              </w:rPr>
              <w:t>Sampling Method</w:t>
            </w:r>
          </w:p>
        </w:tc>
        <w:tc>
          <w:tcPr>
            <w:tcW w:w="2074" w:type="dxa"/>
            <w:vAlign w:val="center"/>
          </w:tcPr>
          <w:p w:rsidR="006900F1" w:rsidRPr="00316643" w:rsidRDefault="006900F1" w:rsidP="007C4D57">
            <w:pPr>
              <w:jc w:val="center"/>
              <w:rPr>
                <w:sz w:val="20"/>
                <w:szCs w:val="20"/>
              </w:rPr>
            </w:pPr>
            <w:r w:rsidRPr="00316643">
              <w:rPr>
                <w:b/>
                <w:bCs/>
                <w:sz w:val="20"/>
                <w:szCs w:val="20"/>
              </w:rPr>
              <w:t>Research Purpose</w:t>
            </w:r>
          </w:p>
        </w:tc>
        <w:tc>
          <w:tcPr>
            <w:tcW w:w="1504" w:type="dxa"/>
            <w:vAlign w:val="center"/>
          </w:tcPr>
          <w:p w:rsidR="006900F1" w:rsidRPr="00316643" w:rsidRDefault="006900F1" w:rsidP="007C4D57">
            <w:pPr>
              <w:jc w:val="center"/>
              <w:rPr>
                <w:b/>
                <w:bCs/>
                <w:sz w:val="20"/>
                <w:szCs w:val="20"/>
              </w:rPr>
            </w:pPr>
            <w:r w:rsidRPr="00316643">
              <w:rPr>
                <w:b/>
                <w:bCs/>
                <w:sz w:val="20"/>
                <w:szCs w:val="20"/>
              </w:rPr>
              <w:t>Research</w:t>
            </w:r>
          </w:p>
          <w:p w:rsidR="006900F1" w:rsidRPr="00316643" w:rsidRDefault="006900F1" w:rsidP="007C4D57">
            <w:pPr>
              <w:jc w:val="center"/>
              <w:rPr>
                <w:sz w:val="20"/>
                <w:szCs w:val="20"/>
              </w:rPr>
            </w:pPr>
            <w:r w:rsidRPr="00316643">
              <w:rPr>
                <w:b/>
                <w:bCs/>
                <w:sz w:val="20"/>
                <w:szCs w:val="20"/>
              </w:rPr>
              <w:t>Design</w:t>
            </w:r>
          </w:p>
        </w:tc>
        <w:tc>
          <w:tcPr>
            <w:tcW w:w="2499" w:type="dxa"/>
            <w:vAlign w:val="center"/>
          </w:tcPr>
          <w:p w:rsidR="006900F1" w:rsidRPr="00316643" w:rsidRDefault="006900F1" w:rsidP="007C4D57">
            <w:pPr>
              <w:jc w:val="center"/>
              <w:rPr>
                <w:sz w:val="20"/>
                <w:szCs w:val="20"/>
              </w:rPr>
            </w:pPr>
            <w:r w:rsidRPr="00316643">
              <w:rPr>
                <w:b/>
                <w:bCs/>
                <w:sz w:val="20"/>
                <w:szCs w:val="20"/>
              </w:rPr>
              <w:t>Instrument</w:t>
            </w:r>
          </w:p>
        </w:tc>
        <w:tc>
          <w:tcPr>
            <w:tcW w:w="2910" w:type="dxa"/>
            <w:vAlign w:val="center"/>
          </w:tcPr>
          <w:p w:rsidR="006900F1" w:rsidRPr="00316643" w:rsidRDefault="006900F1" w:rsidP="007C4D57">
            <w:pPr>
              <w:jc w:val="center"/>
              <w:rPr>
                <w:sz w:val="20"/>
                <w:szCs w:val="20"/>
              </w:rPr>
            </w:pPr>
            <w:r w:rsidRPr="00316643">
              <w:rPr>
                <w:b/>
                <w:bCs/>
                <w:sz w:val="20"/>
                <w:szCs w:val="20"/>
              </w:rPr>
              <w:t>Major Findings</w:t>
            </w:r>
          </w:p>
        </w:tc>
      </w:tr>
      <w:tr w:rsidR="006900F1" w:rsidRPr="00316643" w:rsidTr="007C4D57">
        <w:trPr>
          <w:jc w:val="center"/>
        </w:trPr>
        <w:tc>
          <w:tcPr>
            <w:tcW w:w="1821" w:type="dxa"/>
          </w:tcPr>
          <w:p w:rsidR="006900F1" w:rsidRDefault="00000000" w:rsidP="007C4D57">
            <w:pPr>
              <w:jc w:val="center"/>
              <w:rPr>
                <w:sz w:val="20"/>
                <w:szCs w:val="20"/>
              </w:rPr>
            </w:pPr>
            <w:hyperlink r:id="rId4" w:history="1">
              <w:r w:rsidR="006900F1" w:rsidRPr="00DE1B27">
                <w:rPr>
                  <w:rStyle w:val="Hyperlink"/>
                  <w:sz w:val="20"/>
                  <w:szCs w:val="20"/>
                </w:rPr>
                <w:t>(Hattori et al., 2021)</w:t>
              </w:r>
            </w:hyperlink>
          </w:p>
          <w:p w:rsidR="006900F1" w:rsidRDefault="006900F1" w:rsidP="007C4D57">
            <w:pPr>
              <w:jc w:val="center"/>
              <w:rPr>
                <w:sz w:val="20"/>
                <w:szCs w:val="20"/>
              </w:rPr>
            </w:pPr>
          </w:p>
          <w:p w:rsidR="006900F1" w:rsidRPr="00316643" w:rsidRDefault="006900F1" w:rsidP="007C4D57">
            <w:pPr>
              <w:jc w:val="center"/>
              <w:rPr>
                <w:sz w:val="20"/>
                <w:szCs w:val="20"/>
              </w:rPr>
            </w:pPr>
          </w:p>
        </w:tc>
        <w:tc>
          <w:tcPr>
            <w:tcW w:w="1071" w:type="dxa"/>
          </w:tcPr>
          <w:p w:rsidR="006900F1" w:rsidRPr="0039327B" w:rsidRDefault="006900F1" w:rsidP="007C4D57">
            <w:pPr>
              <w:jc w:val="center"/>
              <w:rPr>
                <w:sz w:val="20"/>
                <w:szCs w:val="20"/>
              </w:rPr>
            </w:pPr>
            <w:r w:rsidRPr="0039327B">
              <w:rPr>
                <w:sz w:val="20"/>
                <w:szCs w:val="20"/>
              </w:rPr>
              <w:t>Japan</w:t>
            </w:r>
          </w:p>
        </w:tc>
        <w:tc>
          <w:tcPr>
            <w:tcW w:w="1990" w:type="dxa"/>
          </w:tcPr>
          <w:p w:rsidR="006900F1" w:rsidRPr="0039327B" w:rsidRDefault="006900F1" w:rsidP="007C4D57">
            <w:pPr>
              <w:jc w:val="center"/>
              <w:rPr>
                <w:sz w:val="20"/>
                <w:szCs w:val="20"/>
              </w:rPr>
            </w:pPr>
            <w:r w:rsidRPr="0039327B">
              <w:rPr>
                <w:sz w:val="20"/>
                <w:szCs w:val="20"/>
              </w:rPr>
              <w:t>673 participants, collected from October 2014 to June 2017, were ages 75 and older</w:t>
            </w:r>
          </w:p>
        </w:tc>
        <w:tc>
          <w:tcPr>
            <w:tcW w:w="1261" w:type="dxa"/>
          </w:tcPr>
          <w:p w:rsidR="006900F1" w:rsidRPr="0039327B" w:rsidRDefault="006900F1" w:rsidP="007C4D57">
            <w:pPr>
              <w:jc w:val="center"/>
              <w:rPr>
                <w:sz w:val="20"/>
                <w:szCs w:val="20"/>
              </w:rPr>
            </w:pPr>
            <w:r w:rsidRPr="0039327B">
              <w:rPr>
                <w:sz w:val="20"/>
                <w:szCs w:val="20"/>
              </w:rPr>
              <w:t>Convenience sampling</w:t>
            </w:r>
          </w:p>
        </w:tc>
        <w:tc>
          <w:tcPr>
            <w:tcW w:w="2074" w:type="dxa"/>
          </w:tcPr>
          <w:p w:rsidR="006900F1" w:rsidRPr="0039327B" w:rsidRDefault="006900F1" w:rsidP="007C4D57">
            <w:pPr>
              <w:jc w:val="center"/>
              <w:rPr>
                <w:sz w:val="20"/>
                <w:szCs w:val="20"/>
              </w:rPr>
            </w:pPr>
            <w:r w:rsidRPr="0039327B">
              <w:rPr>
                <w:sz w:val="20"/>
                <w:szCs w:val="20"/>
              </w:rPr>
              <w:t>To clarify the characteristics of older adults and to examine the preparedness associated with disaster preparedness.</w:t>
            </w:r>
          </w:p>
        </w:tc>
        <w:tc>
          <w:tcPr>
            <w:tcW w:w="1504" w:type="dxa"/>
          </w:tcPr>
          <w:p w:rsidR="006900F1" w:rsidRPr="0039327B" w:rsidRDefault="006900F1" w:rsidP="007C4D57">
            <w:pPr>
              <w:jc w:val="center"/>
              <w:rPr>
                <w:sz w:val="20"/>
                <w:szCs w:val="20"/>
              </w:rPr>
            </w:pPr>
            <w:r w:rsidRPr="0039327B">
              <w:rPr>
                <w:sz w:val="20"/>
                <w:szCs w:val="20"/>
              </w:rPr>
              <w:t>Cross Sectional Study</w:t>
            </w:r>
          </w:p>
        </w:tc>
        <w:tc>
          <w:tcPr>
            <w:tcW w:w="2499" w:type="dxa"/>
          </w:tcPr>
          <w:p w:rsidR="006900F1" w:rsidRPr="0039327B" w:rsidRDefault="006900F1" w:rsidP="007C4D57">
            <w:pPr>
              <w:jc w:val="center"/>
              <w:rPr>
                <w:sz w:val="20"/>
                <w:szCs w:val="20"/>
              </w:rPr>
            </w:pPr>
            <w:r w:rsidRPr="0039327B">
              <w:rPr>
                <w:sz w:val="20"/>
                <w:szCs w:val="20"/>
              </w:rPr>
              <w:t>Researchers created a questionnaire with sections on evacuation, community preparedness, family preparedness, and emergency goods</w:t>
            </w:r>
          </w:p>
        </w:tc>
        <w:tc>
          <w:tcPr>
            <w:tcW w:w="2910" w:type="dxa"/>
          </w:tcPr>
          <w:p w:rsidR="006900F1" w:rsidRPr="0039327B" w:rsidRDefault="006900F1" w:rsidP="007C4D57">
            <w:pPr>
              <w:jc w:val="center"/>
              <w:rPr>
                <w:sz w:val="20"/>
                <w:szCs w:val="20"/>
              </w:rPr>
            </w:pPr>
            <w:r w:rsidRPr="0039327B">
              <w:rPr>
                <w:sz w:val="20"/>
                <w:szCs w:val="20"/>
              </w:rPr>
              <w:t>Inadequate disaster preparedness and great vulnerability occur among residents aged 75 years and over who live in high-risk areas for earthquake disasters. Factors causing their low preparedness in facing disasters include cognitive impairment, being female, and living alone.</w:t>
            </w:r>
          </w:p>
        </w:tc>
      </w:tr>
      <w:tr w:rsidR="006900F1" w:rsidRPr="00316643" w:rsidTr="007C4D57">
        <w:trPr>
          <w:jc w:val="center"/>
        </w:trPr>
        <w:tc>
          <w:tcPr>
            <w:tcW w:w="1821" w:type="dxa"/>
          </w:tcPr>
          <w:p w:rsidR="006900F1" w:rsidRPr="00316643" w:rsidRDefault="006900F1" w:rsidP="007C4D57">
            <w:pPr>
              <w:jc w:val="center"/>
              <w:rPr>
                <w:sz w:val="20"/>
                <w:szCs w:val="20"/>
              </w:rPr>
            </w:pPr>
            <w:r>
              <w:rPr>
                <w:sz w:val="20"/>
                <w:szCs w:val="20"/>
              </w:rPr>
              <w:t>(</w:t>
            </w:r>
            <w:r w:rsidRPr="00316643">
              <w:rPr>
                <w:sz w:val="20"/>
                <w:szCs w:val="20"/>
              </w:rPr>
              <w:fldChar w:fldCharType="begin" w:fldLock="1"/>
            </w:r>
            <w:r w:rsidRPr="00316643">
              <w:rPr>
                <w:sz w:val="20"/>
                <w:szCs w:val="20"/>
              </w:rPr>
              <w:instrText>ADDIN CSL_CITATION {"citationItems":[{"id":"ITEM-1","itemData":{"DOI":"10.1017/dmp.2020.80","ISSN":"1938744X","PMID":"32475374","abstract":"Objectives: Emergency preparedness becomes more important with increased age, as older adults are at heightened risk for harm from disasters. In this study, predictors of preparedness actions and confidence in preparedness among older adults in the United States were assessed. Methods: This nationally representative survey polled community-dwelling older adults ages 50-80 y (n = 2256) about emergency preparedness and confidence in addressing different types of emergencies. Logistic regression was used to identify predictors of reported emergency preparedness actions and confidence in addressing emergencies. Results: Participants' mean age was 62.4 y (SD = 8); 52% were female, and 71% were non-Hispanic white. Living alone was associated with lower odds of having a 7-d supply of food and water (adjusted odds ratio [aOR] = 0.74; 95% confidence interval [CI]: 0.56-0.96), a stocked emergency kit (aOR = 0.64; 95% CI: 0.47-0.86), and having had conversations with family or friends about evacuation plans (aOR = 0.59; 95% CI: 0.44-0.78). Use of equipment requiring electricity was associated with less confidence in addressing a power outage lasting more than 24 h (aOR = 0.66; 95% CI: 0.47-0.94), as was use of mobility aids (OR = 0.65; 95% CI: 0.45-0.93). Conclusions: These results point to the need for tailored interventions to support emergency preparedness for older adults, particularly among those who live alone and use medical equipment requiring electricity.","author":[{"dropping-particle":"","family":"Bell","given":"Sue Anne","non-dropping-particle":"","parse-names":false,"suffix":""},{"dropping-particle":"","family":"Singer","given":"Dianne","non-dropping-particle":"","parse-names":false,"suffix":""},{"dropping-particle":"","family":"Solway","given":"Erica","non-dropping-particle":"","parse-names":false,"suffix":""},{"dropping-particle":"","family":"Kirch","given":"Mattias","non-dropping-particle":"","parse-names":false,"suffix":""},{"dropping-particle":"","family":"Kullgren","given":"Jeffrey","non-dropping-particle":"","parse-names":false,"suffix":""},{"dropping-particle":"","family":"Malani","given":"Preeti","non-dropping-particle":"","parse-names":false,"suffix":""}],"container-title":"Disaster Medicine and Public Health Preparedness","id":"ITEM-1","issue":"5","issued":{"date-parts":[["2021"]]},"page":"624-630","title":"Predictors of Emergency Preparedness among Older Adults in the United States","type":"article-journal","volume":"15"},"uris":["http://www.mendeley.com/documents/?uuid=9376f0e6-d278-46b8-bcdb-b00e054b7213"]}],"mendeley":{"formattedCitation":"(Bell &lt;i&gt;et al.&lt;/i&gt;, 2021b)","manualFormatting":"Bell et al. (2021b)","plainTextFormattedCitation":"(Bell et al., 2021b)","previouslyFormattedCitation":"(Bell &lt;i&gt;et al.&lt;/i&gt;, 2021b)"},"properties":{"noteIndex":0},"schema":"https://github.com/citation-style-language/schema/raw/master/csl-citation.json"}</w:instrText>
            </w:r>
            <w:r w:rsidRPr="00316643">
              <w:rPr>
                <w:sz w:val="20"/>
                <w:szCs w:val="20"/>
              </w:rPr>
              <w:fldChar w:fldCharType="separate"/>
            </w:r>
            <w:r w:rsidRPr="00316643">
              <w:rPr>
                <w:noProof/>
                <w:sz w:val="20"/>
                <w:szCs w:val="20"/>
              </w:rPr>
              <w:t xml:space="preserve">Bell </w:t>
            </w:r>
            <w:r w:rsidRPr="00316643">
              <w:rPr>
                <w:iCs/>
                <w:noProof/>
                <w:sz w:val="20"/>
                <w:szCs w:val="20"/>
              </w:rPr>
              <w:t>et al</w:t>
            </w:r>
            <w:r w:rsidRPr="00316643">
              <w:rPr>
                <w:i/>
                <w:noProof/>
                <w:sz w:val="20"/>
                <w:szCs w:val="20"/>
              </w:rPr>
              <w:t>.</w:t>
            </w:r>
            <w:r w:rsidRPr="00316643">
              <w:rPr>
                <w:noProof/>
                <w:sz w:val="20"/>
                <w:szCs w:val="20"/>
              </w:rPr>
              <w:t xml:space="preserve"> (2021b)</w:t>
            </w:r>
            <w:r w:rsidRPr="00316643">
              <w:rPr>
                <w:sz w:val="20"/>
                <w:szCs w:val="20"/>
              </w:rPr>
              <w:fldChar w:fldCharType="end"/>
            </w:r>
            <w:r>
              <w:rPr>
                <w:sz w:val="20"/>
                <w:szCs w:val="20"/>
              </w:rPr>
              <w:t>)</w:t>
            </w:r>
          </w:p>
        </w:tc>
        <w:tc>
          <w:tcPr>
            <w:tcW w:w="1071" w:type="dxa"/>
          </w:tcPr>
          <w:p w:rsidR="006900F1" w:rsidRPr="0039327B" w:rsidRDefault="006900F1" w:rsidP="007C4D57">
            <w:pPr>
              <w:jc w:val="center"/>
              <w:rPr>
                <w:sz w:val="20"/>
                <w:szCs w:val="20"/>
              </w:rPr>
            </w:pPr>
            <w:r w:rsidRPr="0039327B">
              <w:rPr>
                <w:sz w:val="20"/>
                <w:szCs w:val="20"/>
              </w:rPr>
              <w:t>USA</w:t>
            </w:r>
          </w:p>
        </w:tc>
        <w:tc>
          <w:tcPr>
            <w:tcW w:w="1990" w:type="dxa"/>
          </w:tcPr>
          <w:p w:rsidR="006900F1" w:rsidRPr="0039327B" w:rsidRDefault="006900F1" w:rsidP="007C4D57">
            <w:pPr>
              <w:jc w:val="center"/>
              <w:rPr>
                <w:sz w:val="20"/>
                <w:szCs w:val="20"/>
              </w:rPr>
            </w:pPr>
            <w:r w:rsidRPr="0039327B">
              <w:rPr>
                <w:sz w:val="20"/>
                <w:szCs w:val="20"/>
              </w:rPr>
              <w:t>2,256 participants aged 50–80 years were selected by the National Poll on Healthy Aging (NPHA) online in May 2019.</w:t>
            </w:r>
          </w:p>
        </w:tc>
        <w:tc>
          <w:tcPr>
            <w:tcW w:w="1261" w:type="dxa"/>
          </w:tcPr>
          <w:p w:rsidR="006900F1" w:rsidRPr="0039327B" w:rsidRDefault="006900F1" w:rsidP="007C4D57">
            <w:pPr>
              <w:jc w:val="center"/>
              <w:rPr>
                <w:sz w:val="20"/>
                <w:szCs w:val="20"/>
              </w:rPr>
            </w:pPr>
            <w:r w:rsidRPr="0039327B">
              <w:rPr>
                <w:sz w:val="20"/>
                <w:szCs w:val="20"/>
              </w:rPr>
              <w:t>Random and stratified sampling</w:t>
            </w:r>
          </w:p>
        </w:tc>
        <w:tc>
          <w:tcPr>
            <w:tcW w:w="2074" w:type="dxa"/>
          </w:tcPr>
          <w:p w:rsidR="006900F1" w:rsidRPr="0039327B" w:rsidRDefault="006900F1" w:rsidP="007C4D57">
            <w:pPr>
              <w:jc w:val="center"/>
              <w:rPr>
                <w:sz w:val="20"/>
                <w:szCs w:val="20"/>
              </w:rPr>
            </w:pPr>
            <w:r w:rsidRPr="0039327B">
              <w:rPr>
                <w:sz w:val="20"/>
                <w:szCs w:val="20"/>
              </w:rPr>
              <w:t>To investigate predictors of emergency readiness and confidence in the ability to deal with disaster events among older Americans</w:t>
            </w:r>
          </w:p>
        </w:tc>
        <w:tc>
          <w:tcPr>
            <w:tcW w:w="1504" w:type="dxa"/>
          </w:tcPr>
          <w:p w:rsidR="006900F1" w:rsidRPr="0039327B" w:rsidRDefault="006900F1" w:rsidP="007C4D57">
            <w:pPr>
              <w:jc w:val="center"/>
              <w:rPr>
                <w:sz w:val="20"/>
                <w:szCs w:val="20"/>
              </w:rPr>
            </w:pPr>
            <w:r w:rsidRPr="0039327B">
              <w:rPr>
                <w:sz w:val="20"/>
                <w:szCs w:val="20"/>
              </w:rPr>
              <w:t>Cross Sectional Study</w:t>
            </w:r>
          </w:p>
        </w:tc>
        <w:tc>
          <w:tcPr>
            <w:tcW w:w="2499" w:type="dxa"/>
          </w:tcPr>
          <w:p w:rsidR="006900F1" w:rsidRPr="0039327B" w:rsidRDefault="006900F1" w:rsidP="007C4D57">
            <w:pPr>
              <w:jc w:val="center"/>
              <w:rPr>
                <w:sz w:val="20"/>
                <w:szCs w:val="20"/>
              </w:rPr>
            </w:pPr>
            <w:r w:rsidRPr="0039327B">
              <w:rPr>
                <w:sz w:val="20"/>
                <w:szCs w:val="20"/>
              </w:rPr>
              <w:t xml:space="preserve">Researchers created a questionnaire based on major recommendations from top disaster response agencies such as the Federal Emergency Management Agency, the American Red Cross, and the </w:t>
            </w:r>
            <w:proofErr w:type="spellStart"/>
            <w:r w:rsidRPr="0039327B">
              <w:rPr>
                <w:sz w:val="20"/>
                <w:szCs w:val="20"/>
              </w:rPr>
              <w:t>Centers</w:t>
            </w:r>
            <w:proofErr w:type="spellEnd"/>
            <w:r w:rsidRPr="0039327B">
              <w:rPr>
                <w:sz w:val="20"/>
                <w:szCs w:val="20"/>
              </w:rPr>
              <w:t xml:space="preserve"> for Disease Control and Prevention</w:t>
            </w:r>
          </w:p>
        </w:tc>
        <w:tc>
          <w:tcPr>
            <w:tcW w:w="2910" w:type="dxa"/>
          </w:tcPr>
          <w:p w:rsidR="006900F1" w:rsidRPr="0039327B" w:rsidRDefault="006900F1" w:rsidP="007C4D57">
            <w:pPr>
              <w:jc w:val="center"/>
              <w:rPr>
                <w:sz w:val="20"/>
                <w:szCs w:val="20"/>
              </w:rPr>
            </w:pPr>
            <w:r w:rsidRPr="0039327B">
              <w:rPr>
                <w:sz w:val="20"/>
                <w:szCs w:val="20"/>
              </w:rPr>
              <w:t>Especially for those who live alone and use mobility aids or medical equipment that requires electricity, identifying at-risk groups is useful in supporting preparedness.</w:t>
            </w:r>
          </w:p>
        </w:tc>
      </w:tr>
      <w:tr w:rsidR="006900F1" w:rsidRPr="00316643" w:rsidTr="007C4D57">
        <w:trPr>
          <w:jc w:val="center"/>
        </w:trPr>
        <w:tc>
          <w:tcPr>
            <w:tcW w:w="1821" w:type="dxa"/>
          </w:tcPr>
          <w:p w:rsidR="006900F1" w:rsidRPr="00316643" w:rsidRDefault="006900F1" w:rsidP="007C4D57">
            <w:pPr>
              <w:jc w:val="center"/>
              <w:rPr>
                <w:sz w:val="20"/>
                <w:szCs w:val="20"/>
              </w:rPr>
            </w:pPr>
            <w:r w:rsidRPr="00316643">
              <w:rPr>
                <w:sz w:val="20"/>
                <w:szCs w:val="20"/>
              </w:rPr>
              <w:fldChar w:fldCharType="begin" w:fldLock="1"/>
            </w:r>
            <w:r w:rsidRPr="00316643">
              <w:rPr>
                <w:sz w:val="20"/>
                <w:szCs w:val="20"/>
              </w:rPr>
              <w:instrText>ADDIN CSL_CITATION {"citationItems":[{"id":"ITEM-1","itemData":{"DOI":"10.1186/s12877-021-02159-0","ISSN":"14712318","PMID":"33832424","abstract":"Background: During a disaster, home-based care fills the critical need for continuation of health care. Home-based care is intended to function using existing care delivery models, continuing to provide care for patients wherever they are located, including in shelters and hotels. Home-based care providers are often the closest in contact with their patients —seeing them in place, even throughout a disaster— through which they develop a unique insight into aging in place during a disaster. The purpose of this study was to identify individual and community-level support needs of older adults after a disaster through the lens of home-based care providers. Methods: Using qualitative inquiry, five focus groups were conducted with home-based care providers (n = 25) who provided in-home care during Hurricane Irma and Hurricane Harvey. Participants were identified by contacting home health agencies listed in an open-source database of agencies participating in Centers for Medicare and Medicaid Services programs. Data were coded using an abductive analytic approach, and larger themes were generated in light of existing theory. Results: The results were distilled into eight themes that related to the importance of community and family, informal and formal supports throughout the disaster management cycle, maintaining autonomy during a disaster, and institutional and systemic barriers to obtaining assistance. Conclusions: In this study, home-based care providers described the challenges aging adults face in the response and recovery period after a large-scale disaster including maintaining continuity of care, encouraging individual preparedness, and accessing complex governmental support. Listening to home-based care providers offers new and important insights for developing interventions to address social and health needs for older adults aging in place after a large-scale disaster.","author":[{"dropping-particle":"","family":"Bell","given":"Sue Anne","non-dropping-particle":"","parse-names":false,"suffix":""},{"dropping-particle":"","family":"Krienke","given":"Lydia K.","non-dropping-particle":"","parse-names":false,"suffix":""},{"dropping-particle":"","family":"Dickey","given":"Sarah","non-dropping-particle":"","parse-names":false,"suffix":""},{"dropping-particle":"","family":"Vries","given":"Raymond G.","non-dropping-particle":"De","parse-names":false,"suffix":""}],"container-title":"BMC Geriatrics","id":"ITEM-1","issue":"1","issued":{"date-parts":[["2021"]]},"page":"1-10","publisher":"BMC Geriatrics","title":"“Helping fill that gap:” a qualitative study of aging in place after disaster through the lens of home-based care providers","type":"article-journal","volume":"21"},"uris":["http://www.mendeley.com/documents/?uuid=20058914-54e5-460f-92a2-30acd08d6f66"]}],"mendeley":{"formattedCitation":"(Bell &lt;i&gt;et al.&lt;/i&gt;, 2021a)","manualFormatting":"Bell et al. (2021a)","plainTextFormattedCitation":"(Bell et al., 2021a)","previouslyFormattedCitation":"(Bell &lt;i&gt;et al.&lt;/i&gt;, 2021a)"},"properties":{"noteIndex":0},"schema":"https://github.com/citation-style-language/schema/raw/master/csl-citation.json"}</w:instrText>
            </w:r>
            <w:r w:rsidRPr="00316643">
              <w:rPr>
                <w:sz w:val="20"/>
                <w:szCs w:val="20"/>
              </w:rPr>
              <w:fldChar w:fldCharType="separate"/>
            </w:r>
            <w:r w:rsidRPr="00316643">
              <w:rPr>
                <w:noProof/>
                <w:sz w:val="20"/>
                <w:szCs w:val="20"/>
              </w:rPr>
              <w:t xml:space="preserve">Bell </w:t>
            </w:r>
            <w:r w:rsidRPr="00316643">
              <w:rPr>
                <w:iCs/>
                <w:noProof/>
                <w:sz w:val="20"/>
                <w:szCs w:val="20"/>
              </w:rPr>
              <w:t>et al</w:t>
            </w:r>
            <w:r w:rsidRPr="00316643">
              <w:rPr>
                <w:i/>
                <w:noProof/>
                <w:sz w:val="20"/>
                <w:szCs w:val="20"/>
              </w:rPr>
              <w:t xml:space="preserve">. </w:t>
            </w:r>
            <w:r w:rsidRPr="00316643">
              <w:rPr>
                <w:iCs/>
                <w:noProof/>
                <w:sz w:val="20"/>
                <w:szCs w:val="20"/>
              </w:rPr>
              <w:t>(</w:t>
            </w:r>
            <w:r w:rsidRPr="00316643">
              <w:rPr>
                <w:noProof/>
                <w:sz w:val="20"/>
                <w:szCs w:val="20"/>
              </w:rPr>
              <w:t>2021a)</w:t>
            </w:r>
            <w:r w:rsidRPr="00316643">
              <w:rPr>
                <w:sz w:val="20"/>
                <w:szCs w:val="20"/>
              </w:rPr>
              <w:fldChar w:fldCharType="end"/>
            </w:r>
          </w:p>
        </w:tc>
        <w:tc>
          <w:tcPr>
            <w:tcW w:w="1071" w:type="dxa"/>
          </w:tcPr>
          <w:p w:rsidR="006900F1" w:rsidRPr="0039327B" w:rsidRDefault="006900F1" w:rsidP="007C4D57">
            <w:pPr>
              <w:jc w:val="center"/>
              <w:rPr>
                <w:sz w:val="20"/>
                <w:szCs w:val="20"/>
              </w:rPr>
            </w:pPr>
            <w:r w:rsidRPr="0039327B">
              <w:rPr>
                <w:sz w:val="20"/>
                <w:szCs w:val="20"/>
              </w:rPr>
              <w:t>USA</w:t>
            </w:r>
          </w:p>
          <w:p w:rsidR="006900F1" w:rsidRPr="0039327B" w:rsidRDefault="006900F1" w:rsidP="007C4D57">
            <w:pPr>
              <w:jc w:val="center"/>
              <w:rPr>
                <w:sz w:val="20"/>
                <w:szCs w:val="20"/>
              </w:rPr>
            </w:pPr>
          </w:p>
        </w:tc>
        <w:tc>
          <w:tcPr>
            <w:tcW w:w="1990" w:type="dxa"/>
          </w:tcPr>
          <w:p w:rsidR="006900F1" w:rsidRPr="0039327B" w:rsidRDefault="006900F1" w:rsidP="007C4D57">
            <w:pPr>
              <w:jc w:val="center"/>
              <w:rPr>
                <w:sz w:val="20"/>
                <w:szCs w:val="20"/>
              </w:rPr>
            </w:pPr>
            <w:r w:rsidRPr="0039327B">
              <w:rPr>
                <w:sz w:val="20"/>
                <w:szCs w:val="20"/>
              </w:rPr>
              <w:t xml:space="preserve">Five focus groups were held in January, October, and November 2019 with home-based care providers (n = 25) who provided in-home care during </w:t>
            </w:r>
            <w:r w:rsidRPr="0039327B">
              <w:rPr>
                <w:sz w:val="20"/>
                <w:szCs w:val="20"/>
              </w:rPr>
              <w:lastRenderedPageBreak/>
              <w:t>Hurricanes Irma and Harvey</w:t>
            </w:r>
          </w:p>
        </w:tc>
        <w:tc>
          <w:tcPr>
            <w:tcW w:w="1261" w:type="dxa"/>
          </w:tcPr>
          <w:p w:rsidR="006900F1" w:rsidRPr="0039327B" w:rsidRDefault="006900F1" w:rsidP="007C4D57">
            <w:pPr>
              <w:jc w:val="center"/>
              <w:rPr>
                <w:sz w:val="20"/>
                <w:szCs w:val="20"/>
              </w:rPr>
            </w:pPr>
            <w:r w:rsidRPr="0039327B">
              <w:rPr>
                <w:sz w:val="20"/>
                <w:szCs w:val="20"/>
              </w:rPr>
              <w:lastRenderedPageBreak/>
              <w:t>Convenience sampling</w:t>
            </w:r>
          </w:p>
        </w:tc>
        <w:tc>
          <w:tcPr>
            <w:tcW w:w="2074" w:type="dxa"/>
          </w:tcPr>
          <w:p w:rsidR="006900F1" w:rsidRPr="0039327B" w:rsidRDefault="006900F1" w:rsidP="007C4D57">
            <w:pPr>
              <w:jc w:val="center"/>
              <w:rPr>
                <w:sz w:val="20"/>
                <w:szCs w:val="20"/>
              </w:rPr>
            </w:pPr>
            <w:r w:rsidRPr="0039327B">
              <w:rPr>
                <w:sz w:val="20"/>
                <w:szCs w:val="20"/>
              </w:rPr>
              <w:t>To identify individual and community-level support needs of older adults after a disaster based on home-care providers.</w:t>
            </w:r>
          </w:p>
        </w:tc>
        <w:tc>
          <w:tcPr>
            <w:tcW w:w="1504" w:type="dxa"/>
          </w:tcPr>
          <w:p w:rsidR="006900F1" w:rsidRPr="0039327B" w:rsidRDefault="006900F1" w:rsidP="007C4D57">
            <w:pPr>
              <w:jc w:val="center"/>
              <w:rPr>
                <w:sz w:val="20"/>
                <w:szCs w:val="20"/>
              </w:rPr>
            </w:pPr>
            <w:r w:rsidRPr="0039327B">
              <w:rPr>
                <w:sz w:val="20"/>
                <w:szCs w:val="20"/>
              </w:rPr>
              <w:t>Descriptive qualitative study</w:t>
            </w:r>
          </w:p>
        </w:tc>
        <w:tc>
          <w:tcPr>
            <w:tcW w:w="2499" w:type="dxa"/>
          </w:tcPr>
          <w:p w:rsidR="006900F1" w:rsidRPr="0039327B" w:rsidRDefault="006900F1" w:rsidP="007C4D57">
            <w:pPr>
              <w:jc w:val="center"/>
              <w:rPr>
                <w:sz w:val="20"/>
                <w:szCs w:val="20"/>
              </w:rPr>
            </w:pPr>
            <w:r w:rsidRPr="0039327B">
              <w:rPr>
                <w:sz w:val="20"/>
                <w:szCs w:val="20"/>
              </w:rPr>
              <w:t>A questionnaire based on previous conceptual work on disasters, home care and aging, and information made by researchers</w:t>
            </w:r>
          </w:p>
        </w:tc>
        <w:tc>
          <w:tcPr>
            <w:tcW w:w="2910" w:type="dxa"/>
          </w:tcPr>
          <w:p w:rsidR="006900F1" w:rsidRPr="0039327B" w:rsidRDefault="006900F1" w:rsidP="007C4D57">
            <w:pPr>
              <w:jc w:val="center"/>
              <w:rPr>
                <w:sz w:val="20"/>
                <w:szCs w:val="20"/>
              </w:rPr>
            </w:pPr>
            <w:r w:rsidRPr="0039327B">
              <w:rPr>
                <w:sz w:val="20"/>
                <w:szCs w:val="20"/>
              </w:rPr>
              <w:t>Home-based care providers acknowledged the challenges of responding to and recovering from a disaster, such as encouraging individual preparedness, preserving continuity of care, and obtaining complex governmental assistance</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5" w:history="1">
              <w:r w:rsidR="006900F1" w:rsidRPr="00D672F5">
                <w:rPr>
                  <w:rStyle w:val="Hyperlink"/>
                  <w:sz w:val="20"/>
                  <w:szCs w:val="20"/>
                </w:rPr>
                <w:t>(</w:t>
              </w:r>
              <w:proofErr w:type="spellStart"/>
              <w:r w:rsidR="006900F1" w:rsidRPr="00D672F5">
                <w:rPr>
                  <w:rStyle w:val="Hyperlink"/>
                  <w:sz w:val="20"/>
                  <w:szCs w:val="20"/>
                </w:rPr>
                <w:t>Boonyaratkalin</w:t>
              </w:r>
              <w:proofErr w:type="spellEnd"/>
              <w:r w:rsidR="006900F1" w:rsidRPr="00D672F5">
                <w:rPr>
                  <w:rStyle w:val="Hyperlink"/>
                  <w:sz w:val="20"/>
                  <w:szCs w:val="20"/>
                </w:rPr>
                <w:t xml:space="preserve"> et al., 2021)</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Thailand</w:t>
            </w:r>
          </w:p>
        </w:tc>
        <w:tc>
          <w:tcPr>
            <w:tcW w:w="1990" w:type="dxa"/>
          </w:tcPr>
          <w:p w:rsidR="006900F1" w:rsidRPr="0039327B" w:rsidRDefault="006900F1" w:rsidP="007C4D57">
            <w:pPr>
              <w:jc w:val="center"/>
              <w:rPr>
                <w:sz w:val="20"/>
                <w:szCs w:val="20"/>
              </w:rPr>
            </w:pPr>
            <w:r w:rsidRPr="0039327B">
              <w:rPr>
                <w:sz w:val="20"/>
                <w:szCs w:val="20"/>
              </w:rPr>
              <w:t>134 older adults</w:t>
            </w:r>
          </w:p>
        </w:tc>
        <w:tc>
          <w:tcPr>
            <w:tcW w:w="1261" w:type="dxa"/>
          </w:tcPr>
          <w:p w:rsidR="006900F1" w:rsidRPr="0039327B" w:rsidRDefault="006900F1" w:rsidP="007C4D57">
            <w:pPr>
              <w:jc w:val="center"/>
              <w:rPr>
                <w:sz w:val="20"/>
                <w:szCs w:val="20"/>
              </w:rPr>
            </w:pPr>
            <w:r w:rsidRPr="0039327B">
              <w:rPr>
                <w:sz w:val="20"/>
                <w:szCs w:val="20"/>
              </w:rPr>
              <w:t>Purposive sampling</w:t>
            </w:r>
          </w:p>
        </w:tc>
        <w:tc>
          <w:tcPr>
            <w:tcW w:w="2074" w:type="dxa"/>
          </w:tcPr>
          <w:p w:rsidR="006900F1" w:rsidRPr="0039327B" w:rsidRDefault="006900F1" w:rsidP="007C4D57">
            <w:pPr>
              <w:jc w:val="center"/>
              <w:rPr>
                <w:sz w:val="20"/>
                <w:szCs w:val="20"/>
              </w:rPr>
            </w:pPr>
            <w:r w:rsidRPr="0039327B">
              <w:rPr>
                <w:sz w:val="20"/>
                <w:szCs w:val="20"/>
              </w:rPr>
              <w:t xml:space="preserve">To explore the association between flood preparedness literacy and </w:t>
            </w:r>
            <w:proofErr w:type="spellStart"/>
            <w:r w:rsidRPr="0039327B">
              <w:rPr>
                <w:sz w:val="20"/>
                <w:szCs w:val="20"/>
              </w:rPr>
              <w:t>behaviors</w:t>
            </w:r>
            <w:proofErr w:type="spellEnd"/>
            <w:r w:rsidRPr="0039327B">
              <w:rPr>
                <w:sz w:val="20"/>
                <w:szCs w:val="20"/>
              </w:rPr>
              <w:t>, as well as flood preparedness-related factors</w:t>
            </w:r>
          </w:p>
        </w:tc>
        <w:tc>
          <w:tcPr>
            <w:tcW w:w="1504" w:type="dxa"/>
          </w:tcPr>
          <w:p w:rsidR="006900F1" w:rsidRPr="0039327B" w:rsidRDefault="006900F1" w:rsidP="007C4D57">
            <w:pPr>
              <w:jc w:val="center"/>
              <w:rPr>
                <w:sz w:val="20"/>
                <w:szCs w:val="20"/>
              </w:rPr>
            </w:pPr>
            <w:r w:rsidRPr="0039327B">
              <w:rPr>
                <w:sz w:val="20"/>
                <w:szCs w:val="20"/>
              </w:rPr>
              <w:t>Quantitative descriptive correlational study</w:t>
            </w:r>
          </w:p>
        </w:tc>
        <w:tc>
          <w:tcPr>
            <w:tcW w:w="2499" w:type="dxa"/>
          </w:tcPr>
          <w:p w:rsidR="006900F1" w:rsidRPr="0039327B" w:rsidRDefault="006900F1" w:rsidP="007C4D57">
            <w:pPr>
              <w:jc w:val="center"/>
              <w:rPr>
                <w:sz w:val="20"/>
                <w:szCs w:val="20"/>
              </w:rPr>
            </w:pPr>
            <w:r w:rsidRPr="0039327B">
              <w:rPr>
                <w:sz w:val="20"/>
                <w:szCs w:val="20"/>
              </w:rPr>
              <w:t xml:space="preserve">The researcher created a questionnaire that included demographic characteristics, the </w:t>
            </w:r>
            <w:proofErr w:type="spellStart"/>
            <w:r w:rsidRPr="0039327B">
              <w:rPr>
                <w:sz w:val="20"/>
                <w:szCs w:val="20"/>
              </w:rPr>
              <w:t>Charlson</w:t>
            </w:r>
            <w:proofErr w:type="spellEnd"/>
            <w:r w:rsidRPr="0039327B">
              <w:rPr>
                <w:sz w:val="20"/>
                <w:szCs w:val="20"/>
              </w:rPr>
              <w:t xml:space="preserve"> Comorbidity Index of </w:t>
            </w:r>
            <w:proofErr w:type="spellStart"/>
            <w:r w:rsidRPr="0039327B">
              <w:rPr>
                <w:sz w:val="20"/>
                <w:szCs w:val="20"/>
              </w:rPr>
              <w:t>Charlson</w:t>
            </w:r>
            <w:proofErr w:type="spellEnd"/>
            <w:r w:rsidRPr="0039327B">
              <w:rPr>
                <w:sz w:val="20"/>
                <w:szCs w:val="20"/>
              </w:rPr>
              <w:t xml:space="preserve"> et al. (2008), the social support for flood preparedness questionnaire from Schaefer, Coyne, and Lazarus (1981) and translated into Thai by </w:t>
            </w:r>
            <w:proofErr w:type="spellStart"/>
            <w:r w:rsidRPr="0039327B">
              <w:rPr>
                <w:sz w:val="20"/>
                <w:szCs w:val="20"/>
              </w:rPr>
              <w:t>Hanucharurnkul</w:t>
            </w:r>
            <w:proofErr w:type="spellEnd"/>
            <w:r w:rsidRPr="0039327B">
              <w:rPr>
                <w:sz w:val="20"/>
                <w:szCs w:val="20"/>
              </w:rPr>
              <w:t xml:space="preserve"> (1988), and the flood preparedness literacy and </w:t>
            </w:r>
            <w:proofErr w:type="spellStart"/>
            <w:r w:rsidRPr="0039327B">
              <w:rPr>
                <w:sz w:val="20"/>
                <w:szCs w:val="20"/>
              </w:rPr>
              <w:t>behavior</w:t>
            </w:r>
            <w:proofErr w:type="spellEnd"/>
            <w:r w:rsidRPr="0039327B">
              <w:rPr>
                <w:sz w:val="20"/>
                <w:szCs w:val="20"/>
              </w:rPr>
              <w:t xml:space="preserve"> questionnaire</w:t>
            </w:r>
          </w:p>
        </w:tc>
        <w:tc>
          <w:tcPr>
            <w:tcW w:w="2910" w:type="dxa"/>
          </w:tcPr>
          <w:p w:rsidR="006900F1" w:rsidRPr="0039327B" w:rsidRDefault="006900F1" w:rsidP="007C4D57">
            <w:pPr>
              <w:jc w:val="center"/>
              <w:rPr>
                <w:sz w:val="20"/>
                <w:szCs w:val="20"/>
              </w:rPr>
            </w:pPr>
            <w:r w:rsidRPr="0039327B">
              <w:rPr>
                <w:sz w:val="20"/>
                <w:szCs w:val="20"/>
              </w:rPr>
              <w:t xml:space="preserve">Flood preparedness </w:t>
            </w:r>
            <w:proofErr w:type="spellStart"/>
            <w:r w:rsidRPr="0039327B">
              <w:rPr>
                <w:sz w:val="20"/>
                <w:szCs w:val="20"/>
              </w:rPr>
              <w:t>behavior</w:t>
            </w:r>
            <w:proofErr w:type="spellEnd"/>
            <w:r w:rsidRPr="0039327B">
              <w:rPr>
                <w:sz w:val="20"/>
                <w:szCs w:val="20"/>
              </w:rPr>
              <w:t xml:space="preserve"> is correlated with the level of flood preparedness literacy. Hearing ability, marital status, social support, and instrumental activities in daily life are factors related to flood preparedness literacy.</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6" w:history="1">
              <w:r w:rsidR="006900F1" w:rsidRPr="0054004E">
                <w:rPr>
                  <w:rStyle w:val="Hyperlink"/>
                  <w:sz w:val="20"/>
                  <w:szCs w:val="20"/>
                </w:rPr>
                <w:t>(Cong et al., 2022)</w:t>
              </w:r>
            </w:hyperlink>
            <w:r w:rsidR="006900F1" w:rsidRPr="00316643">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USA</w:t>
            </w:r>
          </w:p>
        </w:tc>
        <w:tc>
          <w:tcPr>
            <w:tcW w:w="1990" w:type="dxa"/>
          </w:tcPr>
          <w:p w:rsidR="006900F1" w:rsidRPr="0039327B" w:rsidRDefault="006900F1" w:rsidP="007C4D57">
            <w:pPr>
              <w:jc w:val="center"/>
              <w:rPr>
                <w:sz w:val="20"/>
                <w:szCs w:val="20"/>
              </w:rPr>
            </w:pPr>
            <w:r w:rsidRPr="0039327B">
              <w:rPr>
                <w:sz w:val="20"/>
                <w:szCs w:val="20"/>
              </w:rPr>
              <w:t>223 respondents who had a household emergency plan before the tornadoes in 2023</w:t>
            </w:r>
          </w:p>
        </w:tc>
        <w:tc>
          <w:tcPr>
            <w:tcW w:w="1261" w:type="dxa"/>
          </w:tcPr>
          <w:p w:rsidR="006900F1" w:rsidRPr="0039327B" w:rsidRDefault="006900F1" w:rsidP="007C4D57">
            <w:pPr>
              <w:jc w:val="center"/>
              <w:rPr>
                <w:sz w:val="20"/>
                <w:szCs w:val="20"/>
              </w:rPr>
            </w:pPr>
            <w:r w:rsidRPr="0039327B">
              <w:rPr>
                <w:sz w:val="20"/>
                <w:szCs w:val="20"/>
              </w:rPr>
              <w:t>Random sampling</w:t>
            </w:r>
          </w:p>
        </w:tc>
        <w:tc>
          <w:tcPr>
            <w:tcW w:w="2074" w:type="dxa"/>
          </w:tcPr>
          <w:p w:rsidR="006900F1" w:rsidRPr="0039327B" w:rsidRDefault="006900F1" w:rsidP="007C4D57">
            <w:pPr>
              <w:jc w:val="center"/>
              <w:rPr>
                <w:sz w:val="20"/>
                <w:szCs w:val="20"/>
              </w:rPr>
            </w:pPr>
            <w:r w:rsidRPr="0039327B">
              <w:rPr>
                <w:sz w:val="20"/>
                <w:szCs w:val="20"/>
              </w:rPr>
              <w:t>To investigate the effectiveness of household emergency plans during tornadoes and the attributes of the plan for different age groups.</w:t>
            </w:r>
          </w:p>
        </w:tc>
        <w:tc>
          <w:tcPr>
            <w:tcW w:w="1504" w:type="dxa"/>
          </w:tcPr>
          <w:p w:rsidR="006900F1" w:rsidRPr="0039327B" w:rsidRDefault="006900F1" w:rsidP="007C4D57">
            <w:pPr>
              <w:jc w:val="center"/>
              <w:rPr>
                <w:sz w:val="20"/>
                <w:szCs w:val="20"/>
              </w:rPr>
            </w:pPr>
            <w:r w:rsidRPr="0039327B">
              <w:rPr>
                <w:sz w:val="20"/>
                <w:szCs w:val="20"/>
              </w:rPr>
              <w:t>Cross-Sectional Study</w:t>
            </w:r>
          </w:p>
        </w:tc>
        <w:tc>
          <w:tcPr>
            <w:tcW w:w="2499" w:type="dxa"/>
          </w:tcPr>
          <w:p w:rsidR="006900F1" w:rsidRPr="0039327B" w:rsidRDefault="006900F1" w:rsidP="007C4D57">
            <w:pPr>
              <w:jc w:val="center"/>
              <w:rPr>
                <w:sz w:val="20"/>
                <w:szCs w:val="20"/>
              </w:rPr>
            </w:pPr>
            <w:r w:rsidRPr="0039327B">
              <w:rPr>
                <w:sz w:val="20"/>
                <w:szCs w:val="20"/>
              </w:rPr>
              <w:t>A questionnaire on the effectiveness of the household emergency plan in response to tornadoes made by researchers.</w:t>
            </w:r>
          </w:p>
        </w:tc>
        <w:tc>
          <w:tcPr>
            <w:tcW w:w="2910" w:type="dxa"/>
          </w:tcPr>
          <w:p w:rsidR="006900F1" w:rsidRPr="0039327B" w:rsidRDefault="006900F1" w:rsidP="007C4D57">
            <w:pPr>
              <w:jc w:val="center"/>
              <w:rPr>
                <w:sz w:val="20"/>
                <w:szCs w:val="20"/>
              </w:rPr>
            </w:pPr>
            <w:r w:rsidRPr="0039327B">
              <w:rPr>
                <w:sz w:val="20"/>
                <w:szCs w:val="20"/>
              </w:rPr>
              <w:t>To increase the comprehensiveness of plans and encourage family discussions, service programs for older adults should be adapted. The planning process for older adults is more important than for young adults.</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7" w:history="1">
              <w:r w:rsidR="006900F1" w:rsidRPr="0060342A">
                <w:rPr>
                  <w:rStyle w:val="Hyperlink"/>
                  <w:sz w:val="20"/>
                  <w:szCs w:val="20"/>
                </w:rPr>
                <w:t>(Engelman et al., 2022)</w:t>
              </w:r>
            </w:hyperlink>
          </w:p>
        </w:tc>
        <w:tc>
          <w:tcPr>
            <w:tcW w:w="1071" w:type="dxa"/>
          </w:tcPr>
          <w:p w:rsidR="006900F1" w:rsidRPr="0039327B" w:rsidRDefault="006900F1" w:rsidP="007C4D57">
            <w:pPr>
              <w:jc w:val="center"/>
              <w:rPr>
                <w:sz w:val="20"/>
                <w:szCs w:val="20"/>
              </w:rPr>
            </w:pPr>
            <w:r w:rsidRPr="0039327B">
              <w:rPr>
                <w:sz w:val="20"/>
                <w:szCs w:val="20"/>
              </w:rPr>
              <w:t>In Puerto Rico</w:t>
            </w:r>
          </w:p>
        </w:tc>
        <w:tc>
          <w:tcPr>
            <w:tcW w:w="1990" w:type="dxa"/>
          </w:tcPr>
          <w:p w:rsidR="006900F1" w:rsidRPr="0039327B" w:rsidRDefault="006900F1" w:rsidP="007C4D57">
            <w:pPr>
              <w:jc w:val="center"/>
              <w:rPr>
                <w:sz w:val="20"/>
                <w:szCs w:val="20"/>
              </w:rPr>
            </w:pPr>
            <w:r w:rsidRPr="0039327B">
              <w:rPr>
                <w:sz w:val="20"/>
                <w:szCs w:val="20"/>
              </w:rPr>
              <w:t>22 senior-or disabled-serving CBOs</w:t>
            </w:r>
          </w:p>
        </w:tc>
        <w:tc>
          <w:tcPr>
            <w:tcW w:w="1261" w:type="dxa"/>
          </w:tcPr>
          <w:p w:rsidR="006900F1" w:rsidRPr="0039327B" w:rsidRDefault="006900F1" w:rsidP="007C4D57">
            <w:pPr>
              <w:jc w:val="center"/>
              <w:rPr>
                <w:sz w:val="20"/>
                <w:szCs w:val="20"/>
              </w:rPr>
            </w:pPr>
            <w:r w:rsidRPr="0039327B">
              <w:rPr>
                <w:sz w:val="20"/>
                <w:szCs w:val="20"/>
              </w:rPr>
              <w:t>Not determined</w:t>
            </w:r>
          </w:p>
        </w:tc>
        <w:tc>
          <w:tcPr>
            <w:tcW w:w="2074" w:type="dxa"/>
          </w:tcPr>
          <w:p w:rsidR="006900F1" w:rsidRPr="0039327B" w:rsidRDefault="006900F1" w:rsidP="007C4D57">
            <w:pPr>
              <w:jc w:val="center"/>
              <w:rPr>
                <w:sz w:val="20"/>
                <w:szCs w:val="20"/>
              </w:rPr>
            </w:pPr>
            <w:r w:rsidRPr="0039327B">
              <w:rPr>
                <w:sz w:val="20"/>
                <w:szCs w:val="20"/>
              </w:rPr>
              <w:t xml:space="preserve">To gain insight into the emergency preparedness role that CBOs play, as well as their challenges as an aging, disabled and mentally ill population </w:t>
            </w:r>
            <w:r w:rsidRPr="0039327B">
              <w:rPr>
                <w:sz w:val="20"/>
                <w:szCs w:val="20"/>
              </w:rPr>
              <w:lastRenderedPageBreak/>
              <w:t>faces Hurricane María and COVID-19.</w:t>
            </w:r>
          </w:p>
        </w:tc>
        <w:tc>
          <w:tcPr>
            <w:tcW w:w="1504" w:type="dxa"/>
          </w:tcPr>
          <w:p w:rsidR="006900F1" w:rsidRPr="0039327B" w:rsidRDefault="006900F1" w:rsidP="007C4D57">
            <w:pPr>
              <w:jc w:val="center"/>
              <w:rPr>
                <w:sz w:val="20"/>
                <w:szCs w:val="20"/>
              </w:rPr>
            </w:pPr>
            <w:r w:rsidRPr="0039327B">
              <w:rPr>
                <w:sz w:val="20"/>
                <w:szCs w:val="20"/>
              </w:rPr>
              <w:lastRenderedPageBreak/>
              <w:t>Descriptive qualitative study</w:t>
            </w:r>
          </w:p>
        </w:tc>
        <w:tc>
          <w:tcPr>
            <w:tcW w:w="2499" w:type="dxa"/>
          </w:tcPr>
          <w:p w:rsidR="006900F1" w:rsidRPr="0039327B" w:rsidRDefault="006900F1" w:rsidP="007C4D57">
            <w:pPr>
              <w:jc w:val="center"/>
              <w:rPr>
                <w:sz w:val="20"/>
                <w:szCs w:val="20"/>
              </w:rPr>
            </w:pPr>
            <w:r w:rsidRPr="0039327B">
              <w:rPr>
                <w:sz w:val="20"/>
                <w:szCs w:val="20"/>
              </w:rPr>
              <w:t xml:space="preserve">A questionnaire modified from a CDC-funded emergency preparedness initiative for the deaf, which investigates the emergency preparedness capabilities of CBOs as well </w:t>
            </w:r>
            <w:r w:rsidRPr="0039327B">
              <w:rPr>
                <w:sz w:val="20"/>
                <w:szCs w:val="20"/>
              </w:rPr>
              <w:lastRenderedPageBreak/>
              <w:t>as state and territory government authorities</w:t>
            </w:r>
          </w:p>
        </w:tc>
        <w:tc>
          <w:tcPr>
            <w:tcW w:w="2910" w:type="dxa"/>
          </w:tcPr>
          <w:p w:rsidR="006900F1" w:rsidRPr="0039327B" w:rsidRDefault="006900F1" w:rsidP="007C4D57">
            <w:pPr>
              <w:jc w:val="center"/>
              <w:rPr>
                <w:sz w:val="20"/>
                <w:szCs w:val="20"/>
              </w:rPr>
            </w:pPr>
            <w:r w:rsidRPr="0039327B">
              <w:rPr>
                <w:sz w:val="20"/>
                <w:szCs w:val="20"/>
              </w:rPr>
              <w:lastRenderedPageBreak/>
              <w:t>Puerto Rican community-based organizations (CBOs) play an important role in EPR or disability-inclusive disaster risk reduction (</w:t>
            </w:r>
            <w:proofErr w:type="spellStart"/>
            <w:r w:rsidRPr="0039327B">
              <w:rPr>
                <w:sz w:val="20"/>
                <w:szCs w:val="20"/>
              </w:rPr>
              <w:t>DiDRR</w:t>
            </w:r>
            <w:proofErr w:type="spellEnd"/>
            <w:r w:rsidRPr="0039327B">
              <w:rPr>
                <w:sz w:val="20"/>
                <w:szCs w:val="20"/>
              </w:rPr>
              <w:t>) for areas with high medical and functional requirements</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8" w:history="1">
              <w:r w:rsidR="006900F1" w:rsidRPr="00E53DF4">
                <w:rPr>
                  <w:rStyle w:val="Hyperlink"/>
                  <w:sz w:val="20"/>
                  <w:szCs w:val="20"/>
                </w:rPr>
                <w:t>(Matsuo &amp; Hirano, 2021)</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Japan</w:t>
            </w:r>
          </w:p>
        </w:tc>
        <w:tc>
          <w:tcPr>
            <w:tcW w:w="1990" w:type="dxa"/>
          </w:tcPr>
          <w:p w:rsidR="006900F1" w:rsidRPr="0039327B" w:rsidRDefault="006900F1" w:rsidP="007C4D57">
            <w:pPr>
              <w:jc w:val="center"/>
              <w:rPr>
                <w:sz w:val="20"/>
                <w:szCs w:val="20"/>
              </w:rPr>
            </w:pPr>
            <w:r w:rsidRPr="0039327B">
              <w:rPr>
                <w:sz w:val="20"/>
                <w:szCs w:val="20"/>
              </w:rPr>
              <w:t>40 participated in disaster preparedness education and 500 people from the Basic Resident Register</w:t>
            </w:r>
          </w:p>
        </w:tc>
        <w:tc>
          <w:tcPr>
            <w:tcW w:w="1261" w:type="dxa"/>
          </w:tcPr>
          <w:p w:rsidR="006900F1" w:rsidRPr="0039327B" w:rsidRDefault="006900F1" w:rsidP="007C4D57">
            <w:pPr>
              <w:jc w:val="center"/>
              <w:rPr>
                <w:sz w:val="20"/>
                <w:szCs w:val="20"/>
              </w:rPr>
            </w:pPr>
            <w:r w:rsidRPr="0039327B">
              <w:rPr>
                <w:sz w:val="20"/>
                <w:szCs w:val="20"/>
              </w:rPr>
              <w:t>Systematic sampling method</w:t>
            </w:r>
          </w:p>
        </w:tc>
        <w:tc>
          <w:tcPr>
            <w:tcW w:w="2074" w:type="dxa"/>
          </w:tcPr>
          <w:p w:rsidR="006900F1" w:rsidRPr="0039327B" w:rsidRDefault="006900F1" w:rsidP="007C4D57">
            <w:pPr>
              <w:jc w:val="center"/>
              <w:rPr>
                <w:sz w:val="20"/>
                <w:szCs w:val="20"/>
              </w:rPr>
            </w:pPr>
            <w:r w:rsidRPr="0039327B">
              <w:rPr>
                <w:sz w:val="20"/>
                <w:szCs w:val="20"/>
              </w:rPr>
              <w:t>To clarify the effect of regional disaster preparedness education on efforts to prevent the isolation of older people in a disaster.</w:t>
            </w:r>
          </w:p>
        </w:tc>
        <w:tc>
          <w:tcPr>
            <w:tcW w:w="1504" w:type="dxa"/>
          </w:tcPr>
          <w:p w:rsidR="006900F1" w:rsidRPr="0039327B" w:rsidRDefault="006900F1" w:rsidP="007C4D57">
            <w:pPr>
              <w:jc w:val="center"/>
              <w:rPr>
                <w:sz w:val="20"/>
                <w:szCs w:val="20"/>
              </w:rPr>
            </w:pPr>
            <w:r w:rsidRPr="0039327B">
              <w:rPr>
                <w:sz w:val="20"/>
                <w:szCs w:val="20"/>
              </w:rPr>
              <w:t>quasi-experimental study</w:t>
            </w:r>
          </w:p>
        </w:tc>
        <w:tc>
          <w:tcPr>
            <w:tcW w:w="2499" w:type="dxa"/>
          </w:tcPr>
          <w:p w:rsidR="006900F1" w:rsidRPr="0039327B" w:rsidRDefault="006900F1" w:rsidP="007C4D57">
            <w:pPr>
              <w:jc w:val="center"/>
              <w:rPr>
                <w:sz w:val="20"/>
                <w:szCs w:val="20"/>
              </w:rPr>
            </w:pPr>
            <w:r w:rsidRPr="0039327B">
              <w:rPr>
                <w:sz w:val="20"/>
                <w:szCs w:val="20"/>
              </w:rPr>
              <w:t>A questionary made by researchers.</w:t>
            </w:r>
          </w:p>
        </w:tc>
        <w:tc>
          <w:tcPr>
            <w:tcW w:w="2910" w:type="dxa"/>
          </w:tcPr>
          <w:p w:rsidR="006900F1" w:rsidRPr="0039327B" w:rsidRDefault="006900F1" w:rsidP="007C4D57">
            <w:pPr>
              <w:jc w:val="center"/>
              <w:rPr>
                <w:sz w:val="20"/>
                <w:szCs w:val="20"/>
              </w:rPr>
            </w:pPr>
            <w:r w:rsidRPr="0039327B">
              <w:rPr>
                <w:sz w:val="20"/>
                <w:szCs w:val="20"/>
              </w:rPr>
              <w:t>Disaster preparedness education invokes perceives it as a community issue and encourages individuals to support others.</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9" w:history="1">
              <w:r w:rsidR="006900F1" w:rsidRPr="00536856">
                <w:rPr>
                  <w:rStyle w:val="Hyperlink"/>
                  <w:sz w:val="20"/>
                  <w:szCs w:val="20"/>
                </w:rPr>
                <w:t>(Wagle et al., 2020)</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Nepal</w:t>
            </w:r>
          </w:p>
        </w:tc>
        <w:tc>
          <w:tcPr>
            <w:tcW w:w="1990" w:type="dxa"/>
          </w:tcPr>
          <w:p w:rsidR="006900F1" w:rsidRPr="0039327B" w:rsidRDefault="006900F1" w:rsidP="007C4D57">
            <w:pPr>
              <w:jc w:val="center"/>
              <w:rPr>
                <w:sz w:val="20"/>
                <w:szCs w:val="20"/>
              </w:rPr>
            </w:pPr>
            <w:r w:rsidRPr="0039327B">
              <w:rPr>
                <w:sz w:val="20"/>
                <w:szCs w:val="20"/>
              </w:rPr>
              <w:t>362 older adults</w:t>
            </w:r>
          </w:p>
        </w:tc>
        <w:tc>
          <w:tcPr>
            <w:tcW w:w="1261" w:type="dxa"/>
          </w:tcPr>
          <w:p w:rsidR="006900F1" w:rsidRPr="0039327B" w:rsidRDefault="006900F1" w:rsidP="007C4D57">
            <w:pPr>
              <w:spacing w:before="100" w:beforeAutospacing="1" w:after="100" w:afterAutospacing="1"/>
              <w:jc w:val="center"/>
              <w:rPr>
                <w:sz w:val="20"/>
                <w:szCs w:val="20"/>
              </w:rPr>
            </w:pPr>
            <w:r w:rsidRPr="0039327B">
              <w:rPr>
                <w:sz w:val="20"/>
                <w:szCs w:val="20"/>
              </w:rPr>
              <w:t>Multi-stage sampling technique</w:t>
            </w:r>
          </w:p>
          <w:p w:rsidR="006900F1" w:rsidRPr="0039327B" w:rsidRDefault="006900F1" w:rsidP="007C4D57">
            <w:pPr>
              <w:jc w:val="center"/>
              <w:rPr>
                <w:sz w:val="20"/>
                <w:szCs w:val="20"/>
              </w:rPr>
            </w:pPr>
          </w:p>
        </w:tc>
        <w:tc>
          <w:tcPr>
            <w:tcW w:w="2074" w:type="dxa"/>
          </w:tcPr>
          <w:p w:rsidR="006900F1" w:rsidRPr="0039327B" w:rsidRDefault="006900F1" w:rsidP="007C4D57">
            <w:pPr>
              <w:jc w:val="center"/>
              <w:rPr>
                <w:sz w:val="20"/>
                <w:szCs w:val="20"/>
              </w:rPr>
            </w:pPr>
            <w:r w:rsidRPr="0039327B">
              <w:rPr>
                <w:sz w:val="20"/>
                <w:szCs w:val="20"/>
              </w:rPr>
              <w:t>To investigate the factors influencing HQL among older persons residing in the Lalitpur District of Nepal</w:t>
            </w:r>
          </w:p>
        </w:tc>
        <w:tc>
          <w:tcPr>
            <w:tcW w:w="1504" w:type="dxa"/>
          </w:tcPr>
          <w:p w:rsidR="006900F1" w:rsidRPr="0039327B" w:rsidRDefault="006900F1" w:rsidP="007C4D57">
            <w:pPr>
              <w:jc w:val="center"/>
              <w:rPr>
                <w:sz w:val="20"/>
                <w:szCs w:val="20"/>
              </w:rPr>
            </w:pPr>
            <w:r w:rsidRPr="0039327B">
              <w:rPr>
                <w:sz w:val="20"/>
                <w:szCs w:val="20"/>
              </w:rPr>
              <w:t>Not determined</w:t>
            </w:r>
          </w:p>
        </w:tc>
        <w:tc>
          <w:tcPr>
            <w:tcW w:w="2499" w:type="dxa"/>
          </w:tcPr>
          <w:p w:rsidR="006900F1" w:rsidRPr="0039327B" w:rsidRDefault="006900F1" w:rsidP="007C4D57">
            <w:pPr>
              <w:jc w:val="center"/>
              <w:rPr>
                <w:sz w:val="20"/>
                <w:szCs w:val="20"/>
              </w:rPr>
            </w:pPr>
            <w:r w:rsidRPr="0039327B">
              <w:rPr>
                <w:sz w:val="20"/>
                <w:szCs w:val="20"/>
              </w:rPr>
              <w:t>Questionnaires were used to interview</w:t>
            </w:r>
          </w:p>
        </w:tc>
        <w:tc>
          <w:tcPr>
            <w:tcW w:w="2910" w:type="dxa"/>
          </w:tcPr>
          <w:p w:rsidR="006900F1" w:rsidRPr="0039327B" w:rsidRDefault="006900F1" w:rsidP="007C4D57">
            <w:pPr>
              <w:jc w:val="center"/>
              <w:rPr>
                <w:sz w:val="20"/>
                <w:szCs w:val="20"/>
              </w:rPr>
            </w:pPr>
            <w:r w:rsidRPr="0039327B">
              <w:rPr>
                <w:sz w:val="20"/>
                <w:szCs w:val="20"/>
              </w:rPr>
              <w:t>Worse HQL was demonstrated by the majority of respondents. Multivariate analysis found the impact of factors on HQL: functional status, PTSD, chronic illness, social support, injury, age, and accessibility to resources.</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10" w:history="1">
              <w:r w:rsidR="006900F1" w:rsidRPr="000F7EFD">
                <w:rPr>
                  <w:rStyle w:val="Hyperlink"/>
                  <w:sz w:val="20"/>
                  <w:szCs w:val="20"/>
                </w:rPr>
                <w:t>(</w:t>
              </w:r>
              <w:proofErr w:type="spellStart"/>
              <w:r w:rsidR="006900F1" w:rsidRPr="000F7EFD">
                <w:rPr>
                  <w:rStyle w:val="Hyperlink"/>
                  <w:sz w:val="20"/>
                  <w:szCs w:val="20"/>
                </w:rPr>
                <w:t>Fatmah</w:t>
              </w:r>
              <w:proofErr w:type="spellEnd"/>
              <w:r w:rsidR="006900F1" w:rsidRPr="000F7EFD">
                <w:rPr>
                  <w:rStyle w:val="Hyperlink"/>
                  <w:sz w:val="20"/>
                  <w:szCs w:val="20"/>
                </w:rPr>
                <w:t xml:space="preserve"> et al., 2021)</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Indonesia</w:t>
            </w:r>
          </w:p>
        </w:tc>
        <w:tc>
          <w:tcPr>
            <w:tcW w:w="1990" w:type="dxa"/>
          </w:tcPr>
          <w:p w:rsidR="006900F1" w:rsidRPr="0039327B" w:rsidRDefault="006900F1" w:rsidP="007C4D57">
            <w:pPr>
              <w:jc w:val="center"/>
              <w:rPr>
                <w:sz w:val="20"/>
                <w:szCs w:val="20"/>
              </w:rPr>
            </w:pPr>
            <w:r w:rsidRPr="0039327B">
              <w:rPr>
                <w:sz w:val="20"/>
                <w:szCs w:val="20"/>
              </w:rPr>
              <w:t>33 Subjects</w:t>
            </w:r>
          </w:p>
        </w:tc>
        <w:tc>
          <w:tcPr>
            <w:tcW w:w="1261" w:type="dxa"/>
          </w:tcPr>
          <w:p w:rsidR="006900F1" w:rsidRPr="0039327B" w:rsidRDefault="006900F1" w:rsidP="007C4D57">
            <w:pPr>
              <w:jc w:val="center"/>
              <w:rPr>
                <w:sz w:val="20"/>
                <w:szCs w:val="20"/>
              </w:rPr>
            </w:pPr>
            <w:r w:rsidRPr="0039327B">
              <w:rPr>
                <w:sz w:val="20"/>
                <w:szCs w:val="20"/>
              </w:rPr>
              <w:t>Not determined</w:t>
            </w:r>
          </w:p>
        </w:tc>
        <w:tc>
          <w:tcPr>
            <w:tcW w:w="2074" w:type="dxa"/>
          </w:tcPr>
          <w:p w:rsidR="006900F1" w:rsidRPr="0039327B" w:rsidRDefault="006900F1" w:rsidP="007C4D57">
            <w:pPr>
              <w:jc w:val="center"/>
              <w:rPr>
                <w:sz w:val="20"/>
                <w:szCs w:val="20"/>
              </w:rPr>
            </w:pPr>
            <w:r w:rsidRPr="0039327B">
              <w:rPr>
                <w:sz w:val="20"/>
                <w:szCs w:val="20"/>
              </w:rPr>
              <w:t>The purpose of this study is to see how a broccoli-soybean-mangrove meal bar affects the weight of older adults after natural disasters</w:t>
            </w:r>
          </w:p>
        </w:tc>
        <w:tc>
          <w:tcPr>
            <w:tcW w:w="1504" w:type="dxa"/>
          </w:tcPr>
          <w:p w:rsidR="006900F1" w:rsidRPr="0039327B" w:rsidRDefault="006900F1" w:rsidP="007C4D57">
            <w:pPr>
              <w:jc w:val="center"/>
              <w:rPr>
                <w:sz w:val="20"/>
                <w:szCs w:val="20"/>
              </w:rPr>
            </w:pPr>
            <w:r w:rsidRPr="0039327B">
              <w:rPr>
                <w:sz w:val="20"/>
                <w:szCs w:val="20"/>
              </w:rPr>
              <w:t>Pre-experimental Study Design</w:t>
            </w:r>
          </w:p>
        </w:tc>
        <w:tc>
          <w:tcPr>
            <w:tcW w:w="2499" w:type="dxa"/>
          </w:tcPr>
          <w:p w:rsidR="006900F1" w:rsidRPr="0039327B" w:rsidRDefault="006900F1" w:rsidP="007C4D57">
            <w:pPr>
              <w:jc w:val="center"/>
              <w:rPr>
                <w:sz w:val="20"/>
                <w:szCs w:val="20"/>
              </w:rPr>
            </w:pPr>
            <w:r w:rsidRPr="0039327B">
              <w:rPr>
                <w:sz w:val="20"/>
                <w:szCs w:val="20"/>
              </w:rPr>
              <w:t>The assessment consists of height and mid-upper arm circumference (MUAC), BADL (Basic Activity Daily Living), IADL (Instrument Activity Daily Living), and MMSE (Mini-Mental State Examination) tools.</w:t>
            </w:r>
          </w:p>
        </w:tc>
        <w:tc>
          <w:tcPr>
            <w:tcW w:w="2910" w:type="dxa"/>
          </w:tcPr>
          <w:p w:rsidR="006900F1" w:rsidRPr="0039327B" w:rsidRDefault="006900F1" w:rsidP="007C4D57">
            <w:pPr>
              <w:jc w:val="center"/>
              <w:rPr>
                <w:sz w:val="20"/>
                <w:szCs w:val="20"/>
              </w:rPr>
            </w:pPr>
            <w:r w:rsidRPr="0039327B">
              <w:rPr>
                <w:sz w:val="20"/>
                <w:szCs w:val="20"/>
              </w:rPr>
              <w:t>Balanced nutrition education for the elderly substantially increases the elderly's knowledge about nutrition. After consuming the broccoli-soybean-mangrove food bar, there was an increase in body weight of 0.2 kg, energy (291.9 kcal), carbohydrates (31.1g), fat (15.6g), and protein (6.1g).</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11" w:history="1">
              <w:r w:rsidR="006900F1" w:rsidRPr="0076723A">
                <w:rPr>
                  <w:rStyle w:val="Hyperlink"/>
                  <w:sz w:val="20"/>
                  <w:szCs w:val="20"/>
                </w:rPr>
                <w:t>(</w:t>
              </w:r>
              <w:proofErr w:type="spellStart"/>
              <w:r w:rsidR="006900F1" w:rsidRPr="0076723A">
                <w:rPr>
                  <w:rStyle w:val="Hyperlink"/>
                  <w:sz w:val="20"/>
                  <w:szCs w:val="20"/>
                </w:rPr>
                <w:t>Fatmah</w:t>
              </w:r>
              <w:proofErr w:type="spellEnd"/>
              <w:r w:rsidR="006900F1" w:rsidRPr="0076723A">
                <w:rPr>
                  <w:rStyle w:val="Hyperlink"/>
                  <w:sz w:val="20"/>
                  <w:szCs w:val="20"/>
                </w:rPr>
                <w:t xml:space="preserve"> 2022)</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Indonesia</w:t>
            </w:r>
          </w:p>
        </w:tc>
        <w:tc>
          <w:tcPr>
            <w:tcW w:w="1990" w:type="dxa"/>
          </w:tcPr>
          <w:p w:rsidR="006900F1" w:rsidRPr="0039327B" w:rsidRDefault="006900F1" w:rsidP="007C4D57">
            <w:pPr>
              <w:jc w:val="center"/>
              <w:rPr>
                <w:sz w:val="20"/>
                <w:szCs w:val="20"/>
              </w:rPr>
            </w:pPr>
            <w:r w:rsidRPr="0039327B">
              <w:rPr>
                <w:sz w:val="20"/>
                <w:szCs w:val="20"/>
              </w:rPr>
              <w:t>30 participants</w:t>
            </w:r>
          </w:p>
        </w:tc>
        <w:tc>
          <w:tcPr>
            <w:tcW w:w="1261" w:type="dxa"/>
          </w:tcPr>
          <w:p w:rsidR="006900F1" w:rsidRPr="0039327B" w:rsidRDefault="006900F1" w:rsidP="007C4D57">
            <w:pPr>
              <w:jc w:val="center"/>
              <w:rPr>
                <w:sz w:val="20"/>
                <w:szCs w:val="20"/>
              </w:rPr>
            </w:pPr>
            <w:r w:rsidRPr="0039327B">
              <w:rPr>
                <w:sz w:val="20"/>
                <w:szCs w:val="20"/>
              </w:rPr>
              <w:t>Purposive Sampling</w:t>
            </w:r>
          </w:p>
        </w:tc>
        <w:tc>
          <w:tcPr>
            <w:tcW w:w="2074" w:type="dxa"/>
          </w:tcPr>
          <w:p w:rsidR="006900F1" w:rsidRPr="0039327B" w:rsidRDefault="006900F1" w:rsidP="007C4D57">
            <w:pPr>
              <w:jc w:val="center"/>
              <w:rPr>
                <w:sz w:val="20"/>
                <w:szCs w:val="20"/>
              </w:rPr>
            </w:pPr>
            <w:r w:rsidRPr="0039327B">
              <w:rPr>
                <w:sz w:val="20"/>
                <w:szCs w:val="20"/>
              </w:rPr>
              <w:t xml:space="preserve">To determine the impact of disaster preparedness training on knowledge of flood disaster preparedness and management in </w:t>
            </w:r>
            <w:r w:rsidRPr="0039327B">
              <w:rPr>
                <w:sz w:val="20"/>
                <w:szCs w:val="20"/>
              </w:rPr>
              <w:lastRenderedPageBreak/>
              <w:t>households with elderly members</w:t>
            </w:r>
          </w:p>
        </w:tc>
        <w:tc>
          <w:tcPr>
            <w:tcW w:w="1504" w:type="dxa"/>
          </w:tcPr>
          <w:p w:rsidR="006900F1" w:rsidRPr="0039327B" w:rsidRDefault="006900F1" w:rsidP="007C4D57">
            <w:pPr>
              <w:jc w:val="center"/>
              <w:rPr>
                <w:sz w:val="20"/>
                <w:szCs w:val="20"/>
              </w:rPr>
            </w:pPr>
            <w:r w:rsidRPr="0039327B">
              <w:rPr>
                <w:sz w:val="20"/>
                <w:szCs w:val="20"/>
              </w:rPr>
              <w:lastRenderedPageBreak/>
              <w:t>Quasi-experimental Study Design</w:t>
            </w:r>
          </w:p>
        </w:tc>
        <w:tc>
          <w:tcPr>
            <w:tcW w:w="2499" w:type="dxa"/>
          </w:tcPr>
          <w:p w:rsidR="006900F1" w:rsidRPr="0039327B" w:rsidRDefault="006900F1" w:rsidP="007C4D57">
            <w:pPr>
              <w:jc w:val="center"/>
              <w:rPr>
                <w:sz w:val="20"/>
                <w:szCs w:val="20"/>
              </w:rPr>
            </w:pPr>
            <w:r w:rsidRPr="0039327B">
              <w:rPr>
                <w:sz w:val="20"/>
                <w:szCs w:val="20"/>
              </w:rPr>
              <w:t>The pre-</w:t>
            </w:r>
            <w:proofErr w:type="spellStart"/>
            <w:r w:rsidRPr="0039327B">
              <w:rPr>
                <w:sz w:val="20"/>
                <w:szCs w:val="20"/>
              </w:rPr>
              <w:t>posttest</w:t>
            </w:r>
            <w:proofErr w:type="spellEnd"/>
            <w:r w:rsidRPr="0039327B">
              <w:rPr>
                <w:sz w:val="20"/>
                <w:szCs w:val="20"/>
              </w:rPr>
              <w:t xml:space="preserve"> questionnaire included the following items: sociodemographic factors, general knowledge of natural hazards, particular </w:t>
            </w:r>
            <w:r w:rsidRPr="0039327B">
              <w:rPr>
                <w:sz w:val="20"/>
                <w:szCs w:val="20"/>
              </w:rPr>
              <w:lastRenderedPageBreak/>
              <w:t>knowledge of flood, and older people's preparedness practices before, during, and after the flood</w:t>
            </w:r>
          </w:p>
        </w:tc>
        <w:tc>
          <w:tcPr>
            <w:tcW w:w="2910" w:type="dxa"/>
          </w:tcPr>
          <w:p w:rsidR="006900F1" w:rsidRPr="0039327B" w:rsidRDefault="006900F1" w:rsidP="007C4D57">
            <w:pPr>
              <w:jc w:val="center"/>
              <w:rPr>
                <w:sz w:val="20"/>
                <w:szCs w:val="20"/>
              </w:rPr>
            </w:pPr>
            <w:r w:rsidRPr="0039327B">
              <w:rPr>
                <w:sz w:val="20"/>
                <w:szCs w:val="20"/>
              </w:rPr>
              <w:lastRenderedPageBreak/>
              <w:t xml:space="preserve">General knowledge about disasters and floods has undergone significant changes. Disaster preparedness practices are good, reflected in the actions </w:t>
            </w:r>
            <w:r w:rsidRPr="0039327B">
              <w:rPr>
                <w:sz w:val="20"/>
                <w:szCs w:val="20"/>
              </w:rPr>
              <w:lastRenderedPageBreak/>
              <w:t>taken before, during and after a disaster.</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12" w:history="1">
              <w:r w:rsidR="006900F1" w:rsidRPr="00895DBD">
                <w:rPr>
                  <w:rStyle w:val="Hyperlink"/>
                  <w:sz w:val="20"/>
                  <w:szCs w:val="20"/>
                </w:rPr>
                <w:t>(Fletcher et al., 2021)</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USA</w:t>
            </w:r>
          </w:p>
        </w:tc>
        <w:tc>
          <w:tcPr>
            <w:tcW w:w="1990" w:type="dxa"/>
          </w:tcPr>
          <w:p w:rsidR="006900F1" w:rsidRPr="0039327B" w:rsidRDefault="006900F1" w:rsidP="007C4D57">
            <w:pPr>
              <w:jc w:val="center"/>
              <w:rPr>
                <w:sz w:val="20"/>
                <w:szCs w:val="20"/>
              </w:rPr>
            </w:pPr>
            <w:r w:rsidRPr="0039327B">
              <w:rPr>
                <w:sz w:val="20"/>
                <w:szCs w:val="20"/>
              </w:rPr>
              <w:t>139 rural community-dwelling older adults rely on social support respondents</w:t>
            </w:r>
          </w:p>
        </w:tc>
        <w:tc>
          <w:tcPr>
            <w:tcW w:w="1261" w:type="dxa"/>
          </w:tcPr>
          <w:p w:rsidR="006900F1" w:rsidRPr="0039327B" w:rsidRDefault="006900F1" w:rsidP="007C4D57">
            <w:pPr>
              <w:jc w:val="center"/>
              <w:rPr>
                <w:sz w:val="20"/>
                <w:szCs w:val="20"/>
              </w:rPr>
            </w:pPr>
            <w:r w:rsidRPr="0039327B">
              <w:rPr>
                <w:sz w:val="20"/>
                <w:szCs w:val="20"/>
              </w:rPr>
              <w:t>Purposive Sampling</w:t>
            </w:r>
          </w:p>
        </w:tc>
        <w:tc>
          <w:tcPr>
            <w:tcW w:w="2074" w:type="dxa"/>
          </w:tcPr>
          <w:p w:rsidR="006900F1" w:rsidRPr="0039327B" w:rsidRDefault="006900F1" w:rsidP="007C4D57">
            <w:pPr>
              <w:jc w:val="center"/>
              <w:rPr>
                <w:sz w:val="20"/>
                <w:szCs w:val="20"/>
              </w:rPr>
            </w:pPr>
            <w:r w:rsidRPr="0039327B">
              <w:rPr>
                <w:sz w:val="20"/>
                <w:szCs w:val="20"/>
              </w:rPr>
              <w:t>Understanding how older persons in Jackson County, Florida, prepare for and deal with the aftermath of a natural disaster</w:t>
            </w:r>
          </w:p>
        </w:tc>
        <w:tc>
          <w:tcPr>
            <w:tcW w:w="1504" w:type="dxa"/>
          </w:tcPr>
          <w:p w:rsidR="006900F1" w:rsidRPr="0039327B" w:rsidRDefault="006900F1" w:rsidP="007C4D57">
            <w:pPr>
              <w:jc w:val="center"/>
              <w:rPr>
                <w:sz w:val="20"/>
                <w:szCs w:val="20"/>
              </w:rPr>
            </w:pPr>
            <w:r w:rsidRPr="0039327B">
              <w:rPr>
                <w:sz w:val="20"/>
                <w:szCs w:val="20"/>
              </w:rPr>
              <w:t>Not determined</w:t>
            </w:r>
          </w:p>
        </w:tc>
        <w:tc>
          <w:tcPr>
            <w:tcW w:w="2499" w:type="dxa"/>
          </w:tcPr>
          <w:p w:rsidR="006900F1" w:rsidRPr="0039327B" w:rsidRDefault="006900F1" w:rsidP="007C4D57">
            <w:pPr>
              <w:jc w:val="center"/>
              <w:rPr>
                <w:sz w:val="20"/>
                <w:szCs w:val="20"/>
              </w:rPr>
            </w:pPr>
            <w:r w:rsidRPr="0039327B">
              <w:rPr>
                <w:sz w:val="20"/>
                <w:szCs w:val="20"/>
              </w:rPr>
              <w:t>A questionary made by researchers.</w:t>
            </w:r>
          </w:p>
        </w:tc>
        <w:tc>
          <w:tcPr>
            <w:tcW w:w="2910" w:type="dxa"/>
          </w:tcPr>
          <w:p w:rsidR="006900F1" w:rsidRPr="0039327B" w:rsidRDefault="006900F1" w:rsidP="007C4D57">
            <w:pPr>
              <w:jc w:val="center"/>
              <w:rPr>
                <w:sz w:val="20"/>
                <w:szCs w:val="20"/>
              </w:rPr>
            </w:pPr>
            <w:r w:rsidRPr="0039327B">
              <w:rPr>
                <w:sz w:val="20"/>
                <w:szCs w:val="20"/>
              </w:rPr>
              <w:t>To prepare for and recover from disaster-related events, older adults living in rural areas rely on social support, community organizations, and trusted disaster relief agencies.</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13" w:history="1">
              <w:r w:rsidR="006900F1" w:rsidRPr="00895DBD">
                <w:rPr>
                  <w:rStyle w:val="Hyperlink"/>
                  <w:sz w:val="20"/>
                  <w:szCs w:val="20"/>
                </w:rPr>
                <w:t>(Kim et al., 2022)</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Korea</w:t>
            </w:r>
          </w:p>
        </w:tc>
        <w:tc>
          <w:tcPr>
            <w:tcW w:w="1990" w:type="dxa"/>
          </w:tcPr>
          <w:p w:rsidR="006900F1" w:rsidRPr="0039327B" w:rsidRDefault="006900F1" w:rsidP="007C4D57">
            <w:pPr>
              <w:jc w:val="center"/>
              <w:rPr>
                <w:sz w:val="20"/>
                <w:szCs w:val="20"/>
              </w:rPr>
            </w:pPr>
            <w:r w:rsidRPr="0039327B">
              <w:rPr>
                <w:sz w:val="20"/>
                <w:szCs w:val="20"/>
              </w:rPr>
              <w:t>312 older adults living in eight villages of a district</w:t>
            </w:r>
          </w:p>
        </w:tc>
        <w:tc>
          <w:tcPr>
            <w:tcW w:w="1261" w:type="dxa"/>
          </w:tcPr>
          <w:p w:rsidR="006900F1" w:rsidRPr="0039327B" w:rsidRDefault="006900F1" w:rsidP="007C4D57">
            <w:pPr>
              <w:jc w:val="center"/>
              <w:rPr>
                <w:sz w:val="20"/>
                <w:szCs w:val="20"/>
              </w:rPr>
            </w:pPr>
            <w:r w:rsidRPr="0039327B">
              <w:rPr>
                <w:sz w:val="20"/>
                <w:szCs w:val="20"/>
              </w:rPr>
              <w:t>Proportional Quota Sampling</w:t>
            </w:r>
          </w:p>
        </w:tc>
        <w:tc>
          <w:tcPr>
            <w:tcW w:w="2074" w:type="dxa"/>
          </w:tcPr>
          <w:p w:rsidR="006900F1" w:rsidRPr="0039327B" w:rsidRDefault="006900F1" w:rsidP="007C4D57">
            <w:pPr>
              <w:jc w:val="center"/>
              <w:rPr>
                <w:sz w:val="20"/>
                <w:szCs w:val="20"/>
              </w:rPr>
            </w:pPr>
            <w:r w:rsidRPr="0039327B">
              <w:rPr>
                <w:sz w:val="20"/>
                <w:szCs w:val="20"/>
              </w:rPr>
              <w:t>To investigate the HRQOL and associated characteristics in older persons who have experienced the earthquake</w:t>
            </w:r>
          </w:p>
        </w:tc>
        <w:tc>
          <w:tcPr>
            <w:tcW w:w="1504" w:type="dxa"/>
          </w:tcPr>
          <w:p w:rsidR="006900F1" w:rsidRPr="0039327B" w:rsidRDefault="006900F1" w:rsidP="007C4D57">
            <w:pPr>
              <w:jc w:val="center"/>
              <w:rPr>
                <w:sz w:val="20"/>
                <w:szCs w:val="20"/>
              </w:rPr>
            </w:pPr>
            <w:r w:rsidRPr="0039327B">
              <w:rPr>
                <w:sz w:val="20"/>
                <w:szCs w:val="20"/>
              </w:rPr>
              <w:t>Cross-sectional Study</w:t>
            </w:r>
          </w:p>
        </w:tc>
        <w:tc>
          <w:tcPr>
            <w:tcW w:w="2499" w:type="dxa"/>
          </w:tcPr>
          <w:p w:rsidR="006900F1" w:rsidRPr="0039327B" w:rsidRDefault="006900F1" w:rsidP="007C4D57">
            <w:pPr>
              <w:jc w:val="center"/>
              <w:rPr>
                <w:sz w:val="20"/>
                <w:szCs w:val="20"/>
              </w:rPr>
            </w:pPr>
            <w:r w:rsidRPr="0039327B">
              <w:rPr>
                <w:sz w:val="20"/>
                <w:szCs w:val="20"/>
              </w:rPr>
              <w:t>HRQOL was evaluated using the abbreviated brief version of the World Health Organization (WHO) questionnaire (WHOQOL-BREF).</w:t>
            </w:r>
          </w:p>
        </w:tc>
        <w:tc>
          <w:tcPr>
            <w:tcW w:w="2910" w:type="dxa"/>
          </w:tcPr>
          <w:p w:rsidR="006900F1" w:rsidRPr="0039327B" w:rsidRDefault="006900F1" w:rsidP="007C4D57">
            <w:pPr>
              <w:jc w:val="center"/>
              <w:rPr>
                <w:sz w:val="20"/>
                <w:szCs w:val="20"/>
              </w:rPr>
            </w:pPr>
            <w:r w:rsidRPr="0039327B">
              <w:rPr>
                <w:sz w:val="20"/>
                <w:szCs w:val="20"/>
              </w:rPr>
              <w:t>Improved HRQOL is linked to reduced depression, increased community resilience, social support, and disaster readiness</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14" w:history="1">
              <w:r w:rsidR="006900F1" w:rsidRPr="004341FD">
                <w:rPr>
                  <w:rStyle w:val="Hyperlink"/>
                  <w:sz w:val="20"/>
                  <w:szCs w:val="20"/>
                </w:rPr>
                <w:t>(Kwan &amp; Tam, 2021)</w:t>
              </w:r>
            </w:hyperlink>
          </w:p>
        </w:tc>
        <w:tc>
          <w:tcPr>
            <w:tcW w:w="1071" w:type="dxa"/>
          </w:tcPr>
          <w:p w:rsidR="006900F1" w:rsidRPr="0039327B" w:rsidRDefault="006900F1" w:rsidP="007C4D57">
            <w:pPr>
              <w:jc w:val="center"/>
              <w:rPr>
                <w:sz w:val="20"/>
                <w:szCs w:val="20"/>
              </w:rPr>
            </w:pPr>
            <w:r w:rsidRPr="0039327B">
              <w:rPr>
                <w:sz w:val="20"/>
                <w:szCs w:val="20"/>
              </w:rPr>
              <w:t>Hong Kong</w:t>
            </w:r>
          </w:p>
        </w:tc>
        <w:tc>
          <w:tcPr>
            <w:tcW w:w="1990" w:type="dxa"/>
          </w:tcPr>
          <w:p w:rsidR="006900F1" w:rsidRPr="0039327B" w:rsidRDefault="006900F1" w:rsidP="007C4D57">
            <w:pPr>
              <w:jc w:val="center"/>
              <w:rPr>
                <w:sz w:val="20"/>
                <w:szCs w:val="20"/>
              </w:rPr>
            </w:pPr>
            <w:r w:rsidRPr="0039327B">
              <w:rPr>
                <w:sz w:val="20"/>
                <w:szCs w:val="20"/>
              </w:rPr>
              <w:t>12 participants</w:t>
            </w:r>
          </w:p>
        </w:tc>
        <w:tc>
          <w:tcPr>
            <w:tcW w:w="1261" w:type="dxa"/>
          </w:tcPr>
          <w:p w:rsidR="006900F1" w:rsidRPr="0039327B" w:rsidRDefault="006900F1" w:rsidP="007C4D57">
            <w:pPr>
              <w:jc w:val="center"/>
              <w:rPr>
                <w:sz w:val="20"/>
                <w:szCs w:val="20"/>
              </w:rPr>
            </w:pPr>
            <w:r w:rsidRPr="0039327B">
              <w:rPr>
                <w:sz w:val="20"/>
                <w:szCs w:val="20"/>
              </w:rPr>
              <w:t>Purposive and Snowball Sampling</w:t>
            </w:r>
          </w:p>
        </w:tc>
        <w:tc>
          <w:tcPr>
            <w:tcW w:w="2074" w:type="dxa"/>
          </w:tcPr>
          <w:p w:rsidR="006900F1" w:rsidRPr="0039327B" w:rsidRDefault="006900F1" w:rsidP="007C4D57">
            <w:pPr>
              <w:jc w:val="center"/>
              <w:rPr>
                <w:sz w:val="20"/>
                <w:szCs w:val="20"/>
              </w:rPr>
            </w:pPr>
            <w:r w:rsidRPr="0039327B">
              <w:rPr>
                <w:sz w:val="20"/>
                <w:szCs w:val="20"/>
              </w:rPr>
              <w:t xml:space="preserve">To investigate the ageing in place (AIP) experiences of older individuals who live in Tai O Village, a disaster-prone rural coastal </w:t>
            </w:r>
            <w:proofErr w:type="spellStart"/>
            <w:r w:rsidRPr="0039327B">
              <w:rPr>
                <w:sz w:val="20"/>
                <w:szCs w:val="20"/>
              </w:rPr>
              <w:t>neighborhood</w:t>
            </w:r>
            <w:proofErr w:type="spellEnd"/>
            <w:r w:rsidRPr="0039327B">
              <w:rPr>
                <w:sz w:val="20"/>
                <w:szCs w:val="20"/>
              </w:rPr>
              <w:t xml:space="preserve"> in Hong Kong</w:t>
            </w:r>
          </w:p>
        </w:tc>
        <w:tc>
          <w:tcPr>
            <w:tcW w:w="1504" w:type="dxa"/>
          </w:tcPr>
          <w:p w:rsidR="006900F1" w:rsidRPr="0039327B" w:rsidRDefault="006900F1" w:rsidP="007C4D57">
            <w:pPr>
              <w:jc w:val="center"/>
              <w:rPr>
                <w:sz w:val="20"/>
                <w:szCs w:val="20"/>
              </w:rPr>
            </w:pPr>
            <w:r w:rsidRPr="0039327B">
              <w:rPr>
                <w:sz w:val="20"/>
                <w:szCs w:val="20"/>
              </w:rPr>
              <w:t>Qualitative Case Study Research Design</w:t>
            </w:r>
          </w:p>
        </w:tc>
        <w:tc>
          <w:tcPr>
            <w:tcW w:w="2499" w:type="dxa"/>
          </w:tcPr>
          <w:p w:rsidR="006900F1" w:rsidRPr="0039327B" w:rsidRDefault="006900F1" w:rsidP="007C4D57">
            <w:pPr>
              <w:jc w:val="center"/>
              <w:rPr>
                <w:sz w:val="20"/>
                <w:szCs w:val="20"/>
              </w:rPr>
            </w:pPr>
            <w:r w:rsidRPr="0039327B">
              <w:rPr>
                <w:sz w:val="20"/>
                <w:szCs w:val="20"/>
              </w:rPr>
              <w:t>Semi-structured interview</w:t>
            </w:r>
          </w:p>
        </w:tc>
        <w:tc>
          <w:tcPr>
            <w:tcW w:w="2910" w:type="dxa"/>
          </w:tcPr>
          <w:p w:rsidR="006900F1" w:rsidRPr="0039327B" w:rsidRDefault="006900F1" w:rsidP="007C4D57">
            <w:pPr>
              <w:jc w:val="center"/>
              <w:rPr>
                <w:sz w:val="20"/>
                <w:szCs w:val="20"/>
              </w:rPr>
            </w:pPr>
            <w:r w:rsidRPr="0039327B">
              <w:rPr>
                <w:sz w:val="20"/>
                <w:szCs w:val="20"/>
              </w:rPr>
              <w:t>AIP plays a multifaceted role in sustaining and advancing their activities. Local community-based organizations play a crucial role in providing social assistance during disasters. More support and resources are required for mitigation efforts. Despite AIP support and catastrophe relief, older adults may not seek assistance</w:t>
            </w:r>
          </w:p>
        </w:tc>
      </w:tr>
      <w:tr w:rsidR="006900F1" w:rsidRPr="00316643" w:rsidTr="007C4D57">
        <w:trPr>
          <w:jc w:val="center"/>
        </w:trPr>
        <w:tc>
          <w:tcPr>
            <w:tcW w:w="1821" w:type="dxa"/>
          </w:tcPr>
          <w:p w:rsidR="006900F1" w:rsidRPr="00316643" w:rsidRDefault="006900F1" w:rsidP="007C4D57">
            <w:pPr>
              <w:jc w:val="center"/>
              <w:rPr>
                <w:sz w:val="20"/>
                <w:szCs w:val="20"/>
              </w:rPr>
            </w:pPr>
            <w:hyperlink r:id="rId15" w:history="1">
              <w:r w:rsidRPr="00317C9A">
                <w:rPr>
                  <w:rStyle w:val="Hyperlink"/>
                  <w:sz w:val="20"/>
                  <w:szCs w:val="20"/>
                </w:rPr>
                <w:t xml:space="preserve">(Luna &amp; </w:t>
              </w:r>
              <w:proofErr w:type="spellStart"/>
              <w:r w:rsidRPr="00317C9A">
                <w:rPr>
                  <w:rStyle w:val="Hyperlink"/>
                  <w:sz w:val="20"/>
                  <w:szCs w:val="20"/>
                </w:rPr>
                <w:t>Pingol</w:t>
              </w:r>
              <w:proofErr w:type="spellEnd"/>
              <w:r w:rsidRPr="00317C9A">
                <w:rPr>
                  <w:rStyle w:val="Hyperlink"/>
                  <w:sz w:val="20"/>
                  <w:szCs w:val="20"/>
                </w:rPr>
                <w:t>, 2020)</w:t>
              </w:r>
            </w:hyperlink>
            <w:r>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Filipina</w:t>
            </w:r>
          </w:p>
        </w:tc>
        <w:tc>
          <w:tcPr>
            <w:tcW w:w="1990" w:type="dxa"/>
          </w:tcPr>
          <w:p w:rsidR="006900F1" w:rsidRPr="0039327B" w:rsidRDefault="006900F1" w:rsidP="007C4D57">
            <w:pPr>
              <w:jc w:val="center"/>
              <w:rPr>
                <w:sz w:val="20"/>
                <w:szCs w:val="20"/>
              </w:rPr>
            </w:pPr>
            <w:r w:rsidRPr="0039327B">
              <w:rPr>
                <w:sz w:val="20"/>
                <w:szCs w:val="20"/>
              </w:rPr>
              <w:t xml:space="preserve">Information and Communication Technology Professionals </w:t>
            </w:r>
            <w:r w:rsidRPr="0039327B">
              <w:rPr>
                <w:sz w:val="20"/>
                <w:szCs w:val="20"/>
              </w:rPr>
              <w:lastRenderedPageBreak/>
              <w:t>consisted of 20 samples, 30 rescue professional participants from the City of NDRRMO, BFP and Red Cross</w:t>
            </w:r>
          </w:p>
        </w:tc>
        <w:tc>
          <w:tcPr>
            <w:tcW w:w="1261" w:type="dxa"/>
          </w:tcPr>
          <w:p w:rsidR="006900F1" w:rsidRPr="0039327B" w:rsidRDefault="006900F1" w:rsidP="007C4D57">
            <w:pPr>
              <w:spacing w:before="100" w:beforeAutospacing="1" w:after="100" w:afterAutospacing="1"/>
              <w:jc w:val="center"/>
              <w:rPr>
                <w:sz w:val="20"/>
                <w:szCs w:val="20"/>
              </w:rPr>
            </w:pPr>
            <w:r w:rsidRPr="0039327B">
              <w:rPr>
                <w:sz w:val="20"/>
                <w:szCs w:val="20"/>
              </w:rPr>
              <w:lastRenderedPageBreak/>
              <w:t>Non-probability Sampling</w:t>
            </w:r>
          </w:p>
          <w:p w:rsidR="006900F1" w:rsidRPr="0039327B" w:rsidRDefault="006900F1" w:rsidP="007C4D57">
            <w:pPr>
              <w:jc w:val="center"/>
              <w:rPr>
                <w:sz w:val="20"/>
                <w:szCs w:val="20"/>
              </w:rPr>
            </w:pPr>
          </w:p>
        </w:tc>
        <w:tc>
          <w:tcPr>
            <w:tcW w:w="2074" w:type="dxa"/>
          </w:tcPr>
          <w:p w:rsidR="006900F1" w:rsidRPr="0039327B" w:rsidRDefault="006900F1" w:rsidP="007C4D57">
            <w:pPr>
              <w:jc w:val="center"/>
              <w:rPr>
                <w:sz w:val="20"/>
                <w:szCs w:val="20"/>
              </w:rPr>
            </w:pPr>
            <w:r w:rsidRPr="0039327B">
              <w:rPr>
                <w:sz w:val="20"/>
                <w:szCs w:val="20"/>
              </w:rPr>
              <w:lastRenderedPageBreak/>
              <w:t xml:space="preserve">To develop “HELP BRO”: A Mobile Application for </w:t>
            </w:r>
            <w:r w:rsidRPr="0039327B">
              <w:rPr>
                <w:sz w:val="20"/>
                <w:szCs w:val="20"/>
              </w:rPr>
              <w:lastRenderedPageBreak/>
              <w:t>Calamities and Disaster</w:t>
            </w:r>
          </w:p>
        </w:tc>
        <w:tc>
          <w:tcPr>
            <w:tcW w:w="1504" w:type="dxa"/>
          </w:tcPr>
          <w:p w:rsidR="006900F1" w:rsidRPr="0039327B" w:rsidRDefault="006900F1" w:rsidP="007C4D57">
            <w:pPr>
              <w:spacing w:before="100" w:beforeAutospacing="1" w:after="100" w:afterAutospacing="1"/>
              <w:jc w:val="center"/>
              <w:rPr>
                <w:sz w:val="20"/>
                <w:szCs w:val="20"/>
              </w:rPr>
            </w:pPr>
            <w:r w:rsidRPr="0039327B">
              <w:rPr>
                <w:sz w:val="20"/>
                <w:szCs w:val="20"/>
              </w:rPr>
              <w:lastRenderedPageBreak/>
              <w:t>Descriptive and developmental method</w:t>
            </w:r>
          </w:p>
          <w:p w:rsidR="006900F1" w:rsidRPr="0039327B" w:rsidRDefault="006900F1" w:rsidP="007C4D57">
            <w:pPr>
              <w:jc w:val="center"/>
              <w:rPr>
                <w:sz w:val="20"/>
                <w:szCs w:val="20"/>
              </w:rPr>
            </w:pPr>
          </w:p>
        </w:tc>
        <w:tc>
          <w:tcPr>
            <w:tcW w:w="2499" w:type="dxa"/>
          </w:tcPr>
          <w:p w:rsidR="006900F1" w:rsidRPr="0039327B" w:rsidRDefault="006900F1" w:rsidP="007C4D57">
            <w:pPr>
              <w:jc w:val="center"/>
              <w:rPr>
                <w:sz w:val="20"/>
                <w:szCs w:val="20"/>
              </w:rPr>
            </w:pPr>
            <w:r w:rsidRPr="0039327B">
              <w:rPr>
                <w:sz w:val="20"/>
                <w:szCs w:val="20"/>
              </w:rPr>
              <w:lastRenderedPageBreak/>
              <w:t xml:space="preserve">Information and Communication Technology experts, and rescue professionals coming from </w:t>
            </w:r>
            <w:r w:rsidRPr="0039327B">
              <w:rPr>
                <w:sz w:val="20"/>
                <w:szCs w:val="20"/>
              </w:rPr>
              <w:lastRenderedPageBreak/>
              <w:t>the City NDRRMO, BFP and Red Cross evaluate the mobile application</w:t>
            </w:r>
          </w:p>
        </w:tc>
        <w:tc>
          <w:tcPr>
            <w:tcW w:w="2910" w:type="dxa"/>
          </w:tcPr>
          <w:p w:rsidR="006900F1" w:rsidRPr="0039327B" w:rsidRDefault="006900F1" w:rsidP="007C4D57">
            <w:pPr>
              <w:jc w:val="center"/>
              <w:rPr>
                <w:sz w:val="20"/>
                <w:szCs w:val="20"/>
              </w:rPr>
            </w:pPr>
            <w:r w:rsidRPr="0039327B">
              <w:rPr>
                <w:sz w:val="20"/>
                <w:szCs w:val="20"/>
              </w:rPr>
              <w:lastRenderedPageBreak/>
              <w:t xml:space="preserve">The mobile application is well-functional, reliable, efficient, easy to maintain, and portable so it can help rescue teams to </w:t>
            </w:r>
            <w:r w:rsidRPr="0039327B">
              <w:rPr>
                <w:sz w:val="20"/>
                <w:szCs w:val="20"/>
              </w:rPr>
              <w:lastRenderedPageBreak/>
              <w:t>find the exact location of victims and provide precise assistance.</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16" w:history="1">
              <w:r w:rsidR="006900F1" w:rsidRPr="00F60074">
                <w:rPr>
                  <w:rStyle w:val="Hyperlink"/>
                  <w:sz w:val="20"/>
                  <w:szCs w:val="20"/>
                </w:rPr>
                <w:t>(</w:t>
              </w:r>
              <w:proofErr w:type="spellStart"/>
              <w:r w:rsidR="006900F1" w:rsidRPr="00F60074">
                <w:rPr>
                  <w:rStyle w:val="Hyperlink"/>
                  <w:sz w:val="20"/>
                  <w:szCs w:val="20"/>
                </w:rPr>
                <w:t>Fathoni</w:t>
              </w:r>
              <w:proofErr w:type="spellEnd"/>
              <w:r w:rsidR="006900F1" w:rsidRPr="00F60074">
                <w:rPr>
                  <w:rStyle w:val="Hyperlink"/>
                  <w:sz w:val="20"/>
                  <w:szCs w:val="20"/>
                </w:rPr>
                <w:t xml:space="preserve"> et al., 2020)</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Indonesia</w:t>
            </w:r>
          </w:p>
        </w:tc>
        <w:tc>
          <w:tcPr>
            <w:tcW w:w="1990" w:type="dxa"/>
          </w:tcPr>
          <w:p w:rsidR="006900F1" w:rsidRPr="0039327B" w:rsidRDefault="006900F1" w:rsidP="007C4D57">
            <w:pPr>
              <w:jc w:val="center"/>
              <w:rPr>
                <w:sz w:val="20"/>
                <w:szCs w:val="20"/>
              </w:rPr>
            </w:pPr>
            <w:r w:rsidRPr="0039327B">
              <w:rPr>
                <w:sz w:val="20"/>
                <w:szCs w:val="20"/>
              </w:rPr>
              <w:t>120 participants</w:t>
            </w:r>
          </w:p>
        </w:tc>
        <w:tc>
          <w:tcPr>
            <w:tcW w:w="1261" w:type="dxa"/>
          </w:tcPr>
          <w:p w:rsidR="006900F1" w:rsidRPr="0039327B" w:rsidRDefault="006900F1" w:rsidP="007C4D57">
            <w:pPr>
              <w:spacing w:before="100" w:beforeAutospacing="1" w:after="100" w:afterAutospacing="1"/>
              <w:jc w:val="center"/>
              <w:rPr>
                <w:sz w:val="20"/>
                <w:szCs w:val="20"/>
              </w:rPr>
            </w:pPr>
            <w:r w:rsidRPr="0039327B">
              <w:rPr>
                <w:sz w:val="20"/>
                <w:szCs w:val="20"/>
              </w:rPr>
              <w:t>Purposive sampling</w:t>
            </w:r>
          </w:p>
          <w:p w:rsidR="006900F1" w:rsidRPr="0039327B" w:rsidRDefault="006900F1" w:rsidP="007C4D57">
            <w:pPr>
              <w:jc w:val="center"/>
              <w:rPr>
                <w:sz w:val="20"/>
                <w:szCs w:val="20"/>
              </w:rPr>
            </w:pPr>
          </w:p>
        </w:tc>
        <w:tc>
          <w:tcPr>
            <w:tcW w:w="2074" w:type="dxa"/>
          </w:tcPr>
          <w:p w:rsidR="006900F1" w:rsidRPr="0039327B" w:rsidRDefault="006900F1" w:rsidP="007C4D57">
            <w:pPr>
              <w:jc w:val="center"/>
              <w:rPr>
                <w:sz w:val="20"/>
                <w:szCs w:val="20"/>
              </w:rPr>
            </w:pPr>
            <w:r w:rsidRPr="0039327B">
              <w:rPr>
                <w:sz w:val="20"/>
                <w:szCs w:val="20"/>
              </w:rPr>
              <w:t>To raise awareness and society's preparedness for the Mount Bromo eruption</w:t>
            </w:r>
          </w:p>
        </w:tc>
        <w:tc>
          <w:tcPr>
            <w:tcW w:w="1504" w:type="dxa"/>
          </w:tcPr>
          <w:p w:rsidR="006900F1" w:rsidRPr="0039327B" w:rsidRDefault="006900F1" w:rsidP="007C4D57">
            <w:pPr>
              <w:spacing w:before="100" w:beforeAutospacing="1" w:after="100" w:afterAutospacing="1"/>
              <w:jc w:val="center"/>
              <w:rPr>
                <w:sz w:val="20"/>
                <w:szCs w:val="20"/>
              </w:rPr>
            </w:pPr>
            <w:r w:rsidRPr="0039327B">
              <w:rPr>
                <w:sz w:val="20"/>
                <w:szCs w:val="20"/>
              </w:rPr>
              <w:t>Correlative analytic observational design and cross-sectional approach</w:t>
            </w:r>
          </w:p>
          <w:p w:rsidR="006900F1" w:rsidRPr="0039327B" w:rsidRDefault="006900F1" w:rsidP="007C4D57">
            <w:pPr>
              <w:jc w:val="center"/>
              <w:rPr>
                <w:sz w:val="20"/>
                <w:szCs w:val="20"/>
              </w:rPr>
            </w:pPr>
          </w:p>
        </w:tc>
        <w:tc>
          <w:tcPr>
            <w:tcW w:w="2499" w:type="dxa"/>
          </w:tcPr>
          <w:p w:rsidR="006900F1" w:rsidRPr="0039327B" w:rsidRDefault="006900F1" w:rsidP="007C4D57">
            <w:pPr>
              <w:spacing w:before="100" w:beforeAutospacing="1" w:after="100" w:afterAutospacing="1"/>
              <w:jc w:val="center"/>
              <w:rPr>
                <w:sz w:val="20"/>
                <w:szCs w:val="20"/>
              </w:rPr>
            </w:pPr>
            <w:r w:rsidRPr="0039327B">
              <w:rPr>
                <w:sz w:val="20"/>
                <w:szCs w:val="20"/>
              </w:rPr>
              <w:t xml:space="preserve">online </w:t>
            </w:r>
            <w:proofErr w:type="spellStart"/>
            <w:r w:rsidRPr="0039327B">
              <w:rPr>
                <w:sz w:val="20"/>
                <w:szCs w:val="20"/>
              </w:rPr>
              <w:t>questionare</w:t>
            </w:r>
            <w:proofErr w:type="spellEnd"/>
          </w:p>
          <w:p w:rsidR="006900F1" w:rsidRPr="0039327B" w:rsidRDefault="006900F1" w:rsidP="007C4D57">
            <w:pPr>
              <w:jc w:val="center"/>
              <w:rPr>
                <w:sz w:val="20"/>
                <w:szCs w:val="20"/>
              </w:rPr>
            </w:pPr>
          </w:p>
        </w:tc>
        <w:tc>
          <w:tcPr>
            <w:tcW w:w="2910" w:type="dxa"/>
          </w:tcPr>
          <w:p w:rsidR="006900F1" w:rsidRPr="0039327B" w:rsidRDefault="006900F1" w:rsidP="007C4D57">
            <w:pPr>
              <w:jc w:val="center"/>
              <w:rPr>
                <w:sz w:val="20"/>
                <w:szCs w:val="20"/>
              </w:rPr>
            </w:pPr>
            <w:r w:rsidRPr="0039327B">
              <w:rPr>
                <w:sz w:val="20"/>
                <w:szCs w:val="20"/>
              </w:rPr>
              <w:t xml:space="preserve">An evaluation of the application's UI, the information it delivers, and the features it provides reveals that it is really useful and offers a fresh perspective. </w:t>
            </w:r>
            <w:r w:rsidRPr="0039327B">
              <w:rPr>
                <w:sz w:val="20"/>
                <w:szCs w:val="20"/>
              </w:rPr>
              <w:br/>
            </w:r>
            <w:r w:rsidRPr="0039327B">
              <w:rPr>
                <w:sz w:val="20"/>
                <w:szCs w:val="20"/>
              </w:rPr>
              <w:br/>
              <w:t>The smartphone application, as a source of information on Mount Bromo, is a medium that the general public and tourists may use to learn about the volcano's eruptive activities</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17" w:history="1">
              <w:r w:rsidR="006900F1" w:rsidRPr="00DF5FF4">
                <w:rPr>
                  <w:rStyle w:val="Hyperlink"/>
                  <w:sz w:val="20"/>
                  <w:szCs w:val="20"/>
                </w:rPr>
                <w:t>(</w:t>
              </w:r>
              <w:proofErr w:type="spellStart"/>
              <w:r w:rsidR="006900F1" w:rsidRPr="00DF5FF4">
                <w:rPr>
                  <w:rStyle w:val="Hyperlink"/>
                  <w:sz w:val="20"/>
                  <w:szCs w:val="20"/>
                </w:rPr>
                <w:t>Yarmohammadian</w:t>
              </w:r>
              <w:proofErr w:type="spellEnd"/>
              <w:r w:rsidR="006900F1" w:rsidRPr="00DF5FF4">
                <w:rPr>
                  <w:rStyle w:val="Hyperlink"/>
                  <w:sz w:val="20"/>
                  <w:szCs w:val="20"/>
                </w:rPr>
                <w:t xml:space="preserve"> et al., 2023)</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Iran</w:t>
            </w:r>
          </w:p>
        </w:tc>
        <w:tc>
          <w:tcPr>
            <w:tcW w:w="1990" w:type="dxa"/>
          </w:tcPr>
          <w:p w:rsidR="006900F1" w:rsidRPr="0039327B" w:rsidRDefault="006900F1" w:rsidP="007C4D57">
            <w:pPr>
              <w:jc w:val="center"/>
              <w:rPr>
                <w:sz w:val="20"/>
                <w:szCs w:val="20"/>
              </w:rPr>
            </w:pPr>
            <w:r w:rsidRPr="0039327B">
              <w:rPr>
                <w:sz w:val="20"/>
                <w:szCs w:val="20"/>
              </w:rPr>
              <w:t>17 participants</w:t>
            </w:r>
          </w:p>
        </w:tc>
        <w:tc>
          <w:tcPr>
            <w:tcW w:w="1261" w:type="dxa"/>
          </w:tcPr>
          <w:p w:rsidR="006900F1" w:rsidRPr="0039327B" w:rsidRDefault="006900F1" w:rsidP="007C4D57">
            <w:pPr>
              <w:jc w:val="center"/>
              <w:rPr>
                <w:sz w:val="20"/>
                <w:szCs w:val="20"/>
              </w:rPr>
            </w:pPr>
            <w:r w:rsidRPr="0039327B">
              <w:rPr>
                <w:sz w:val="20"/>
                <w:szCs w:val="20"/>
              </w:rPr>
              <w:t>Not determined</w:t>
            </w:r>
          </w:p>
        </w:tc>
        <w:tc>
          <w:tcPr>
            <w:tcW w:w="2074" w:type="dxa"/>
          </w:tcPr>
          <w:p w:rsidR="006900F1" w:rsidRPr="0039327B" w:rsidRDefault="006900F1" w:rsidP="007C4D57">
            <w:pPr>
              <w:jc w:val="center"/>
              <w:rPr>
                <w:sz w:val="20"/>
                <w:szCs w:val="20"/>
              </w:rPr>
            </w:pPr>
            <w:r w:rsidRPr="0039327B">
              <w:rPr>
                <w:sz w:val="20"/>
                <w:szCs w:val="20"/>
              </w:rPr>
              <w:t>To provide a complete training program that addresses goals, objectives, time, target group, syllabus, educational approach, budget, and teaching techniques for CBOs interested and serviced by elders in disasters</w:t>
            </w:r>
          </w:p>
        </w:tc>
        <w:tc>
          <w:tcPr>
            <w:tcW w:w="1504" w:type="dxa"/>
          </w:tcPr>
          <w:p w:rsidR="006900F1" w:rsidRPr="0039327B" w:rsidRDefault="006900F1" w:rsidP="007C4D57">
            <w:pPr>
              <w:jc w:val="center"/>
              <w:rPr>
                <w:sz w:val="20"/>
                <w:szCs w:val="20"/>
              </w:rPr>
            </w:pPr>
            <w:r w:rsidRPr="0039327B">
              <w:rPr>
                <w:sz w:val="20"/>
                <w:szCs w:val="20"/>
              </w:rPr>
              <w:t>Qualitative Study</w:t>
            </w:r>
          </w:p>
        </w:tc>
        <w:tc>
          <w:tcPr>
            <w:tcW w:w="2499" w:type="dxa"/>
          </w:tcPr>
          <w:p w:rsidR="006900F1" w:rsidRPr="0039327B" w:rsidRDefault="006900F1" w:rsidP="007C4D57">
            <w:pPr>
              <w:jc w:val="center"/>
              <w:rPr>
                <w:sz w:val="20"/>
                <w:szCs w:val="20"/>
              </w:rPr>
            </w:pPr>
            <w:r w:rsidRPr="0039327B">
              <w:rPr>
                <w:sz w:val="20"/>
                <w:szCs w:val="20"/>
              </w:rPr>
              <w:t>An interview guide was provided by researchers</w:t>
            </w:r>
          </w:p>
        </w:tc>
        <w:tc>
          <w:tcPr>
            <w:tcW w:w="2910" w:type="dxa"/>
          </w:tcPr>
          <w:p w:rsidR="006900F1" w:rsidRPr="0039327B" w:rsidRDefault="006900F1" w:rsidP="007C4D57">
            <w:pPr>
              <w:jc w:val="center"/>
              <w:rPr>
                <w:sz w:val="20"/>
                <w:szCs w:val="20"/>
              </w:rPr>
            </w:pPr>
            <w:r w:rsidRPr="0039327B">
              <w:rPr>
                <w:sz w:val="20"/>
                <w:szCs w:val="20"/>
              </w:rPr>
              <w:t>The outcome of an educational program and relief skills that CBHO stakeholders must acquire before helping elders in a disaster can help them reduce the negative effects of disasters on the aged</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18" w:history="1">
              <w:r w:rsidR="006900F1" w:rsidRPr="008F10C7">
                <w:rPr>
                  <w:rStyle w:val="Hyperlink"/>
                  <w:sz w:val="20"/>
                  <w:szCs w:val="20"/>
                </w:rPr>
                <w:t>(</w:t>
              </w:r>
              <w:proofErr w:type="spellStart"/>
              <w:r w:rsidR="006900F1" w:rsidRPr="008F10C7">
                <w:rPr>
                  <w:rStyle w:val="Hyperlink"/>
                  <w:sz w:val="20"/>
                  <w:szCs w:val="20"/>
                </w:rPr>
                <w:t>Adepoju</w:t>
              </w:r>
              <w:proofErr w:type="spellEnd"/>
              <w:r w:rsidR="006900F1" w:rsidRPr="008F10C7">
                <w:rPr>
                  <w:rStyle w:val="Hyperlink"/>
                  <w:sz w:val="20"/>
                  <w:szCs w:val="20"/>
                </w:rPr>
                <w:t xml:space="preserve"> et al., 2023)</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USA</w:t>
            </w:r>
          </w:p>
        </w:tc>
        <w:tc>
          <w:tcPr>
            <w:tcW w:w="1990" w:type="dxa"/>
          </w:tcPr>
          <w:p w:rsidR="006900F1" w:rsidRPr="0039327B" w:rsidRDefault="006900F1" w:rsidP="007C4D57">
            <w:pPr>
              <w:jc w:val="center"/>
              <w:rPr>
                <w:sz w:val="20"/>
                <w:szCs w:val="20"/>
              </w:rPr>
            </w:pPr>
            <w:r w:rsidRPr="0039327B">
              <w:rPr>
                <w:sz w:val="20"/>
                <w:szCs w:val="20"/>
              </w:rPr>
              <w:t>522 individuals represented</w:t>
            </w:r>
          </w:p>
        </w:tc>
        <w:tc>
          <w:tcPr>
            <w:tcW w:w="1261" w:type="dxa"/>
          </w:tcPr>
          <w:p w:rsidR="006900F1" w:rsidRPr="0039327B" w:rsidRDefault="006900F1" w:rsidP="007C4D57">
            <w:pPr>
              <w:jc w:val="center"/>
              <w:rPr>
                <w:sz w:val="20"/>
                <w:szCs w:val="20"/>
              </w:rPr>
            </w:pPr>
            <w:r w:rsidRPr="0039327B">
              <w:rPr>
                <w:sz w:val="20"/>
                <w:szCs w:val="20"/>
              </w:rPr>
              <w:t>Not determined</w:t>
            </w:r>
          </w:p>
        </w:tc>
        <w:tc>
          <w:tcPr>
            <w:tcW w:w="2074" w:type="dxa"/>
          </w:tcPr>
          <w:p w:rsidR="006900F1" w:rsidRPr="0039327B" w:rsidRDefault="006900F1" w:rsidP="007C4D57">
            <w:pPr>
              <w:jc w:val="center"/>
              <w:rPr>
                <w:sz w:val="20"/>
                <w:szCs w:val="20"/>
              </w:rPr>
            </w:pPr>
            <w:r w:rsidRPr="0039327B">
              <w:rPr>
                <w:sz w:val="20"/>
                <w:szCs w:val="20"/>
              </w:rPr>
              <w:t xml:space="preserve">To </w:t>
            </w:r>
            <w:proofErr w:type="spellStart"/>
            <w:r w:rsidRPr="0039327B">
              <w:rPr>
                <w:sz w:val="20"/>
                <w:szCs w:val="20"/>
              </w:rPr>
              <w:t>analyze</w:t>
            </w:r>
            <w:proofErr w:type="spellEnd"/>
            <w:r w:rsidRPr="0039327B">
              <w:rPr>
                <w:sz w:val="20"/>
                <w:szCs w:val="20"/>
              </w:rPr>
              <w:t xml:space="preserve"> correlates of older persons' readiness for catastrophes and </w:t>
            </w:r>
            <w:r w:rsidRPr="0039327B">
              <w:rPr>
                <w:sz w:val="20"/>
                <w:szCs w:val="20"/>
              </w:rPr>
              <w:lastRenderedPageBreak/>
              <w:t>investigate distinctive disparities between African American and Hispanic older individuals</w:t>
            </w:r>
          </w:p>
        </w:tc>
        <w:tc>
          <w:tcPr>
            <w:tcW w:w="1504" w:type="dxa"/>
          </w:tcPr>
          <w:p w:rsidR="006900F1" w:rsidRPr="0039327B" w:rsidRDefault="006900F1" w:rsidP="007C4D57">
            <w:pPr>
              <w:jc w:val="center"/>
              <w:rPr>
                <w:sz w:val="20"/>
                <w:szCs w:val="20"/>
              </w:rPr>
            </w:pPr>
            <w:r w:rsidRPr="0039327B">
              <w:rPr>
                <w:sz w:val="20"/>
                <w:szCs w:val="20"/>
              </w:rPr>
              <w:lastRenderedPageBreak/>
              <w:t>Not determined</w:t>
            </w:r>
          </w:p>
        </w:tc>
        <w:tc>
          <w:tcPr>
            <w:tcW w:w="2499" w:type="dxa"/>
          </w:tcPr>
          <w:p w:rsidR="006900F1" w:rsidRPr="0039327B" w:rsidRDefault="006900F1" w:rsidP="007C4D57">
            <w:pPr>
              <w:spacing w:before="100" w:beforeAutospacing="1" w:after="100" w:afterAutospacing="1"/>
              <w:jc w:val="center"/>
              <w:rPr>
                <w:sz w:val="20"/>
                <w:szCs w:val="20"/>
              </w:rPr>
            </w:pPr>
            <w:r w:rsidRPr="0039327B">
              <w:rPr>
                <w:sz w:val="20"/>
                <w:szCs w:val="20"/>
              </w:rPr>
              <w:t>An electronic survey</w:t>
            </w:r>
          </w:p>
          <w:p w:rsidR="006900F1" w:rsidRPr="0039327B" w:rsidRDefault="006900F1" w:rsidP="007C4D57">
            <w:pPr>
              <w:jc w:val="center"/>
              <w:rPr>
                <w:sz w:val="20"/>
                <w:szCs w:val="20"/>
              </w:rPr>
            </w:pPr>
          </w:p>
        </w:tc>
        <w:tc>
          <w:tcPr>
            <w:tcW w:w="2910" w:type="dxa"/>
          </w:tcPr>
          <w:p w:rsidR="006900F1" w:rsidRPr="0039327B" w:rsidRDefault="006900F1" w:rsidP="007C4D57">
            <w:pPr>
              <w:jc w:val="center"/>
              <w:rPr>
                <w:sz w:val="20"/>
                <w:szCs w:val="20"/>
              </w:rPr>
            </w:pPr>
            <w:r w:rsidRPr="0039327B">
              <w:rPr>
                <w:sz w:val="20"/>
                <w:szCs w:val="20"/>
              </w:rPr>
              <w:t xml:space="preserve">About 6 out of 10 older adults consider themselves unprepared to face disasters. Medicare coverage was positively </w:t>
            </w:r>
            <w:r w:rsidRPr="0039327B">
              <w:rPr>
                <w:sz w:val="20"/>
                <w:szCs w:val="20"/>
              </w:rPr>
              <w:lastRenderedPageBreak/>
              <w:t>associated with survival and planning measures. Income level and previous experience with disasters are associated with survival measures in the African American population.</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19" w:history="1">
              <w:r w:rsidR="006900F1" w:rsidRPr="006942E3">
                <w:rPr>
                  <w:rStyle w:val="Hyperlink"/>
                  <w:sz w:val="20"/>
                  <w:szCs w:val="20"/>
                </w:rPr>
                <w:t>(</w:t>
              </w:r>
              <w:proofErr w:type="spellStart"/>
              <w:r w:rsidR="006900F1" w:rsidRPr="006942E3">
                <w:rPr>
                  <w:rStyle w:val="Hyperlink"/>
                  <w:sz w:val="20"/>
                  <w:szCs w:val="20"/>
                </w:rPr>
                <w:t>Sawangnate</w:t>
              </w:r>
              <w:proofErr w:type="spellEnd"/>
              <w:r w:rsidR="006900F1" w:rsidRPr="006942E3">
                <w:rPr>
                  <w:rStyle w:val="Hyperlink"/>
                  <w:sz w:val="20"/>
                  <w:szCs w:val="20"/>
                </w:rPr>
                <w:t xml:space="preserve"> et al., 2022)</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Thailand</w:t>
            </w:r>
          </w:p>
        </w:tc>
        <w:tc>
          <w:tcPr>
            <w:tcW w:w="1990" w:type="dxa"/>
          </w:tcPr>
          <w:p w:rsidR="006900F1" w:rsidRPr="0039327B" w:rsidRDefault="006900F1" w:rsidP="007C4D57">
            <w:pPr>
              <w:jc w:val="center"/>
              <w:rPr>
                <w:sz w:val="20"/>
                <w:szCs w:val="20"/>
              </w:rPr>
            </w:pPr>
            <w:r w:rsidRPr="0039327B">
              <w:rPr>
                <w:sz w:val="20"/>
                <w:szCs w:val="20"/>
              </w:rPr>
              <w:t>736 elderly</w:t>
            </w:r>
          </w:p>
        </w:tc>
        <w:tc>
          <w:tcPr>
            <w:tcW w:w="1261" w:type="dxa"/>
          </w:tcPr>
          <w:p w:rsidR="006900F1" w:rsidRPr="0039327B" w:rsidRDefault="006900F1" w:rsidP="007C4D57">
            <w:pPr>
              <w:jc w:val="center"/>
              <w:rPr>
                <w:sz w:val="20"/>
                <w:szCs w:val="20"/>
              </w:rPr>
            </w:pPr>
            <w:r w:rsidRPr="0039327B">
              <w:rPr>
                <w:sz w:val="20"/>
                <w:szCs w:val="20"/>
              </w:rPr>
              <w:t>Simple Random Sampling</w:t>
            </w:r>
          </w:p>
        </w:tc>
        <w:tc>
          <w:tcPr>
            <w:tcW w:w="2074" w:type="dxa"/>
          </w:tcPr>
          <w:p w:rsidR="006900F1" w:rsidRPr="0039327B" w:rsidRDefault="006900F1" w:rsidP="007C4D57">
            <w:pPr>
              <w:jc w:val="center"/>
              <w:rPr>
                <w:sz w:val="20"/>
                <w:szCs w:val="20"/>
              </w:rPr>
            </w:pPr>
            <w:r w:rsidRPr="0039327B">
              <w:rPr>
                <w:sz w:val="20"/>
                <w:szCs w:val="20"/>
              </w:rPr>
              <w:t xml:space="preserve">To assess flood-prone areas and the level of knowledge regarding flood disaster situations among the elderly in Bangkok, Thailand, as well as </w:t>
            </w:r>
            <w:proofErr w:type="spellStart"/>
            <w:r w:rsidRPr="0039327B">
              <w:rPr>
                <w:sz w:val="20"/>
                <w:szCs w:val="20"/>
              </w:rPr>
              <w:t>analyze</w:t>
            </w:r>
            <w:proofErr w:type="spellEnd"/>
            <w:r w:rsidRPr="0039327B">
              <w:rPr>
                <w:sz w:val="20"/>
                <w:szCs w:val="20"/>
              </w:rPr>
              <w:t xml:space="preserve"> the SWOT of flood preparedness</w:t>
            </w:r>
          </w:p>
        </w:tc>
        <w:tc>
          <w:tcPr>
            <w:tcW w:w="1504" w:type="dxa"/>
          </w:tcPr>
          <w:p w:rsidR="006900F1" w:rsidRPr="0039327B" w:rsidRDefault="006900F1" w:rsidP="007C4D57">
            <w:pPr>
              <w:jc w:val="center"/>
              <w:rPr>
                <w:sz w:val="20"/>
                <w:szCs w:val="20"/>
              </w:rPr>
            </w:pPr>
            <w:r w:rsidRPr="0039327B">
              <w:rPr>
                <w:sz w:val="20"/>
                <w:szCs w:val="20"/>
              </w:rPr>
              <w:t>Case Study Design</w:t>
            </w:r>
          </w:p>
        </w:tc>
        <w:tc>
          <w:tcPr>
            <w:tcW w:w="2499" w:type="dxa"/>
          </w:tcPr>
          <w:p w:rsidR="006900F1" w:rsidRPr="0039327B" w:rsidRDefault="006900F1" w:rsidP="007C4D57">
            <w:pPr>
              <w:spacing w:before="100" w:beforeAutospacing="1" w:after="100" w:afterAutospacing="1"/>
              <w:jc w:val="center"/>
              <w:rPr>
                <w:sz w:val="20"/>
                <w:szCs w:val="20"/>
              </w:rPr>
            </w:pPr>
            <w:r w:rsidRPr="0039327B">
              <w:rPr>
                <w:sz w:val="20"/>
                <w:szCs w:val="20"/>
              </w:rPr>
              <w:t>Expert interviews and a community survey</w:t>
            </w:r>
          </w:p>
          <w:p w:rsidR="006900F1" w:rsidRPr="0039327B" w:rsidRDefault="006900F1" w:rsidP="007C4D57">
            <w:pPr>
              <w:jc w:val="center"/>
              <w:rPr>
                <w:sz w:val="20"/>
                <w:szCs w:val="20"/>
              </w:rPr>
            </w:pPr>
          </w:p>
        </w:tc>
        <w:tc>
          <w:tcPr>
            <w:tcW w:w="2910" w:type="dxa"/>
          </w:tcPr>
          <w:p w:rsidR="006900F1" w:rsidRPr="0039327B" w:rsidRDefault="006900F1" w:rsidP="007C4D57">
            <w:pPr>
              <w:jc w:val="center"/>
              <w:rPr>
                <w:sz w:val="20"/>
                <w:szCs w:val="20"/>
              </w:rPr>
            </w:pPr>
            <w:r w:rsidRPr="0039327B">
              <w:rPr>
                <w:sz w:val="20"/>
                <w:szCs w:val="20"/>
              </w:rPr>
              <w:t>SWOT analysis found that many elderly people have low digital and media literacy and limited experience using information technology for flood preparedness.</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20" w:history="1">
              <w:r w:rsidR="006900F1" w:rsidRPr="0039327B">
                <w:rPr>
                  <w:rStyle w:val="Hyperlink"/>
                  <w:sz w:val="20"/>
                  <w:szCs w:val="20"/>
                </w:rPr>
                <w:t>(</w:t>
              </w:r>
              <w:proofErr w:type="spellStart"/>
              <w:r w:rsidR="006900F1" w:rsidRPr="0039327B">
                <w:rPr>
                  <w:rStyle w:val="Hyperlink"/>
                  <w:sz w:val="20"/>
                  <w:szCs w:val="20"/>
                </w:rPr>
                <w:t>Yulianto</w:t>
              </w:r>
              <w:proofErr w:type="spellEnd"/>
              <w:r w:rsidR="006900F1" w:rsidRPr="0039327B">
                <w:rPr>
                  <w:rStyle w:val="Hyperlink"/>
                  <w:sz w:val="20"/>
                  <w:szCs w:val="20"/>
                </w:rPr>
                <w:t xml:space="preserve"> et al., 2020)</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Indonesia</w:t>
            </w:r>
          </w:p>
        </w:tc>
        <w:tc>
          <w:tcPr>
            <w:tcW w:w="1990" w:type="dxa"/>
          </w:tcPr>
          <w:p w:rsidR="006900F1" w:rsidRPr="0039327B" w:rsidRDefault="006900F1" w:rsidP="007C4D57">
            <w:pPr>
              <w:jc w:val="center"/>
              <w:rPr>
                <w:sz w:val="20"/>
                <w:szCs w:val="20"/>
              </w:rPr>
            </w:pPr>
            <w:r w:rsidRPr="0039327B">
              <w:rPr>
                <w:sz w:val="20"/>
                <w:szCs w:val="20"/>
              </w:rPr>
              <w:t>30 participants</w:t>
            </w:r>
          </w:p>
        </w:tc>
        <w:tc>
          <w:tcPr>
            <w:tcW w:w="1261" w:type="dxa"/>
          </w:tcPr>
          <w:p w:rsidR="006900F1" w:rsidRPr="0039327B" w:rsidRDefault="006900F1" w:rsidP="007C4D57">
            <w:pPr>
              <w:jc w:val="center"/>
              <w:rPr>
                <w:sz w:val="20"/>
                <w:szCs w:val="20"/>
              </w:rPr>
            </w:pPr>
            <w:r w:rsidRPr="0039327B">
              <w:rPr>
                <w:sz w:val="20"/>
                <w:szCs w:val="20"/>
              </w:rPr>
              <w:t xml:space="preserve">Non-Probability </w:t>
            </w:r>
            <w:proofErr w:type="spellStart"/>
            <w:r w:rsidRPr="0039327B">
              <w:rPr>
                <w:sz w:val="20"/>
                <w:szCs w:val="20"/>
              </w:rPr>
              <w:t>Samping</w:t>
            </w:r>
            <w:proofErr w:type="spellEnd"/>
          </w:p>
        </w:tc>
        <w:tc>
          <w:tcPr>
            <w:tcW w:w="2074" w:type="dxa"/>
          </w:tcPr>
          <w:p w:rsidR="006900F1" w:rsidRPr="0039327B" w:rsidRDefault="006900F1" w:rsidP="007C4D57">
            <w:pPr>
              <w:jc w:val="center"/>
              <w:rPr>
                <w:sz w:val="20"/>
                <w:szCs w:val="20"/>
              </w:rPr>
            </w:pPr>
            <w:r w:rsidRPr="0039327B">
              <w:rPr>
                <w:sz w:val="20"/>
                <w:szCs w:val="20"/>
              </w:rPr>
              <w:t>To find out about communication technology when facing the dangers of natural disasters in Indonesia</w:t>
            </w:r>
          </w:p>
        </w:tc>
        <w:tc>
          <w:tcPr>
            <w:tcW w:w="1504" w:type="dxa"/>
          </w:tcPr>
          <w:p w:rsidR="006900F1" w:rsidRPr="0039327B" w:rsidRDefault="006900F1" w:rsidP="007C4D57">
            <w:pPr>
              <w:jc w:val="center"/>
              <w:rPr>
                <w:sz w:val="20"/>
                <w:szCs w:val="20"/>
              </w:rPr>
            </w:pPr>
            <w:r w:rsidRPr="0039327B">
              <w:rPr>
                <w:sz w:val="20"/>
                <w:szCs w:val="20"/>
              </w:rPr>
              <w:t>Single Case Study Design</w:t>
            </w:r>
          </w:p>
        </w:tc>
        <w:tc>
          <w:tcPr>
            <w:tcW w:w="2499" w:type="dxa"/>
          </w:tcPr>
          <w:p w:rsidR="006900F1" w:rsidRPr="0039327B" w:rsidRDefault="006900F1" w:rsidP="007C4D57">
            <w:pPr>
              <w:spacing w:before="100" w:beforeAutospacing="1" w:after="100" w:afterAutospacing="1"/>
              <w:jc w:val="center"/>
              <w:rPr>
                <w:sz w:val="20"/>
                <w:szCs w:val="20"/>
              </w:rPr>
            </w:pPr>
            <w:r w:rsidRPr="0039327B">
              <w:rPr>
                <w:sz w:val="20"/>
                <w:szCs w:val="20"/>
              </w:rPr>
              <w:t>in-depth interviews</w:t>
            </w:r>
          </w:p>
          <w:p w:rsidR="006900F1" w:rsidRPr="0039327B" w:rsidRDefault="006900F1" w:rsidP="007C4D57">
            <w:pPr>
              <w:jc w:val="center"/>
              <w:rPr>
                <w:sz w:val="20"/>
                <w:szCs w:val="20"/>
              </w:rPr>
            </w:pPr>
          </w:p>
        </w:tc>
        <w:tc>
          <w:tcPr>
            <w:tcW w:w="2910" w:type="dxa"/>
          </w:tcPr>
          <w:p w:rsidR="006900F1" w:rsidRPr="0039327B" w:rsidRDefault="006900F1" w:rsidP="007C4D57">
            <w:pPr>
              <w:jc w:val="center"/>
              <w:rPr>
                <w:sz w:val="20"/>
                <w:szCs w:val="20"/>
              </w:rPr>
            </w:pPr>
            <w:r w:rsidRPr="0039327B">
              <w:rPr>
                <w:sz w:val="20"/>
                <w:szCs w:val="20"/>
              </w:rPr>
              <w:t>Some mobile technology devices, such as two-way radio systems and satellite phones, are reliable devices in emergency situations</w:t>
            </w:r>
          </w:p>
        </w:tc>
      </w:tr>
      <w:tr w:rsidR="006900F1" w:rsidRPr="00316643" w:rsidTr="007C4D57">
        <w:trPr>
          <w:jc w:val="center"/>
        </w:trPr>
        <w:tc>
          <w:tcPr>
            <w:tcW w:w="1821" w:type="dxa"/>
          </w:tcPr>
          <w:p w:rsidR="006900F1" w:rsidRPr="00316643" w:rsidRDefault="00000000" w:rsidP="007C4D57">
            <w:pPr>
              <w:jc w:val="center"/>
              <w:rPr>
                <w:sz w:val="20"/>
                <w:szCs w:val="20"/>
              </w:rPr>
            </w:pPr>
            <w:hyperlink r:id="rId21" w:history="1">
              <w:r w:rsidR="006900F1" w:rsidRPr="008A1D4B">
                <w:rPr>
                  <w:rStyle w:val="Hyperlink"/>
                  <w:sz w:val="20"/>
                  <w:szCs w:val="20"/>
                </w:rPr>
                <w:t>(</w:t>
              </w:r>
              <w:proofErr w:type="spellStart"/>
              <w:r w:rsidR="006900F1" w:rsidRPr="008A1D4B">
                <w:rPr>
                  <w:rStyle w:val="Hyperlink"/>
                  <w:sz w:val="20"/>
                  <w:szCs w:val="20"/>
                </w:rPr>
                <w:t>Nakai</w:t>
              </w:r>
              <w:proofErr w:type="spellEnd"/>
              <w:r w:rsidR="006900F1" w:rsidRPr="008A1D4B">
                <w:rPr>
                  <w:rStyle w:val="Hyperlink"/>
                  <w:sz w:val="20"/>
                  <w:szCs w:val="20"/>
                </w:rPr>
                <w:t xml:space="preserve"> et al., 2022)</w:t>
              </w:r>
            </w:hyperlink>
            <w:r w:rsidR="006900F1">
              <w:rPr>
                <w:sz w:val="20"/>
                <w:szCs w:val="20"/>
              </w:rPr>
              <w:t xml:space="preserve"> </w:t>
            </w:r>
          </w:p>
        </w:tc>
        <w:tc>
          <w:tcPr>
            <w:tcW w:w="1071" w:type="dxa"/>
          </w:tcPr>
          <w:p w:rsidR="006900F1" w:rsidRPr="0039327B" w:rsidRDefault="006900F1" w:rsidP="007C4D57">
            <w:pPr>
              <w:jc w:val="center"/>
              <w:rPr>
                <w:sz w:val="20"/>
                <w:szCs w:val="20"/>
              </w:rPr>
            </w:pPr>
            <w:r w:rsidRPr="0039327B">
              <w:rPr>
                <w:sz w:val="20"/>
                <w:szCs w:val="20"/>
              </w:rPr>
              <w:t>Japan</w:t>
            </w:r>
          </w:p>
        </w:tc>
        <w:tc>
          <w:tcPr>
            <w:tcW w:w="1990" w:type="dxa"/>
          </w:tcPr>
          <w:p w:rsidR="006900F1" w:rsidRPr="0039327B" w:rsidRDefault="006900F1" w:rsidP="007C4D57">
            <w:pPr>
              <w:jc w:val="center"/>
              <w:rPr>
                <w:sz w:val="20"/>
                <w:szCs w:val="20"/>
              </w:rPr>
            </w:pPr>
            <w:r w:rsidRPr="0039327B">
              <w:rPr>
                <w:sz w:val="20"/>
                <w:szCs w:val="20"/>
              </w:rPr>
              <w:t>14 participants</w:t>
            </w:r>
          </w:p>
        </w:tc>
        <w:tc>
          <w:tcPr>
            <w:tcW w:w="1261" w:type="dxa"/>
          </w:tcPr>
          <w:p w:rsidR="006900F1" w:rsidRPr="0039327B" w:rsidRDefault="006900F1" w:rsidP="007C4D57">
            <w:pPr>
              <w:jc w:val="center"/>
              <w:rPr>
                <w:sz w:val="20"/>
                <w:szCs w:val="20"/>
              </w:rPr>
            </w:pPr>
            <w:r w:rsidRPr="0039327B">
              <w:rPr>
                <w:sz w:val="20"/>
                <w:szCs w:val="20"/>
              </w:rPr>
              <w:t>Not determined</w:t>
            </w:r>
          </w:p>
        </w:tc>
        <w:tc>
          <w:tcPr>
            <w:tcW w:w="2074" w:type="dxa"/>
          </w:tcPr>
          <w:p w:rsidR="006900F1" w:rsidRPr="0039327B" w:rsidRDefault="006900F1" w:rsidP="007C4D57">
            <w:pPr>
              <w:jc w:val="center"/>
              <w:rPr>
                <w:sz w:val="20"/>
                <w:szCs w:val="20"/>
              </w:rPr>
            </w:pPr>
            <w:r w:rsidRPr="0039327B">
              <w:rPr>
                <w:sz w:val="20"/>
                <w:szCs w:val="20"/>
              </w:rPr>
              <w:t xml:space="preserve">To provide medical information in disaster situations, and present initial test results of its use in </w:t>
            </w:r>
            <w:proofErr w:type="spellStart"/>
            <w:r w:rsidRPr="0039327B">
              <w:rPr>
                <w:sz w:val="20"/>
                <w:szCs w:val="20"/>
              </w:rPr>
              <w:t>Nankoku</w:t>
            </w:r>
            <w:proofErr w:type="spellEnd"/>
            <w:r w:rsidRPr="0039327B">
              <w:rPr>
                <w:sz w:val="20"/>
                <w:szCs w:val="20"/>
              </w:rPr>
              <w:t>, Japan</w:t>
            </w:r>
          </w:p>
        </w:tc>
        <w:tc>
          <w:tcPr>
            <w:tcW w:w="1504" w:type="dxa"/>
          </w:tcPr>
          <w:p w:rsidR="006900F1" w:rsidRPr="0039327B" w:rsidRDefault="006900F1" w:rsidP="007C4D57">
            <w:pPr>
              <w:jc w:val="center"/>
              <w:rPr>
                <w:sz w:val="20"/>
                <w:szCs w:val="20"/>
              </w:rPr>
            </w:pPr>
            <w:r w:rsidRPr="0039327B">
              <w:rPr>
                <w:sz w:val="20"/>
                <w:szCs w:val="20"/>
              </w:rPr>
              <w:t>Not determined</w:t>
            </w:r>
          </w:p>
        </w:tc>
        <w:tc>
          <w:tcPr>
            <w:tcW w:w="2499" w:type="dxa"/>
          </w:tcPr>
          <w:p w:rsidR="006900F1" w:rsidRPr="0039327B" w:rsidRDefault="006900F1" w:rsidP="007C4D57">
            <w:pPr>
              <w:jc w:val="center"/>
              <w:rPr>
                <w:sz w:val="20"/>
                <w:szCs w:val="20"/>
              </w:rPr>
            </w:pPr>
            <w:r w:rsidRPr="0039327B">
              <w:rPr>
                <w:sz w:val="20"/>
                <w:szCs w:val="20"/>
              </w:rPr>
              <w:t>Based on mobile Application</w:t>
            </w:r>
          </w:p>
        </w:tc>
        <w:tc>
          <w:tcPr>
            <w:tcW w:w="2910" w:type="dxa"/>
          </w:tcPr>
          <w:p w:rsidR="006900F1" w:rsidRPr="0039327B" w:rsidRDefault="006900F1" w:rsidP="007C4D57">
            <w:pPr>
              <w:jc w:val="center"/>
              <w:rPr>
                <w:sz w:val="20"/>
                <w:szCs w:val="20"/>
              </w:rPr>
            </w:pPr>
            <w:r w:rsidRPr="0039327B">
              <w:rPr>
                <w:sz w:val="20"/>
                <w:szCs w:val="20"/>
              </w:rPr>
              <w:t>Disaster response solutions have proven beneficial in connecting individuals with government offices thereby enabling a consistent flow of information from patient details, supply inventory, simulation, training, and response during disasters.</w:t>
            </w:r>
          </w:p>
        </w:tc>
      </w:tr>
    </w:tbl>
    <w:p w:rsidR="006900F1" w:rsidRDefault="006900F1" w:rsidP="006900F1">
      <w:pPr>
        <w:jc w:val="both"/>
        <w:sectPr w:rsidR="006900F1" w:rsidSect="00AF7735">
          <w:pgSz w:w="15840" w:h="12240" w:orient="landscape"/>
          <w:pgMar w:top="1440" w:right="1440" w:bottom="1440" w:left="1440" w:header="708" w:footer="708" w:gutter="0"/>
          <w:cols w:space="708"/>
          <w:docGrid w:linePitch="360"/>
        </w:sectPr>
      </w:pPr>
    </w:p>
    <w:p w:rsidR="00E004B6" w:rsidRPr="00E004B6" w:rsidRDefault="00E004B6">
      <w:pPr>
        <w:rPr>
          <w:lang w:val="en-US"/>
        </w:rPr>
      </w:pPr>
    </w:p>
    <w:sectPr w:rsidR="00E004B6" w:rsidRPr="00E004B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4B6"/>
    <w:rsid w:val="004E2F08"/>
    <w:rsid w:val="005245CF"/>
    <w:rsid w:val="006900F1"/>
    <w:rsid w:val="00C77FD5"/>
    <w:rsid w:val="00DC7C86"/>
    <w:rsid w:val="00E004B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4:docId w14:val="7A80B913"/>
  <w15:chartTrackingRefBased/>
  <w15:docId w15:val="{6032E035-7634-B941-B39A-0FBF62815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D"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0F1"/>
    <w:pPr>
      <w:spacing w:after="160" w:line="252" w:lineRule="auto"/>
    </w:pPr>
    <w:rPr>
      <w:kern w:val="0"/>
      <w:sz w:val="22"/>
      <w:szCs w:val="22"/>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04B6"/>
    <w:rPr>
      <w:color w:val="0563C1" w:themeColor="hyperlink"/>
      <w:u w:val="single"/>
    </w:rPr>
  </w:style>
  <w:style w:type="character" w:styleId="UnresolvedMention">
    <w:name w:val="Unresolved Mention"/>
    <w:basedOn w:val="DefaultParagraphFont"/>
    <w:uiPriority w:val="99"/>
    <w:semiHidden/>
    <w:unhideWhenUsed/>
    <w:rsid w:val="00E004B6"/>
    <w:rPr>
      <w:color w:val="605E5C"/>
      <w:shd w:val="clear" w:color="auto" w:fill="E1DFDD"/>
    </w:rPr>
  </w:style>
  <w:style w:type="table" w:styleId="TableGrid">
    <w:name w:val="Table Grid"/>
    <w:basedOn w:val="TableNormal"/>
    <w:uiPriority w:val="39"/>
    <w:rsid w:val="0069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900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phn.12911" TargetMode="External"/><Relationship Id="rId13" Type="http://schemas.openxmlformats.org/officeDocument/2006/relationships/hyperlink" Target="https://doi.org/10.1186/s12955-022-01944-8" TargetMode="External"/><Relationship Id="rId18" Type="http://schemas.openxmlformats.org/officeDocument/2006/relationships/hyperlink" Target="https://doi.org/10.3390/ijerph20010401" TargetMode="External"/><Relationship Id="rId3" Type="http://schemas.openxmlformats.org/officeDocument/2006/relationships/webSettings" Target="webSettings.xml"/><Relationship Id="rId21" Type="http://schemas.openxmlformats.org/officeDocument/2006/relationships/hyperlink" Target="https://doi.org/10.3390/ijerph19159694" TargetMode="External"/><Relationship Id="rId7" Type="http://schemas.openxmlformats.org/officeDocument/2006/relationships/hyperlink" Target="https://doi.org/10.3390/ijerph19042156" TargetMode="External"/><Relationship Id="rId12" Type="http://schemas.openxmlformats.org/officeDocument/2006/relationships/hyperlink" Target="https://doi.org/10.1017/dmp.2021.276" TargetMode="External"/><Relationship Id="rId17" Type="http://schemas.openxmlformats.org/officeDocument/2006/relationships/hyperlink" Target="https://journals.lww.com/jehp/fulltext/2023/05310/elders_in_natural_disasters__community_based.153.aspx" TargetMode="External"/><Relationship Id="rId2" Type="http://schemas.openxmlformats.org/officeDocument/2006/relationships/settings" Target="settings.xml"/><Relationship Id="rId16" Type="http://schemas.openxmlformats.org/officeDocument/2006/relationships/hyperlink" Target="https://doi.org/10.20473/jn.v15i1Sp.19005" TargetMode="External"/><Relationship Id="rId20" Type="http://schemas.openxmlformats.org/officeDocument/2006/relationships/hyperlink" Target="https://doi.org/10.1016/j.ijdrr.2019.101457" TargetMode="External"/><Relationship Id="rId1" Type="http://schemas.openxmlformats.org/officeDocument/2006/relationships/styles" Target="styles.xml"/><Relationship Id="rId6" Type="http://schemas.openxmlformats.org/officeDocument/2006/relationships/hyperlink" Target="https://doi.org/10.1017/dmp.2020.194" TargetMode="External"/><Relationship Id="rId11" Type="http://schemas.openxmlformats.org/officeDocument/2006/relationships/hyperlink" Target="https://doi.org/10.4102/jamba.v14i1.1262" TargetMode="External"/><Relationship Id="rId5" Type="http://schemas.openxmlformats.org/officeDocument/2006/relationships/hyperlink" Target="https://doi.org/10.1017/dmp.2020.27" TargetMode="External"/><Relationship Id="rId15" Type="http://schemas.openxmlformats.org/officeDocument/2006/relationships/hyperlink" Target="https://www.apjmr.com/wp-content/uploads/2020/03/APJMR-2020.8.1.13.pdf" TargetMode="External"/><Relationship Id="rId23" Type="http://schemas.openxmlformats.org/officeDocument/2006/relationships/theme" Target="theme/theme1.xml"/><Relationship Id="rId10" Type="http://schemas.openxmlformats.org/officeDocument/2006/relationships/hyperlink" Target="https://doi.org/10.3390/ijerph18073686" TargetMode="External"/><Relationship Id="rId19" Type="http://schemas.openxmlformats.org/officeDocument/2006/relationships/hyperlink" Target="https://doi.org/10.3390/w14081268" TargetMode="External"/><Relationship Id="rId4" Type="http://schemas.openxmlformats.org/officeDocument/2006/relationships/hyperlink" Target="https://doi.org/10.1017/dmp.2020.39" TargetMode="External"/><Relationship Id="rId9" Type="http://schemas.openxmlformats.org/officeDocument/2006/relationships/hyperlink" Target="https://doi.org/10.1017/dmp.2019.154" TargetMode="External"/><Relationship Id="rId14" Type="http://schemas.openxmlformats.org/officeDocument/2006/relationships/hyperlink" Target="https://doi.org/10.3390/su1309461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2889</Words>
  <Characters>16470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2024-10-18T00:48:00Z</dcterms:created>
  <dcterms:modified xsi:type="dcterms:W3CDTF">2025-05-02T07:45:00Z</dcterms:modified>
</cp:coreProperties>
</file>