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BEC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</w:rPr>
      </w:pP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  <w:lang w:val="en-US" w:eastAsia="zh-CN"/>
        </w:rPr>
        <w:drawing>
          <wp:inline distT="0" distB="0" distL="114300" distR="114300">
            <wp:extent cx="5273040" cy="4395470"/>
            <wp:effectExtent l="0" t="0" r="0" b="8890"/>
            <wp:docPr id="3" name="图片 3" descr="Figure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igureS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39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lang w:val="en-US" w:eastAsia="zh-CN"/>
        </w:rPr>
        <w:t xml:space="preserve">SFigure 1 </w:t>
      </w:r>
      <w:r>
        <w:rPr>
          <w:rFonts w:hint="eastAsia"/>
          <w:b/>
          <w:bCs/>
        </w:rPr>
        <w:t>Box plot displaying the correlation between the RCDS signature and immunotherapy response in the immunotherapy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cohort</w:t>
      </w:r>
      <w:r>
        <w:rPr>
          <w:rFonts w:hint="eastAsia"/>
          <w:b/>
          <w:bCs/>
          <w:lang w:val="en-US" w:eastAsia="zh-CN"/>
        </w:rPr>
        <w:t>s</w:t>
      </w:r>
      <w:r>
        <w:rPr>
          <w:rFonts w:hint="eastAsia"/>
          <w:b/>
          <w:bCs/>
        </w:rPr>
        <w:t>.</w:t>
      </w:r>
    </w:p>
    <w:p w14:paraId="4ED08E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</w:pPr>
      <w:r>
        <w:rPr>
          <w:rFonts w:hint="default"/>
          <w:lang w:val="en-US" w:eastAsia="zh-CN"/>
        </w:rPr>
        <w:drawing>
          <wp:inline distT="0" distB="0" distL="114300" distR="114300">
            <wp:extent cx="5273040" cy="6341110"/>
            <wp:effectExtent l="0" t="0" r="0" b="13970"/>
            <wp:docPr id="5" name="图片 5" descr="Figure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FigureS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341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B65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SFigure 2 Annotation of scRNA-seq mate data</w:t>
      </w:r>
    </w:p>
    <w:p w14:paraId="67F9A8F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The clustering tree displaying total scRNA-seq mate data analyzed at different resolutions.</w:t>
      </w:r>
      <w:r>
        <w:rPr>
          <w:rFonts w:hint="default"/>
          <w:b/>
          <w:bCs/>
          <w:lang w:val="en-US" w:eastAsia="zh-CN"/>
        </w:rPr>
        <w:t xml:space="preserve"> (B)</w:t>
      </w:r>
      <w:r>
        <w:rPr>
          <w:rFonts w:hint="default"/>
          <w:lang w:val="en-US" w:eastAsia="zh-CN"/>
        </w:rPr>
        <w:t xml:space="preserve"> The t-SNE plot displaying the cell clusters in the microenvironment of PACA.</w:t>
      </w:r>
      <w:r>
        <w:rPr>
          <w:rFonts w:hint="eastAsia"/>
          <w:b/>
          <w:bCs/>
          <w:lang w:val="en-US" w:eastAsia="zh-CN"/>
        </w:rPr>
        <w:t xml:space="preserve"> (C)</w:t>
      </w:r>
      <w:r>
        <w:rPr>
          <w:rFonts w:hint="eastAsia"/>
          <w:lang w:val="en-US" w:eastAsia="zh-CN"/>
        </w:rPr>
        <w:t xml:space="preserve"> The </w:t>
      </w:r>
      <w:r>
        <w:rPr>
          <w:rFonts w:hint="default"/>
          <w:lang w:val="en-US" w:eastAsia="zh-CN"/>
        </w:rPr>
        <w:t xml:space="preserve">t-SNE plot displaying the composition of cells in the microenvironment of </w:t>
      </w:r>
      <w:r>
        <w:rPr>
          <w:rFonts w:hint="eastAsia"/>
          <w:lang w:val="en-US" w:eastAsia="zh-CN"/>
        </w:rPr>
        <w:t>PACA</w:t>
      </w:r>
      <w:r>
        <w:rPr>
          <w:rFonts w:hint="default"/>
          <w:lang w:val="en-US" w:eastAsia="zh-CN"/>
        </w:rPr>
        <w:t>.</w:t>
      </w:r>
      <w:r>
        <w:rPr>
          <w:rFonts w:hint="eastAsia"/>
          <w:b/>
          <w:bCs/>
          <w:lang w:val="en-US" w:eastAsia="zh-CN"/>
        </w:rPr>
        <w:t xml:space="preserve"> (D)</w:t>
      </w:r>
      <w:r>
        <w:rPr>
          <w:rFonts w:hint="eastAsia"/>
          <w:lang w:val="en-US" w:eastAsia="zh-CN"/>
        </w:rPr>
        <w:t xml:space="preserve"> Dot plot displaying expression of cell-type markers across cell clusters. Dot size indicates the percentage of expressed cells, colored by their relative expression levels</w:t>
      </w:r>
    </w:p>
    <w:p w14:paraId="425DD3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lang w:val="en-US" w:eastAsia="zh-CN"/>
        </w:rPr>
      </w:pPr>
    </w:p>
    <w:p w14:paraId="2F7F19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3040" cy="6021705"/>
            <wp:effectExtent l="0" t="0" r="0" b="13335"/>
            <wp:docPr id="6" name="图片 6" descr="Figure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FigureS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02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469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SFigure 3 Distinguishing between malignant and normal cells in ductal cells</w:t>
      </w:r>
    </w:p>
    <w:p w14:paraId="0E80AEB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</w:pPr>
      <w:r>
        <w:rPr>
          <w:rFonts w:hint="default"/>
          <w:lang w:val="en-US" w:eastAsia="zh-CN"/>
        </w:rPr>
        <w:t>The clustering tree displaying total scRNA-seq mate data analyzed at different resolutions.</w:t>
      </w:r>
      <w:r>
        <w:rPr>
          <w:rFonts w:hint="default"/>
          <w:b/>
          <w:bCs/>
          <w:lang w:val="en-US" w:eastAsia="zh-CN"/>
        </w:rPr>
        <w:t xml:space="preserve"> (B)</w:t>
      </w:r>
      <w:r>
        <w:rPr>
          <w:rFonts w:hint="default"/>
          <w:lang w:val="en-US" w:eastAsia="zh-CN"/>
        </w:rPr>
        <w:t xml:space="preserve"> The t-SNE plot displaying the </w:t>
      </w:r>
      <w:r>
        <w:rPr>
          <w:rFonts w:hint="eastAsia"/>
          <w:b w:val="0"/>
          <w:bCs w:val="0"/>
          <w:lang w:val="en-US" w:eastAsia="zh-CN"/>
        </w:rPr>
        <w:t xml:space="preserve">ductal </w:t>
      </w:r>
      <w:r>
        <w:rPr>
          <w:rFonts w:hint="default"/>
          <w:lang w:val="en-US" w:eastAsia="zh-CN"/>
        </w:rPr>
        <w:t>cell clusters in the microenvironment of PACA.</w:t>
      </w:r>
      <w:r>
        <w:rPr>
          <w:rFonts w:hint="eastAsia"/>
          <w:b/>
          <w:bCs/>
          <w:lang w:val="en-US" w:eastAsia="zh-CN"/>
        </w:rPr>
        <w:t xml:space="preserve"> (C)</w:t>
      </w:r>
      <w:r>
        <w:rPr>
          <w:rFonts w:hint="eastAsia"/>
          <w:lang w:val="en-US" w:eastAsia="zh-CN"/>
        </w:rPr>
        <w:t>Infercnv plotidentified malignant cells in duct cells.</w:t>
      </w:r>
      <w:r>
        <w:rPr>
          <w:rFonts w:hint="eastAsia"/>
          <w:b/>
          <w:bCs/>
          <w:lang w:val="en-US" w:eastAsia="zh-CN"/>
        </w:rPr>
        <w:t>(D)</w:t>
      </w:r>
      <w:r>
        <w:rPr>
          <w:rFonts w:hint="eastAsia"/>
          <w:lang w:val="en-US" w:eastAsia="zh-CN"/>
        </w:rPr>
        <w:t>The boxplot displaying the levels of CNV scores for each cluster of ductal cells and the reference cells.</w:t>
      </w:r>
      <w:r>
        <w:rPr>
          <w:rFonts w:hint="eastAsia"/>
          <w:b/>
          <w:bCs/>
          <w:lang w:val="en-US" w:eastAsia="zh-CN"/>
        </w:rPr>
        <w:t>(E)</w:t>
      </w:r>
      <w:r>
        <w:rPr>
          <w:rFonts w:hint="eastAsia"/>
          <w:lang w:val="en-US" w:eastAsia="zh-CN"/>
        </w:rPr>
        <w:t xml:space="preserve"> The </w:t>
      </w:r>
      <w:r>
        <w:rPr>
          <w:rFonts w:hint="default"/>
          <w:lang w:val="en-US" w:eastAsia="zh-CN"/>
        </w:rPr>
        <w:t xml:space="preserve">t-SNE plot displaying the composition of cells in the microenvironment of </w:t>
      </w:r>
      <w:r>
        <w:rPr>
          <w:rFonts w:hint="eastAsia"/>
          <w:lang w:val="en-US" w:eastAsia="zh-CN"/>
        </w:rPr>
        <w:t>PACA</w:t>
      </w:r>
      <w:r>
        <w:rPr>
          <w:rFonts w:hint="default"/>
          <w:lang w:val="en-US" w:eastAsia="zh-CN"/>
        </w:rPr>
        <w:t>.</w:t>
      </w:r>
    </w:p>
    <w:p w14:paraId="75F2B1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</w:pPr>
    </w:p>
    <w:p w14:paraId="5557D1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</w:pPr>
    </w:p>
    <w:p w14:paraId="763A6B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</w:pPr>
    </w:p>
    <w:p w14:paraId="49EEA6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</w:pPr>
    </w:p>
    <w:p w14:paraId="24786A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</w:pPr>
    </w:p>
    <w:p w14:paraId="0F94E1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lang w:val="en-US" w:eastAsia="zh-CN"/>
        </w:rPr>
      </w:pPr>
    </w:p>
    <w:p w14:paraId="3A67FC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lang w:val="en-US" w:eastAsia="zh-CN"/>
        </w:rPr>
      </w:pPr>
    </w:p>
    <w:p w14:paraId="57CA67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  <w:drawing>
          <wp:inline distT="0" distB="0" distL="114300" distR="114300">
            <wp:extent cx="5268595" cy="2169160"/>
            <wp:effectExtent l="0" t="0" r="4445" b="10160"/>
            <wp:docPr id="1" name="图片 1" descr="Figure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S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16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4CD3F64">
      <w:pPr>
        <w:rPr>
          <w:rFonts w:hint="eastAsia" w:ascii="Times New Roman" w:hAnsi="Times New Roman" w:eastAsia="宋体" w:cs="Times New Roman"/>
          <w:b/>
          <w:bCs/>
          <w:kern w:val="0"/>
          <w:sz w:val="21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1"/>
          <w:szCs w:val="22"/>
          <w:lang w:val="en-US" w:eastAsia="zh-CN"/>
        </w:rPr>
        <w:t xml:space="preserve">SFigure </w:t>
      </w:r>
      <w:r>
        <w:rPr>
          <w:rFonts w:hint="eastAsia" w:cs="Times New Roman"/>
          <w:b/>
          <w:bCs/>
          <w:kern w:val="0"/>
          <w:sz w:val="21"/>
          <w:szCs w:val="22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/>
          <w:bCs/>
          <w:kern w:val="0"/>
          <w:sz w:val="21"/>
          <w:szCs w:val="22"/>
          <w:lang w:val="en-US" w:eastAsia="zh-CN"/>
        </w:rPr>
        <w:t xml:space="preserve"> The immunohistochemistry (IHC) staining images of RCD</w:t>
      </w:r>
      <w:r>
        <w:rPr>
          <w:rFonts w:hint="eastAsia" w:cs="Times New Roman"/>
          <w:b/>
          <w:bCs/>
          <w:kern w:val="0"/>
          <w:sz w:val="21"/>
          <w:szCs w:val="22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/>
          <w:bCs/>
          <w:kern w:val="0"/>
          <w:sz w:val="21"/>
          <w:szCs w:val="22"/>
          <w:lang w:val="en-US" w:eastAsia="zh-CN"/>
        </w:rPr>
        <w:t xml:space="preserve"> genes from GC and healthy stomach tissue in the HPA database.</w:t>
      </w:r>
    </w:p>
    <w:p w14:paraId="7014E08D">
      <w:pPr>
        <w:rPr>
          <w:rFonts w:hint="eastAsia" w:ascii="Times New Roman" w:hAnsi="Times New Roman" w:eastAsia="宋体" w:cs="Times New Roman"/>
          <w:b/>
          <w:bCs/>
          <w:kern w:val="0"/>
          <w:sz w:val="21"/>
          <w:szCs w:val="22"/>
          <w:lang w:val="en-US" w:eastAsia="zh-CN"/>
        </w:rPr>
      </w:pPr>
    </w:p>
    <w:p w14:paraId="699CAC2E">
      <w:pPr>
        <w:rPr>
          <w:rFonts w:hint="eastAsia" w:ascii="Times New Roman" w:hAnsi="Times New Roman" w:eastAsia="宋体" w:cs="Times New Roman"/>
          <w:b/>
          <w:bCs/>
          <w:kern w:val="0"/>
          <w:sz w:val="21"/>
          <w:szCs w:val="22"/>
          <w:lang w:val="en-US" w:eastAsia="zh-CN"/>
        </w:rPr>
      </w:pPr>
    </w:p>
    <w:p w14:paraId="7ED1FF0A">
      <w:pPr>
        <w:rPr>
          <w:rFonts w:hint="eastAsia" w:ascii="Times New Roman" w:hAnsi="Times New Roman" w:eastAsia="宋体" w:cs="Times New Roman"/>
          <w:b/>
          <w:bCs/>
          <w:kern w:val="0"/>
          <w:sz w:val="21"/>
          <w:szCs w:val="22"/>
          <w:lang w:val="en-US" w:eastAsia="zh-CN"/>
        </w:rPr>
      </w:pPr>
    </w:p>
    <w:p w14:paraId="1FACFF75">
      <w:pPr>
        <w:rPr>
          <w:rFonts w:hint="eastAsia" w:ascii="Times New Roman" w:hAnsi="Times New Roman" w:eastAsia="宋体" w:cs="Times New Roman"/>
          <w:b/>
          <w:bCs/>
          <w:kern w:val="0"/>
          <w:sz w:val="21"/>
          <w:szCs w:val="22"/>
          <w:lang w:val="en-US" w:eastAsia="zh-CN"/>
        </w:rPr>
      </w:pPr>
    </w:p>
    <w:p w14:paraId="3452E913">
      <w:pPr>
        <w:rPr>
          <w:rFonts w:hint="eastAsia" w:ascii="Times New Roman" w:hAnsi="Times New Roman" w:eastAsia="宋体" w:cs="Times New Roman"/>
          <w:b/>
          <w:bCs/>
          <w:kern w:val="0"/>
          <w:sz w:val="21"/>
          <w:szCs w:val="22"/>
          <w:lang w:val="en-US" w:eastAsia="zh-CN"/>
        </w:rPr>
      </w:pPr>
    </w:p>
    <w:p w14:paraId="0F41DEE6">
      <w:pPr>
        <w:rPr>
          <w:rFonts w:hint="default" w:ascii="Times New Roman" w:hAnsi="Times New Roman" w:eastAsia="宋体" w:cs="Times New Roman"/>
          <w:b/>
          <w:bCs/>
          <w:kern w:val="0"/>
          <w:sz w:val="21"/>
          <w:szCs w:val="22"/>
          <w:lang w:val="en-US" w:eastAsia="zh-CN"/>
        </w:rPr>
      </w:pPr>
    </w:p>
    <w:p w14:paraId="2F71B8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3040" cy="2090420"/>
            <wp:effectExtent l="0" t="0" r="0" b="12700"/>
            <wp:docPr id="7" name="图片 7" descr="Figure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FigureS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090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46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SFigure 5 </w:t>
      </w:r>
      <w:r>
        <w:rPr>
          <w:rFonts w:hint="eastAsia"/>
          <w:b w:val="0"/>
          <w:bCs w:val="0"/>
          <w:lang w:val="en-US" w:eastAsia="zh-CN"/>
        </w:rPr>
        <w:t>The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lang w:val="en-US" w:eastAsia="zh-CN"/>
        </w:rPr>
        <w:t>establishment of nomogram.</w:t>
      </w:r>
    </w:p>
    <w:p w14:paraId="40E76931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Nomogram was established to predict the prognostic of PACA patients.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b/>
          <w:bCs/>
          <w:lang w:val="en-US" w:eastAsia="zh-CN"/>
        </w:rPr>
        <w:t>(B)</w:t>
      </w:r>
      <w:r>
        <w:rPr>
          <w:rFonts w:hint="eastAsia"/>
          <w:lang w:val="en-US" w:eastAsia="zh-CN"/>
        </w:rPr>
        <w:t xml:space="preserve"> The Calibration curves for overall survival (OS) at 1-year ,3-year and 5-year in PACA patients.</w:t>
      </w:r>
    </w:p>
    <w:p w14:paraId="4F54BB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EE38A6"/>
    <w:multiLevelType w:val="singleLevel"/>
    <w:tmpl w:val="83EE38A6"/>
    <w:lvl w:ilvl="0" w:tentative="0">
      <w:start w:val="1"/>
      <w:numFmt w:val="upperLetter"/>
      <w:lvlText w:val="(%1)"/>
      <w:lvlJc w:val="left"/>
      <w:pPr>
        <w:tabs>
          <w:tab w:val="left" w:pos="312"/>
        </w:tabs>
      </w:pPr>
      <w:rPr>
        <w:rFonts w:hint="default"/>
        <w:b/>
        <w:bCs/>
      </w:rPr>
    </w:lvl>
  </w:abstractNum>
  <w:abstractNum w:abstractNumId="1">
    <w:nsid w:val="C7728507"/>
    <w:multiLevelType w:val="singleLevel"/>
    <w:tmpl w:val="C7728507"/>
    <w:lvl w:ilvl="0" w:tentative="0">
      <w:start w:val="1"/>
      <w:numFmt w:val="upperLetter"/>
      <w:suff w:val="space"/>
      <w:lvlText w:val="(%1)"/>
      <w:lvlJc w:val="left"/>
      <w:rPr>
        <w:rFonts w:hint="default"/>
        <w:b/>
        <w:bCs/>
      </w:rPr>
    </w:lvl>
  </w:abstractNum>
  <w:abstractNum w:abstractNumId="2">
    <w:nsid w:val="57013E04"/>
    <w:multiLevelType w:val="singleLevel"/>
    <w:tmpl w:val="57013E04"/>
    <w:lvl w:ilvl="0" w:tentative="0">
      <w:start w:val="1"/>
      <w:numFmt w:val="upperLetter"/>
      <w:lvlText w:val="(%1)"/>
      <w:lvlJc w:val="left"/>
      <w:pPr>
        <w:tabs>
          <w:tab w:val="left" w:pos="312"/>
        </w:tabs>
      </w:pPr>
      <w:rPr>
        <w:rFonts w:hint="default"/>
        <w:b/>
        <w:bCs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wYTgyOGU5Zjc4M2Q3YzY4MWUxNzk4OGE2ZjYzOTAifQ=="/>
  </w:docVars>
  <w:rsids>
    <w:rsidRoot w:val="00000000"/>
    <w:rsid w:val="10DF3B4D"/>
    <w:rsid w:val="13F64559"/>
    <w:rsid w:val="164B19FB"/>
    <w:rsid w:val="1710595B"/>
    <w:rsid w:val="1D5A7C9A"/>
    <w:rsid w:val="24564B75"/>
    <w:rsid w:val="26652257"/>
    <w:rsid w:val="26F44E85"/>
    <w:rsid w:val="2BFC747A"/>
    <w:rsid w:val="392F386B"/>
    <w:rsid w:val="3D114DFD"/>
    <w:rsid w:val="3D9456B4"/>
    <w:rsid w:val="3DE93FE1"/>
    <w:rsid w:val="3E45369D"/>
    <w:rsid w:val="3E925B20"/>
    <w:rsid w:val="460C0FA2"/>
    <w:rsid w:val="56942245"/>
    <w:rsid w:val="5B820E8B"/>
    <w:rsid w:val="684A60E1"/>
    <w:rsid w:val="717E2223"/>
    <w:rsid w:val="785A6E3C"/>
    <w:rsid w:val="7C6D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215</Words>
  <Characters>1242</Characters>
  <Lines>0</Lines>
  <Paragraphs>0</Paragraphs>
  <TotalTime>0</TotalTime>
  <ScaleCrop>false</ScaleCrop>
  <LinksUpToDate>false</LinksUpToDate>
  <CharactersWithSpaces>1450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2023-02-20T04:26:00Z</dcterms:created>
  <dc:creator>15512</dc:creator>
  <cp:lastModifiedBy>孙亚鲁</cp:lastModifiedBy>
  <dcterms:modified xsi:type="dcterms:W3CDTF">2024-10-16T14:17:39Z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78433E914FD3432D98A4B6BC21CA50B9</vt:lpwstr>
  </property>
</Properties>
</file>