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57930" w14:textId="42D24989" w:rsidR="00247B39" w:rsidRPr="001F7505" w:rsidRDefault="00A976B2" w:rsidP="001F7505">
      <w:pPr>
        <w:rPr>
          <w:sz w:val="28"/>
          <w:szCs w:val="24"/>
        </w:rPr>
      </w:pPr>
      <w:r w:rsidRPr="001F7505">
        <w:rPr>
          <w:sz w:val="28"/>
          <w:szCs w:val="24"/>
        </w:rPr>
        <w:t>Charting Guidelines for ScR</w:t>
      </w:r>
    </w:p>
    <w:tbl>
      <w:tblPr>
        <w:tblW w:w="4971" w:type="pct"/>
        <w:tblLook w:val="04A0" w:firstRow="1" w:lastRow="0" w:firstColumn="1" w:lastColumn="0" w:noHBand="0" w:noVBand="1"/>
      </w:tblPr>
      <w:tblGrid>
        <w:gridCol w:w="1800"/>
        <w:gridCol w:w="7174"/>
      </w:tblGrid>
      <w:tr w:rsidR="00A976B2" w:rsidRPr="002508C8" w14:paraId="463250CB" w14:textId="77777777" w:rsidTr="00B409FA">
        <w:trPr>
          <w:trHeight w:val="220"/>
          <w:tblHeader/>
        </w:trPr>
        <w:tc>
          <w:tcPr>
            <w:tcW w:w="1003" w:type="pct"/>
            <w:tcBorders>
              <w:top w:val="single" w:sz="4" w:space="0" w:color="auto"/>
              <w:bottom w:val="single" w:sz="4" w:space="0" w:color="auto"/>
            </w:tcBorders>
            <w:shd w:val="clear" w:color="auto" w:fill="auto"/>
          </w:tcPr>
          <w:p w14:paraId="03844F03" w14:textId="77777777" w:rsidR="00A976B2" w:rsidRPr="002508C8" w:rsidRDefault="00A976B2" w:rsidP="00B409FA">
            <w:pPr>
              <w:spacing w:after="0" w:line="240" w:lineRule="auto"/>
              <w:contextualSpacing/>
              <w:rPr>
                <w:rFonts w:cs="Calibri"/>
                <w:b/>
                <w:bCs/>
                <w:sz w:val="22"/>
                <w:lang w:eastAsia="en-AU"/>
              </w:rPr>
            </w:pPr>
            <w:r>
              <w:rPr>
                <w:rFonts w:cs="Calibri"/>
                <w:b/>
                <w:bCs/>
                <w:sz w:val="22"/>
                <w:lang w:eastAsia="en-AU"/>
              </w:rPr>
              <w:t>Data item</w:t>
            </w:r>
          </w:p>
        </w:tc>
        <w:tc>
          <w:tcPr>
            <w:tcW w:w="3997" w:type="pct"/>
            <w:tcBorders>
              <w:top w:val="single" w:sz="4" w:space="0" w:color="auto"/>
              <w:bottom w:val="single" w:sz="4" w:space="0" w:color="auto"/>
            </w:tcBorders>
            <w:shd w:val="clear" w:color="auto" w:fill="auto"/>
          </w:tcPr>
          <w:p w14:paraId="05D7E329" w14:textId="77777777" w:rsidR="00A976B2" w:rsidRPr="002508C8" w:rsidRDefault="00A976B2" w:rsidP="00B409FA">
            <w:pPr>
              <w:spacing w:after="0" w:line="240" w:lineRule="auto"/>
              <w:contextualSpacing/>
              <w:rPr>
                <w:rFonts w:cs="Calibri"/>
                <w:b/>
                <w:bCs/>
                <w:sz w:val="22"/>
                <w:lang w:eastAsia="en-AU"/>
              </w:rPr>
            </w:pPr>
            <w:r w:rsidRPr="002508C8">
              <w:rPr>
                <w:rFonts w:cs="Calibri"/>
                <w:b/>
                <w:bCs/>
                <w:sz w:val="22"/>
                <w:lang w:eastAsia="en-AU"/>
              </w:rPr>
              <w:t>Definition</w:t>
            </w:r>
            <w:r>
              <w:rPr>
                <w:rFonts w:cs="Calibri"/>
                <w:b/>
                <w:bCs/>
                <w:sz w:val="22"/>
                <w:lang w:eastAsia="en-AU"/>
              </w:rPr>
              <w:t xml:space="preserve"> and charting guidelines (reference numbers for studies are provided)</w:t>
            </w:r>
          </w:p>
        </w:tc>
      </w:tr>
      <w:tr w:rsidR="00A976B2" w:rsidRPr="002508C8" w14:paraId="2EA65045" w14:textId="77777777" w:rsidTr="00B409FA">
        <w:trPr>
          <w:cantSplit/>
          <w:trHeight w:val="265"/>
        </w:trPr>
        <w:tc>
          <w:tcPr>
            <w:tcW w:w="5000" w:type="pct"/>
            <w:gridSpan w:val="2"/>
            <w:tcBorders>
              <w:top w:val="single" w:sz="4" w:space="0" w:color="auto"/>
            </w:tcBorders>
            <w:shd w:val="clear" w:color="auto" w:fill="auto"/>
          </w:tcPr>
          <w:p w14:paraId="13525EBB" w14:textId="77777777" w:rsidR="00A976B2" w:rsidRPr="002508C8" w:rsidRDefault="00A976B2" w:rsidP="00B409FA">
            <w:pPr>
              <w:spacing w:after="0" w:line="240" w:lineRule="auto"/>
              <w:contextualSpacing/>
              <w:rPr>
                <w:rFonts w:cs="Calibri"/>
                <w:b/>
                <w:bCs/>
                <w:i/>
                <w:sz w:val="22"/>
                <w:lang w:eastAsia="en-AU"/>
              </w:rPr>
            </w:pPr>
          </w:p>
          <w:p w14:paraId="5A08DD63" w14:textId="77777777" w:rsidR="00A976B2" w:rsidRPr="002508C8" w:rsidRDefault="00A976B2" w:rsidP="00B409FA">
            <w:pPr>
              <w:spacing w:after="0" w:line="240" w:lineRule="auto"/>
              <w:contextualSpacing/>
              <w:rPr>
                <w:rFonts w:cs="Calibri"/>
                <w:b/>
                <w:bCs/>
                <w:i/>
                <w:sz w:val="22"/>
                <w:lang w:eastAsia="en-AU"/>
              </w:rPr>
            </w:pPr>
            <w:r w:rsidRPr="002508C8">
              <w:rPr>
                <w:rFonts w:cs="Calibri"/>
                <w:b/>
                <w:bCs/>
                <w:i/>
                <w:sz w:val="22"/>
                <w:lang w:eastAsia="en-AU"/>
              </w:rPr>
              <w:t xml:space="preserve">Assessment tool characteristics </w:t>
            </w:r>
          </w:p>
          <w:p w14:paraId="2121F44F" w14:textId="77777777" w:rsidR="00A976B2" w:rsidRPr="002508C8" w:rsidRDefault="00A976B2" w:rsidP="00B409FA">
            <w:pPr>
              <w:spacing w:after="0" w:line="240" w:lineRule="auto"/>
              <w:contextualSpacing/>
              <w:rPr>
                <w:rFonts w:cs="Calibri"/>
                <w:b/>
                <w:bCs/>
                <w:i/>
                <w:sz w:val="22"/>
                <w:lang w:eastAsia="en-AU"/>
              </w:rPr>
            </w:pPr>
          </w:p>
        </w:tc>
      </w:tr>
      <w:tr w:rsidR="00A976B2" w:rsidRPr="002508C8" w14:paraId="7248B4FA" w14:textId="77777777" w:rsidTr="00B409FA">
        <w:trPr>
          <w:cantSplit/>
          <w:trHeight w:val="279"/>
        </w:trPr>
        <w:tc>
          <w:tcPr>
            <w:tcW w:w="1003" w:type="pct"/>
            <w:shd w:val="clear" w:color="auto" w:fill="auto"/>
          </w:tcPr>
          <w:p w14:paraId="3D622B2D"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Tool name</w:t>
            </w:r>
          </w:p>
        </w:tc>
        <w:tc>
          <w:tcPr>
            <w:tcW w:w="3997" w:type="pct"/>
            <w:shd w:val="clear" w:color="auto" w:fill="auto"/>
          </w:tcPr>
          <w:p w14:paraId="7A1F3B74"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The name of the tool. </w:t>
            </w:r>
            <w:r>
              <w:rPr>
                <w:rFonts w:cs="Calibri"/>
                <w:bCs/>
                <w:sz w:val="22"/>
                <w:lang w:eastAsia="en-AU"/>
              </w:rPr>
              <w:t>Abbreviations or acronyms may be used if presented in studies.</w:t>
            </w:r>
          </w:p>
          <w:p w14:paraId="1B38D6BE" w14:textId="77777777" w:rsidR="00A976B2" w:rsidRPr="002508C8" w:rsidRDefault="00A976B2" w:rsidP="00B409FA">
            <w:pPr>
              <w:spacing w:after="0" w:line="240" w:lineRule="auto"/>
              <w:contextualSpacing/>
              <w:rPr>
                <w:rFonts w:cs="Calibri"/>
                <w:bCs/>
                <w:sz w:val="22"/>
                <w:lang w:eastAsia="en-AU"/>
              </w:rPr>
            </w:pPr>
          </w:p>
          <w:p w14:paraId="6E92E567" w14:textId="50E5D5BD"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Where no name was provided, and to avoid </w:t>
            </w:r>
            <w:r w:rsidR="001F7505" w:rsidRPr="002508C8">
              <w:rPr>
                <w:rFonts w:cs="Calibri"/>
                <w:bCs/>
                <w:sz w:val="22"/>
                <w:lang w:eastAsia="en-AU"/>
              </w:rPr>
              <w:t>many</w:t>
            </w:r>
            <w:r w:rsidRPr="002508C8">
              <w:rPr>
                <w:rFonts w:cs="Calibri"/>
                <w:bCs/>
                <w:sz w:val="22"/>
                <w:lang w:eastAsia="en-AU"/>
              </w:rPr>
              <w:t xml:space="preserve"> un-named tools, the following options were applied in order. </w:t>
            </w:r>
            <w:r>
              <w:rPr>
                <w:rFonts w:cs="Calibri"/>
                <w:bCs/>
                <w:sz w:val="22"/>
                <w:lang w:eastAsia="en-AU"/>
              </w:rPr>
              <w:t>All names were capitalised as proper nouns.</w:t>
            </w:r>
          </w:p>
          <w:p w14:paraId="14778AF8" w14:textId="77777777" w:rsidR="00A976B2" w:rsidRPr="002508C8" w:rsidRDefault="00A976B2" w:rsidP="00B409FA">
            <w:pPr>
              <w:spacing w:after="0" w:line="240" w:lineRule="auto"/>
              <w:contextualSpacing/>
              <w:rPr>
                <w:rFonts w:cs="Calibri"/>
                <w:bCs/>
                <w:sz w:val="22"/>
                <w:lang w:eastAsia="en-AU"/>
              </w:rPr>
            </w:pPr>
          </w:p>
          <w:p w14:paraId="491B0AF5"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Option 1: Where the name for the same tool was provided in another reference, that name was coded. For example, reference 26 does not identify the TSAP by name, but multiple studies do (9, 29, 30, 33, 44, 45, 52, 60, 61, 66). </w:t>
            </w:r>
          </w:p>
          <w:p w14:paraId="2D80420E" w14:textId="77777777" w:rsidR="00A976B2" w:rsidRPr="002508C8" w:rsidRDefault="00A976B2" w:rsidP="00B409FA">
            <w:pPr>
              <w:spacing w:after="0" w:line="240" w:lineRule="auto"/>
              <w:contextualSpacing/>
              <w:rPr>
                <w:rFonts w:cs="Calibri"/>
                <w:bCs/>
                <w:sz w:val="22"/>
                <w:lang w:eastAsia="en-AU"/>
              </w:rPr>
            </w:pPr>
          </w:p>
          <w:p w14:paraId="2C72DFE4"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Option 2: Where another tool is acknowledged as the base of the current tool, that name will be coded. For example, reference 25 refers to the tool used in reference 4. In the case of reference 23, the observation instrument acknowledged reference 19, the observation</w:t>
            </w:r>
            <w:r w:rsidRPr="002508C8">
              <w:rPr>
                <w:rFonts w:cs="Calibri"/>
                <w:b/>
                <w:bCs/>
                <w:sz w:val="22"/>
                <w:lang w:eastAsia="en-AU"/>
              </w:rPr>
              <w:t xml:space="preserve">al </w:t>
            </w:r>
            <w:r w:rsidRPr="002508C8">
              <w:rPr>
                <w:rFonts w:cs="Calibri"/>
                <w:bCs/>
                <w:sz w:val="22"/>
                <w:lang w:eastAsia="en-AU"/>
              </w:rPr>
              <w:t>instrument, and was coded as the same tool</w:t>
            </w:r>
            <w:r>
              <w:rPr>
                <w:rFonts w:cs="Calibri"/>
                <w:bCs/>
                <w:sz w:val="22"/>
                <w:lang w:eastAsia="en-AU"/>
              </w:rPr>
              <w:t xml:space="preserve"> despite the different suffix.</w:t>
            </w:r>
          </w:p>
          <w:p w14:paraId="4E03E846" w14:textId="77777777" w:rsidR="00A976B2" w:rsidRPr="002508C8" w:rsidRDefault="00A976B2" w:rsidP="00B409FA">
            <w:pPr>
              <w:spacing w:after="0" w:line="240" w:lineRule="auto"/>
              <w:contextualSpacing/>
              <w:rPr>
                <w:rFonts w:cs="Calibri"/>
                <w:bCs/>
                <w:sz w:val="22"/>
                <w:lang w:eastAsia="en-AU"/>
              </w:rPr>
            </w:pPr>
          </w:p>
          <w:p w14:paraId="06F292FC"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Option 3 - The name is derived from the study title. For example, the </w:t>
            </w:r>
            <w:r>
              <w:rPr>
                <w:rFonts w:cs="Calibri"/>
                <w:bCs/>
                <w:sz w:val="22"/>
                <w:lang w:eastAsia="en-AU"/>
              </w:rPr>
              <w:t>Australian Football Small-Sided Game Kicking Proficiency Assessment</w:t>
            </w:r>
            <w:r w:rsidRPr="002508C8">
              <w:rPr>
                <w:rFonts w:cs="Calibri"/>
                <w:bCs/>
                <w:sz w:val="22"/>
                <w:lang w:eastAsia="en-AU"/>
              </w:rPr>
              <w:t xml:space="preserve"> (5) and </w:t>
            </w:r>
            <w:r>
              <w:rPr>
                <w:rFonts w:cs="Calibri"/>
                <w:bCs/>
                <w:sz w:val="22"/>
                <w:lang w:eastAsia="en-AU"/>
              </w:rPr>
              <w:t>Polar Coordinate Analysis</w:t>
            </w:r>
            <w:r w:rsidRPr="002508C8">
              <w:rPr>
                <w:rFonts w:cs="Calibri"/>
                <w:bCs/>
                <w:sz w:val="22"/>
                <w:lang w:eastAsia="en-AU"/>
              </w:rPr>
              <w:t xml:space="preserve"> (32).</w:t>
            </w:r>
          </w:p>
          <w:p w14:paraId="22FD80F3" w14:textId="77777777" w:rsidR="00A976B2" w:rsidRPr="002508C8" w:rsidRDefault="00A976B2" w:rsidP="00B409FA">
            <w:pPr>
              <w:spacing w:after="0" w:line="240" w:lineRule="auto"/>
              <w:contextualSpacing/>
              <w:rPr>
                <w:rFonts w:cs="Calibri"/>
                <w:bCs/>
                <w:sz w:val="22"/>
                <w:lang w:eastAsia="en-AU"/>
              </w:rPr>
            </w:pPr>
          </w:p>
        </w:tc>
      </w:tr>
      <w:tr w:rsidR="00A976B2" w:rsidRPr="002508C8" w14:paraId="217CEFFA" w14:textId="77777777" w:rsidTr="00B409FA">
        <w:trPr>
          <w:cantSplit/>
          <w:trHeight w:val="265"/>
        </w:trPr>
        <w:tc>
          <w:tcPr>
            <w:tcW w:w="1003" w:type="pct"/>
            <w:shd w:val="clear" w:color="auto" w:fill="auto"/>
          </w:tcPr>
          <w:p w14:paraId="6A53DEB1"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 xml:space="preserve">Original context </w:t>
            </w:r>
          </w:p>
        </w:tc>
        <w:tc>
          <w:tcPr>
            <w:tcW w:w="3997" w:type="pct"/>
            <w:shd w:val="clear" w:color="auto" w:fill="auto"/>
          </w:tcPr>
          <w:p w14:paraId="2E932084"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The intended context for the tool’s application (community or school). With tools used in multiple studies this was derived from the earliest reference in the corpus. </w:t>
            </w:r>
          </w:p>
          <w:p w14:paraId="5D53373A" w14:textId="77777777" w:rsidR="00A976B2" w:rsidRPr="002508C8" w:rsidRDefault="00A976B2" w:rsidP="00B409FA">
            <w:pPr>
              <w:spacing w:after="0" w:line="240" w:lineRule="auto"/>
              <w:contextualSpacing/>
              <w:rPr>
                <w:rFonts w:cs="Calibri"/>
                <w:bCs/>
                <w:sz w:val="22"/>
                <w:lang w:eastAsia="en-AU"/>
              </w:rPr>
            </w:pPr>
          </w:p>
          <w:p w14:paraId="5C7A8CA7"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As an anomaly, reference 63 drew on a sample of players from youth clubs (the community) but classified them into </w:t>
            </w:r>
            <w:r>
              <w:rPr>
                <w:rFonts w:cs="Calibri"/>
                <w:bCs/>
                <w:sz w:val="22"/>
                <w:lang w:eastAsia="en-AU"/>
              </w:rPr>
              <w:t>school-age</w:t>
            </w:r>
            <w:r w:rsidRPr="002508C8">
              <w:rPr>
                <w:rFonts w:cs="Calibri"/>
                <w:bCs/>
                <w:sz w:val="22"/>
                <w:lang w:eastAsia="en-AU"/>
              </w:rPr>
              <w:t xml:space="preserve"> groups and assessed them in a school. This was coded as community.</w:t>
            </w:r>
          </w:p>
          <w:p w14:paraId="6472C1AD" w14:textId="77777777" w:rsidR="00A976B2" w:rsidRPr="002508C8" w:rsidRDefault="00A976B2" w:rsidP="00B409FA">
            <w:pPr>
              <w:spacing w:after="0" w:line="240" w:lineRule="auto"/>
              <w:contextualSpacing/>
              <w:rPr>
                <w:rFonts w:cs="Calibri"/>
                <w:bCs/>
                <w:sz w:val="22"/>
                <w:lang w:eastAsia="en-AU"/>
              </w:rPr>
            </w:pPr>
          </w:p>
        </w:tc>
      </w:tr>
      <w:tr w:rsidR="00A976B2" w:rsidRPr="002508C8" w14:paraId="43EFF9E7" w14:textId="77777777" w:rsidTr="00B409FA">
        <w:trPr>
          <w:cantSplit/>
          <w:trHeight w:val="265"/>
        </w:trPr>
        <w:tc>
          <w:tcPr>
            <w:tcW w:w="1003" w:type="pct"/>
            <w:shd w:val="clear" w:color="auto" w:fill="auto"/>
          </w:tcPr>
          <w:p w14:paraId="32F63D50" w14:textId="77777777" w:rsidR="00A976B2"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Developed for use in:</w:t>
            </w:r>
            <w:r>
              <w:rPr>
                <w:rFonts w:cs="Calibri"/>
                <w:bCs/>
                <w:sz w:val="22"/>
                <w:lang w:eastAsia="en-AU"/>
              </w:rPr>
              <w:t xml:space="preserve"> (IGS)</w:t>
            </w:r>
          </w:p>
          <w:p w14:paraId="510F1366" w14:textId="77777777" w:rsidR="001F7505" w:rsidRPr="002508C8" w:rsidRDefault="001F7505" w:rsidP="001F7505">
            <w:pPr>
              <w:pStyle w:val="ListParagraph"/>
              <w:spacing w:after="0" w:line="240" w:lineRule="auto"/>
              <w:ind w:left="360"/>
              <w:rPr>
                <w:rFonts w:cs="Calibri"/>
                <w:bCs/>
                <w:sz w:val="22"/>
                <w:lang w:eastAsia="en-AU"/>
              </w:rPr>
            </w:pPr>
          </w:p>
        </w:tc>
        <w:tc>
          <w:tcPr>
            <w:tcW w:w="3997" w:type="pct"/>
            <w:shd w:val="clear" w:color="auto" w:fill="auto"/>
          </w:tcPr>
          <w:p w14:paraId="4A681821"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The intended </w:t>
            </w:r>
            <w:r>
              <w:rPr>
                <w:rFonts w:cs="Calibri"/>
                <w:bCs/>
                <w:sz w:val="22"/>
                <w:lang w:eastAsia="en-AU"/>
              </w:rPr>
              <w:t xml:space="preserve">GS </w:t>
            </w:r>
            <w:r w:rsidRPr="002508C8">
              <w:rPr>
                <w:rFonts w:cs="Calibri"/>
                <w:bCs/>
                <w:sz w:val="22"/>
                <w:lang w:eastAsia="en-AU"/>
              </w:rPr>
              <w:t>the tool was developed for. With tools used in multiple studies this was derived from the earliest reference in the corpus.</w:t>
            </w:r>
          </w:p>
          <w:p w14:paraId="16728F4B" w14:textId="77777777" w:rsidR="00A976B2" w:rsidRPr="002508C8" w:rsidRDefault="00A976B2" w:rsidP="00B409FA">
            <w:pPr>
              <w:spacing w:after="0" w:line="240" w:lineRule="auto"/>
              <w:contextualSpacing/>
              <w:rPr>
                <w:rFonts w:cs="Calibri"/>
                <w:bCs/>
                <w:sz w:val="22"/>
                <w:lang w:eastAsia="en-AU"/>
              </w:rPr>
            </w:pPr>
          </w:p>
        </w:tc>
      </w:tr>
      <w:tr w:rsidR="00A976B2" w:rsidRPr="002508C8" w14:paraId="4261C32E" w14:textId="77777777" w:rsidTr="00B409FA">
        <w:trPr>
          <w:cantSplit/>
          <w:trHeight w:val="265"/>
        </w:trPr>
        <w:tc>
          <w:tcPr>
            <w:tcW w:w="1003" w:type="pct"/>
            <w:shd w:val="clear" w:color="auto" w:fill="auto"/>
          </w:tcPr>
          <w:p w14:paraId="6852DB99"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Tool outcome: Rating scale</w:t>
            </w:r>
          </w:p>
        </w:tc>
        <w:tc>
          <w:tcPr>
            <w:tcW w:w="3997" w:type="pct"/>
            <w:shd w:val="clear" w:color="auto" w:fill="auto"/>
          </w:tcPr>
          <w:p w14:paraId="4DBF5DC3"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Any reference to the tool rating performance, in contrast to counting actions/behaviours. This may include the use of Likert scales or rubric formats. This does not include the myriad frequency-tools that use a binary or ternary coding system to tally player behaviours.</w:t>
            </w:r>
          </w:p>
          <w:p w14:paraId="417CF23C" w14:textId="77777777" w:rsidR="00A976B2" w:rsidRPr="002508C8" w:rsidRDefault="00A976B2" w:rsidP="00B409FA">
            <w:pPr>
              <w:spacing w:after="0" w:line="240" w:lineRule="auto"/>
              <w:contextualSpacing/>
              <w:rPr>
                <w:rFonts w:cs="Calibri"/>
                <w:bCs/>
                <w:sz w:val="22"/>
                <w:lang w:eastAsia="en-AU"/>
              </w:rPr>
            </w:pPr>
          </w:p>
          <w:p w14:paraId="7165ACF4" w14:textId="77777777" w:rsidR="00A976B2" w:rsidRDefault="00A976B2" w:rsidP="00B409FA">
            <w:pPr>
              <w:spacing w:after="0" w:line="240" w:lineRule="auto"/>
              <w:contextualSpacing/>
              <w:rPr>
                <w:rFonts w:cs="Calibri"/>
                <w:bCs/>
                <w:sz w:val="22"/>
                <w:lang w:eastAsia="en-AU"/>
              </w:rPr>
            </w:pPr>
            <w:r w:rsidRPr="002508C8">
              <w:rPr>
                <w:rFonts w:cs="Calibri"/>
                <w:bCs/>
                <w:sz w:val="22"/>
                <w:lang w:eastAsia="en-AU"/>
              </w:rPr>
              <w:t>Two tools applied both rating scales and frequency-count approaches (5 and 14).</w:t>
            </w:r>
          </w:p>
          <w:p w14:paraId="64A8FF94" w14:textId="77777777" w:rsidR="00A976B2" w:rsidRPr="002508C8" w:rsidRDefault="00A976B2" w:rsidP="00B409FA">
            <w:pPr>
              <w:spacing w:after="0" w:line="240" w:lineRule="auto"/>
              <w:contextualSpacing/>
              <w:rPr>
                <w:rFonts w:cs="Calibri"/>
                <w:bCs/>
                <w:sz w:val="22"/>
                <w:lang w:eastAsia="en-AU"/>
              </w:rPr>
            </w:pPr>
          </w:p>
        </w:tc>
      </w:tr>
      <w:tr w:rsidR="00A976B2" w:rsidRPr="002508C8" w14:paraId="0AE66B23" w14:textId="77777777" w:rsidTr="00B409FA">
        <w:trPr>
          <w:cantSplit/>
          <w:trHeight w:val="265"/>
        </w:trPr>
        <w:tc>
          <w:tcPr>
            <w:tcW w:w="1003" w:type="pct"/>
            <w:shd w:val="clear" w:color="auto" w:fill="auto"/>
          </w:tcPr>
          <w:p w14:paraId="710AF89C" w14:textId="77777777" w:rsidR="00A976B2"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lastRenderedPageBreak/>
              <w:t>Tool outcome: Frequency-count</w:t>
            </w:r>
          </w:p>
          <w:p w14:paraId="3B89A390" w14:textId="77777777" w:rsidR="001F7505" w:rsidRPr="002508C8" w:rsidRDefault="001F7505" w:rsidP="001F7505">
            <w:pPr>
              <w:pStyle w:val="ListParagraph"/>
              <w:spacing w:after="0" w:line="240" w:lineRule="auto"/>
              <w:ind w:left="360"/>
              <w:rPr>
                <w:rFonts w:cs="Calibri"/>
                <w:bCs/>
                <w:sz w:val="22"/>
                <w:lang w:eastAsia="en-AU"/>
              </w:rPr>
            </w:pPr>
          </w:p>
        </w:tc>
        <w:tc>
          <w:tcPr>
            <w:tcW w:w="3997" w:type="pct"/>
            <w:shd w:val="clear" w:color="auto" w:fill="auto"/>
          </w:tcPr>
          <w:p w14:paraId="2A549BB6" w14:textId="3DE19793"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the tool counting actions/choices. This </w:t>
            </w:r>
            <w:r w:rsidR="001F7505" w:rsidRPr="002508C8">
              <w:rPr>
                <w:rFonts w:cs="Calibri"/>
                <w:bCs/>
                <w:sz w:val="22"/>
                <w:lang w:eastAsia="en-AU"/>
              </w:rPr>
              <w:t>contrasts with</w:t>
            </w:r>
            <w:r w:rsidRPr="002508C8">
              <w:rPr>
                <w:rFonts w:cs="Calibri"/>
                <w:bCs/>
                <w:sz w:val="22"/>
                <w:lang w:eastAsia="en-AU"/>
              </w:rPr>
              <w:t xml:space="preserve"> the act of rating performance.</w:t>
            </w:r>
          </w:p>
        </w:tc>
      </w:tr>
      <w:tr w:rsidR="00A976B2" w:rsidRPr="002508C8" w14:paraId="3C2E8FE6" w14:textId="77777777" w:rsidTr="00B409FA">
        <w:trPr>
          <w:cantSplit/>
          <w:trHeight w:val="265"/>
        </w:trPr>
        <w:tc>
          <w:tcPr>
            <w:tcW w:w="1003" w:type="pct"/>
            <w:shd w:val="clear" w:color="auto" w:fill="auto"/>
          </w:tcPr>
          <w:p w14:paraId="44A8E545"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 xml:space="preserve">Tool outcome: </w:t>
            </w:r>
            <w:r>
              <w:rPr>
                <w:rFonts w:cs="Calibri"/>
                <w:bCs/>
                <w:sz w:val="22"/>
                <w:lang w:eastAsia="en-AU"/>
              </w:rPr>
              <w:t>I</w:t>
            </w:r>
            <w:r w:rsidRPr="002508C8">
              <w:rPr>
                <w:rFonts w:cs="Calibri"/>
                <w:bCs/>
                <w:sz w:val="22"/>
                <w:lang w:eastAsia="en-AU"/>
              </w:rPr>
              <w:t>ndices</w:t>
            </w:r>
          </w:p>
        </w:tc>
        <w:tc>
          <w:tcPr>
            <w:tcW w:w="3997" w:type="pct"/>
            <w:shd w:val="clear" w:color="auto" w:fill="auto"/>
          </w:tcPr>
          <w:p w14:paraId="1E7073D1" w14:textId="77777777" w:rsidR="00A976B2" w:rsidRPr="00E9469A" w:rsidRDefault="00A976B2" w:rsidP="00B409FA">
            <w:pPr>
              <w:spacing w:after="0" w:line="240" w:lineRule="auto"/>
              <w:contextualSpacing/>
              <w:rPr>
                <w:rFonts w:cs="Calibri"/>
                <w:bCs/>
                <w:sz w:val="22"/>
                <w:lang w:eastAsia="en-AU"/>
              </w:rPr>
            </w:pPr>
            <w:r w:rsidRPr="00E9469A">
              <w:rPr>
                <w:rFonts w:cstheme="minorHAnsi"/>
                <w:bCs/>
                <w:sz w:val="22"/>
                <w:lang w:eastAsia="en-AU"/>
              </w:rPr>
              <w:t>Any reference to a frequency-count tool generating a quantifiable performance index (ratio) as a summary of performance.</w:t>
            </w:r>
            <w:r w:rsidRPr="00E9469A">
              <w:rPr>
                <w:rFonts w:cs="Calibri"/>
                <w:bCs/>
                <w:sz w:val="22"/>
                <w:lang w:eastAsia="en-AU"/>
              </w:rPr>
              <w:t xml:space="preserve"> For example, indices are used in the GPAI and TSAP.</w:t>
            </w:r>
          </w:p>
          <w:p w14:paraId="5B17D40B" w14:textId="77777777" w:rsidR="00A976B2" w:rsidRPr="002508C8" w:rsidRDefault="00A976B2" w:rsidP="00B409FA">
            <w:pPr>
              <w:spacing w:after="0" w:line="240" w:lineRule="auto"/>
              <w:contextualSpacing/>
              <w:rPr>
                <w:rFonts w:cs="Calibri"/>
                <w:bCs/>
                <w:sz w:val="22"/>
                <w:lang w:eastAsia="en-AU"/>
              </w:rPr>
            </w:pPr>
          </w:p>
        </w:tc>
      </w:tr>
      <w:tr w:rsidR="00A976B2" w:rsidRPr="002508C8" w14:paraId="45B6A103" w14:textId="77777777" w:rsidTr="00B409FA">
        <w:trPr>
          <w:cantSplit/>
          <w:trHeight w:val="265"/>
        </w:trPr>
        <w:tc>
          <w:tcPr>
            <w:tcW w:w="1003" w:type="pct"/>
            <w:shd w:val="clear" w:color="auto" w:fill="auto"/>
          </w:tcPr>
          <w:p w14:paraId="61534597"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 xml:space="preserve">Reported validity </w:t>
            </w:r>
          </w:p>
        </w:tc>
        <w:tc>
          <w:tcPr>
            <w:tcW w:w="3997" w:type="pct"/>
            <w:shd w:val="clear" w:color="auto" w:fill="auto"/>
          </w:tcPr>
          <w:p w14:paraId="52A1A64B" w14:textId="77777777" w:rsidR="00A976B2" w:rsidRDefault="00A976B2" w:rsidP="00B409FA">
            <w:pPr>
              <w:spacing w:after="0" w:line="240" w:lineRule="auto"/>
              <w:contextualSpacing/>
              <w:rPr>
                <w:rFonts w:cs="Calibri"/>
                <w:bCs/>
                <w:sz w:val="22"/>
                <w:lang w:eastAsia="en-AU"/>
              </w:rPr>
            </w:pPr>
            <w:r w:rsidRPr="002073A5">
              <w:rPr>
                <w:rFonts w:cs="Calibri"/>
                <w:bCs/>
                <w:sz w:val="22"/>
                <w:lang w:eastAsia="en-AU"/>
              </w:rPr>
              <w:t>Any reference to the type(s) of validity data of the tool analysed using the current study sample</w:t>
            </w:r>
            <w:r>
              <w:rPr>
                <w:rFonts w:cs="Calibri"/>
                <w:bCs/>
                <w:sz w:val="22"/>
                <w:lang w:eastAsia="en-AU"/>
              </w:rPr>
              <w:t>.</w:t>
            </w:r>
          </w:p>
          <w:p w14:paraId="1E756F6D" w14:textId="77777777" w:rsidR="00A976B2" w:rsidRPr="002508C8" w:rsidRDefault="00A976B2" w:rsidP="00B409FA">
            <w:pPr>
              <w:spacing w:after="0" w:line="240" w:lineRule="auto"/>
              <w:contextualSpacing/>
              <w:rPr>
                <w:rFonts w:cs="Calibri"/>
                <w:bCs/>
                <w:sz w:val="22"/>
                <w:lang w:eastAsia="en-AU"/>
              </w:rPr>
            </w:pPr>
          </w:p>
          <w:p w14:paraId="1A407CD2" w14:textId="77777777" w:rsidR="00A976B2" w:rsidRPr="002508C8" w:rsidRDefault="00A976B2" w:rsidP="00B409FA">
            <w:pPr>
              <w:spacing w:after="0" w:line="240" w:lineRule="auto"/>
              <w:contextualSpacing/>
              <w:rPr>
                <w:rFonts w:cs="Calibri"/>
                <w:bCs/>
                <w:sz w:val="22"/>
                <w:lang w:eastAsia="en-AU"/>
              </w:rPr>
            </w:pPr>
            <w:r w:rsidRPr="002508C8">
              <w:rPr>
                <w:rFonts w:cs="Calibri"/>
                <w:color w:val="000000"/>
                <w:sz w:val="22"/>
              </w:rPr>
              <w:t>This includes the actual type of validity type. As exceptions, reference 63 referred to five experts developing assessment criteria using the Delphi method (content validity), reference 2 referred to six experts determining the criteria conjointly (content validity), and reference 58 referred to ecological dynamics in assessing a match (ecological validity). These 3 instances were coded as validity.</w:t>
            </w:r>
            <w:r w:rsidRPr="002508C8">
              <w:rPr>
                <w:rFonts w:cs="Calibri"/>
                <w:bCs/>
                <w:sz w:val="22"/>
                <w:lang w:eastAsia="en-AU"/>
              </w:rPr>
              <w:t xml:space="preserve"> </w:t>
            </w:r>
          </w:p>
          <w:p w14:paraId="37013E0F" w14:textId="77777777" w:rsidR="00A976B2" w:rsidRPr="002508C8" w:rsidRDefault="00A976B2" w:rsidP="00B409FA">
            <w:pPr>
              <w:spacing w:after="0" w:line="240" w:lineRule="auto"/>
              <w:contextualSpacing/>
              <w:rPr>
                <w:rFonts w:cs="Calibri"/>
                <w:bCs/>
                <w:sz w:val="22"/>
                <w:lang w:eastAsia="en-AU"/>
              </w:rPr>
            </w:pPr>
          </w:p>
        </w:tc>
      </w:tr>
      <w:tr w:rsidR="00A976B2" w:rsidRPr="002508C8" w14:paraId="2469B9C5" w14:textId="77777777" w:rsidTr="00B409FA">
        <w:trPr>
          <w:cantSplit/>
          <w:trHeight w:val="265"/>
        </w:trPr>
        <w:tc>
          <w:tcPr>
            <w:tcW w:w="1003" w:type="pct"/>
            <w:shd w:val="clear" w:color="auto" w:fill="auto"/>
          </w:tcPr>
          <w:p w14:paraId="0A4BC895"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 xml:space="preserve">Reported reliability </w:t>
            </w:r>
          </w:p>
        </w:tc>
        <w:tc>
          <w:tcPr>
            <w:tcW w:w="3997" w:type="pct"/>
            <w:shd w:val="clear" w:color="auto" w:fill="auto"/>
          </w:tcPr>
          <w:p w14:paraId="185AC377" w14:textId="77777777" w:rsidR="00A976B2" w:rsidRPr="002073A5" w:rsidRDefault="00A976B2" w:rsidP="00B409FA">
            <w:pPr>
              <w:pStyle w:val="NormalWeb"/>
              <w:spacing w:before="0" w:beforeAutospacing="0" w:after="0" w:afterAutospacing="0"/>
              <w:rPr>
                <w:rFonts w:ascii="Calibri" w:hAnsi="Calibri" w:cs="Calibri"/>
                <w:color w:val="000000"/>
                <w:sz w:val="22"/>
                <w:szCs w:val="22"/>
              </w:rPr>
            </w:pPr>
            <w:r w:rsidRPr="002073A5">
              <w:rPr>
                <w:rFonts w:ascii="Calibri" w:hAnsi="Calibri" w:cs="Calibri"/>
                <w:color w:val="000000"/>
                <w:sz w:val="22"/>
                <w:szCs w:val="22"/>
              </w:rPr>
              <w:t xml:space="preserve">Any reference to intra-rater or inter-rater reliability data of the tool analysed using the current study sample. </w:t>
            </w:r>
            <w:r>
              <w:rPr>
                <w:rFonts w:ascii="Calibri" w:hAnsi="Calibri" w:cs="Calibri"/>
                <w:color w:val="000000"/>
                <w:sz w:val="22"/>
                <w:szCs w:val="22"/>
              </w:rPr>
              <w:t>This includes a</w:t>
            </w:r>
            <w:r w:rsidRPr="002073A5">
              <w:rPr>
                <w:rFonts w:ascii="Calibri" w:hAnsi="Calibri" w:cs="Calibri"/>
                <w:color w:val="000000"/>
                <w:sz w:val="22"/>
                <w:szCs w:val="22"/>
              </w:rPr>
              <w:t>ny reference to the percentage agreement</w:t>
            </w:r>
            <w:r>
              <w:rPr>
                <w:rFonts w:ascii="Calibri" w:hAnsi="Calibri" w:cs="Calibri"/>
                <w:color w:val="000000"/>
                <w:sz w:val="22"/>
                <w:szCs w:val="22"/>
              </w:rPr>
              <w:t xml:space="preserve"> but</w:t>
            </w:r>
            <w:r w:rsidRPr="002073A5">
              <w:rPr>
                <w:rFonts w:ascii="Calibri" w:hAnsi="Calibri" w:cs="Calibri"/>
                <w:color w:val="000000"/>
                <w:sz w:val="22"/>
                <w:szCs w:val="22"/>
              </w:rPr>
              <w:t xml:space="preserve"> excludes </w:t>
            </w:r>
            <w:r>
              <w:rPr>
                <w:rFonts w:ascii="Calibri" w:hAnsi="Calibri" w:cs="Calibri"/>
                <w:color w:val="000000"/>
                <w:sz w:val="22"/>
                <w:szCs w:val="22"/>
              </w:rPr>
              <w:t xml:space="preserve">any reference to the </w:t>
            </w:r>
            <w:r w:rsidRPr="002073A5">
              <w:rPr>
                <w:rFonts w:ascii="Calibri" w:hAnsi="Calibri" w:cs="Calibri"/>
                <w:color w:val="000000"/>
                <w:sz w:val="22"/>
                <w:szCs w:val="22"/>
              </w:rPr>
              <w:t>performance stability of the tool</w:t>
            </w:r>
            <w:r>
              <w:rPr>
                <w:rFonts w:ascii="Calibri" w:hAnsi="Calibri" w:cs="Calibri"/>
                <w:color w:val="000000"/>
                <w:sz w:val="22"/>
                <w:szCs w:val="22"/>
              </w:rPr>
              <w:t>.</w:t>
            </w:r>
            <w:r w:rsidRPr="002073A5">
              <w:rPr>
                <w:rFonts w:ascii="Calibri" w:hAnsi="Calibri" w:cs="Calibri"/>
                <w:color w:val="000000"/>
                <w:sz w:val="22"/>
                <w:szCs w:val="22"/>
              </w:rPr>
              <w:t> </w:t>
            </w:r>
          </w:p>
          <w:p w14:paraId="6D095CB5" w14:textId="77777777" w:rsidR="00A976B2" w:rsidRPr="002508C8" w:rsidRDefault="00A976B2" w:rsidP="00B409FA">
            <w:pPr>
              <w:pStyle w:val="NormalWeb"/>
              <w:spacing w:before="0" w:beforeAutospacing="0" w:after="0" w:afterAutospacing="0"/>
              <w:rPr>
                <w:rFonts w:ascii="Calibri" w:hAnsi="Calibri" w:cs="Calibri"/>
                <w:color w:val="000000"/>
                <w:sz w:val="22"/>
                <w:szCs w:val="22"/>
              </w:rPr>
            </w:pPr>
          </w:p>
          <w:p w14:paraId="1B36799A" w14:textId="77777777" w:rsidR="00A976B2" w:rsidRPr="002508C8" w:rsidRDefault="00A976B2" w:rsidP="00B409FA">
            <w:pPr>
              <w:pStyle w:val="NormalWeb"/>
              <w:spacing w:before="0" w:beforeAutospacing="0" w:after="0" w:afterAutospacing="0"/>
              <w:rPr>
                <w:rFonts w:ascii="Calibri" w:hAnsi="Calibri" w:cs="Calibri"/>
                <w:sz w:val="22"/>
                <w:szCs w:val="22"/>
              </w:rPr>
            </w:pPr>
            <w:r w:rsidRPr="002508C8">
              <w:rPr>
                <w:rFonts w:ascii="Calibri" w:hAnsi="Calibri" w:cs="Calibri"/>
                <w:color w:val="000000"/>
                <w:sz w:val="22"/>
                <w:szCs w:val="22"/>
              </w:rPr>
              <w:t>Further, the use of an ICC coefficient between observers was coded as inter-rater reliability. For example, see references 24 and 37.</w:t>
            </w:r>
          </w:p>
          <w:p w14:paraId="13E3C783"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 </w:t>
            </w:r>
          </w:p>
        </w:tc>
      </w:tr>
      <w:tr w:rsidR="00A976B2" w:rsidRPr="002508C8" w14:paraId="424345A7" w14:textId="77777777" w:rsidTr="00B409FA">
        <w:trPr>
          <w:cantSplit/>
          <w:trHeight w:val="265"/>
        </w:trPr>
        <w:tc>
          <w:tcPr>
            <w:tcW w:w="5000" w:type="pct"/>
            <w:gridSpan w:val="2"/>
            <w:shd w:val="clear" w:color="auto" w:fill="auto"/>
          </w:tcPr>
          <w:p w14:paraId="0708717E" w14:textId="77777777" w:rsidR="00A976B2" w:rsidRPr="002508C8" w:rsidRDefault="00A976B2" w:rsidP="00B409FA">
            <w:pPr>
              <w:spacing w:after="0" w:line="240" w:lineRule="auto"/>
              <w:contextualSpacing/>
              <w:rPr>
                <w:rFonts w:cs="Calibri"/>
                <w:b/>
                <w:bCs/>
                <w:i/>
                <w:color w:val="000000"/>
                <w:sz w:val="22"/>
                <w:lang w:eastAsia="en-AU"/>
              </w:rPr>
            </w:pPr>
            <w:bookmarkStart w:id="0" w:name="_Hlk134177597"/>
            <w:r w:rsidRPr="002508C8">
              <w:rPr>
                <w:rFonts w:cs="Calibri"/>
                <w:b/>
                <w:bCs/>
                <w:i/>
                <w:color w:val="000000"/>
                <w:sz w:val="22"/>
                <w:lang w:eastAsia="en-AU"/>
              </w:rPr>
              <w:t>Assessment tool criteria</w:t>
            </w:r>
          </w:p>
          <w:p w14:paraId="69F6A7B7" w14:textId="77777777" w:rsidR="00A976B2" w:rsidRPr="002508C8" w:rsidRDefault="00A976B2" w:rsidP="00B409FA">
            <w:pPr>
              <w:spacing w:after="0" w:line="240" w:lineRule="auto"/>
              <w:contextualSpacing/>
              <w:rPr>
                <w:rFonts w:cs="Calibri"/>
                <w:b/>
                <w:bCs/>
                <w:i/>
                <w:color w:val="000000"/>
                <w:sz w:val="22"/>
                <w:lang w:eastAsia="en-AU"/>
              </w:rPr>
            </w:pPr>
          </w:p>
          <w:p w14:paraId="368D197B"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All assessment criteria </w:t>
            </w:r>
            <w:r>
              <w:rPr>
                <w:rFonts w:cs="Calibri"/>
                <w:bCs/>
                <w:sz w:val="22"/>
                <w:lang w:eastAsia="en-AU"/>
              </w:rPr>
              <w:t>were</w:t>
            </w:r>
            <w:r w:rsidRPr="002508C8">
              <w:rPr>
                <w:rFonts w:cs="Calibri"/>
                <w:bCs/>
                <w:sz w:val="22"/>
                <w:lang w:eastAsia="en-AU"/>
              </w:rPr>
              <w:t xml:space="preserve"> reviewed to identify the following. </w:t>
            </w:r>
          </w:p>
          <w:p w14:paraId="5E176324" w14:textId="77777777" w:rsidR="00A976B2" w:rsidRPr="002508C8" w:rsidRDefault="00A976B2" w:rsidP="00B409FA">
            <w:pPr>
              <w:spacing w:after="0" w:line="240" w:lineRule="auto"/>
              <w:contextualSpacing/>
              <w:rPr>
                <w:rFonts w:cs="Calibri"/>
                <w:b/>
                <w:bCs/>
                <w:i/>
                <w:sz w:val="22"/>
                <w:lang w:eastAsia="en-AU"/>
              </w:rPr>
            </w:pPr>
          </w:p>
        </w:tc>
      </w:tr>
      <w:tr w:rsidR="00A976B2" w:rsidRPr="002508C8" w14:paraId="7E4EDCA1" w14:textId="77777777" w:rsidTr="00B409FA">
        <w:trPr>
          <w:cantSplit/>
          <w:trHeight w:val="265"/>
        </w:trPr>
        <w:tc>
          <w:tcPr>
            <w:tcW w:w="1003" w:type="pct"/>
            <w:shd w:val="clear" w:color="auto" w:fill="auto"/>
          </w:tcPr>
          <w:p w14:paraId="29D3EEE3"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On-the-ball skills</w:t>
            </w:r>
          </w:p>
        </w:tc>
        <w:tc>
          <w:tcPr>
            <w:tcW w:w="3997" w:type="pct"/>
            <w:shd w:val="clear" w:color="auto" w:fill="auto"/>
          </w:tcPr>
          <w:p w14:paraId="42803E6D"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on-the-ball skills within the assessment criteria that include actions of receiving, dribbling, passing, scoring and defending. This criterion may be assessed independent of any other criterion, as in the GPAI (50), or within the criterion of decision-making, as in the </w:t>
            </w:r>
            <w:r>
              <w:rPr>
                <w:rFonts w:cs="Calibri"/>
                <w:bCs/>
                <w:sz w:val="22"/>
                <w:lang w:eastAsia="en-AU"/>
              </w:rPr>
              <w:t>Coding Instrument</w:t>
            </w:r>
            <w:r w:rsidRPr="002508C8">
              <w:rPr>
                <w:rFonts w:cs="Calibri"/>
                <w:bCs/>
                <w:sz w:val="22"/>
                <w:lang w:eastAsia="en-AU"/>
              </w:rPr>
              <w:t xml:space="preserve"> (4).</w:t>
            </w:r>
          </w:p>
          <w:p w14:paraId="4CE7ABC5" w14:textId="77777777" w:rsidR="00A976B2" w:rsidRPr="002508C8" w:rsidRDefault="00A976B2" w:rsidP="00B409FA">
            <w:pPr>
              <w:spacing w:after="0" w:line="240" w:lineRule="auto"/>
              <w:contextualSpacing/>
              <w:rPr>
                <w:rFonts w:cs="Calibri"/>
                <w:bCs/>
                <w:sz w:val="22"/>
                <w:lang w:eastAsia="en-AU"/>
              </w:rPr>
            </w:pPr>
          </w:p>
          <w:p w14:paraId="6EB58C0A"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Of note, the five named on-the-ball skills below are only coded when assessed from a skill execution perspective (that is, not if they are named within decision-making).</w:t>
            </w:r>
          </w:p>
          <w:p w14:paraId="45CA55EA" w14:textId="77777777" w:rsidR="00A976B2" w:rsidRPr="002508C8" w:rsidRDefault="00A976B2" w:rsidP="00B409FA">
            <w:pPr>
              <w:spacing w:after="0" w:line="240" w:lineRule="auto"/>
              <w:contextualSpacing/>
              <w:rPr>
                <w:rFonts w:cs="Calibri"/>
                <w:bCs/>
                <w:i/>
                <w:sz w:val="22"/>
                <w:lang w:eastAsia="en-AU"/>
              </w:rPr>
            </w:pPr>
          </w:p>
        </w:tc>
      </w:tr>
      <w:tr w:rsidR="00A976B2" w:rsidRPr="002508C8" w14:paraId="76DBC56C" w14:textId="77777777" w:rsidTr="00B409FA">
        <w:trPr>
          <w:cantSplit/>
          <w:trHeight w:val="265"/>
        </w:trPr>
        <w:tc>
          <w:tcPr>
            <w:tcW w:w="1003" w:type="pct"/>
            <w:shd w:val="clear" w:color="auto" w:fill="auto"/>
          </w:tcPr>
          <w:p w14:paraId="3272F889"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lastRenderedPageBreak/>
              <w:t>Receive</w:t>
            </w:r>
          </w:p>
        </w:tc>
        <w:tc>
          <w:tcPr>
            <w:tcW w:w="3997" w:type="pct"/>
            <w:shd w:val="clear" w:color="auto" w:fill="auto"/>
          </w:tcPr>
          <w:p w14:paraId="7FB576E8"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Any reference to the action of a catch, reception, possession or ball control that comes from a team-mate that does not create a score. This includes balls received in open play where the ball was not in possession of either team (termed a ‘loose ball’ in reference 10).</w:t>
            </w:r>
          </w:p>
          <w:p w14:paraId="6F9FABFF" w14:textId="77777777" w:rsidR="00A976B2" w:rsidRPr="002508C8" w:rsidRDefault="00A976B2" w:rsidP="00B409FA">
            <w:pPr>
              <w:spacing w:after="0" w:line="240" w:lineRule="auto"/>
              <w:contextualSpacing/>
              <w:rPr>
                <w:rFonts w:cs="Calibri"/>
                <w:bCs/>
                <w:sz w:val="22"/>
                <w:lang w:eastAsia="en-AU"/>
              </w:rPr>
            </w:pPr>
          </w:p>
          <w:p w14:paraId="5B965071"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It excludes any act of stealing or intercepting which is coded as defend. This is best demonstrated in the TSAP that codes a received ball (from own team) and conquered ball (from opposition) as two separate criteria. As with all five named on-the-ball skills, this is not reported if assessed within decision-making.</w:t>
            </w:r>
          </w:p>
          <w:p w14:paraId="3098F42A" w14:textId="77777777" w:rsidR="00A976B2" w:rsidRPr="002508C8" w:rsidRDefault="00A976B2" w:rsidP="00B409FA">
            <w:pPr>
              <w:spacing w:after="0" w:line="240" w:lineRule="auto"/>
              <w:contextualSpacing/>
              <w:rPr>
                <w:rFonts w:cs="Calibri"/>
                <w:bCs/>
                <w:sz w:val="22"/>
                <w:lang w:eastAsia="en-AU"/>
              </w:rPr>
            </w:pPr>
          </w:p>
        </w:tc>
      </w:tr>
      <w:tr w:rsidR="00A976B2" w:rsidRPr="002508C8" w14:paraId="48C9BBEB" w14:textId="77777777" w:rsidTr="00B409FA">
        <w:trPr>
          <w:cantSplit/>
          <w:trHeight w:val="265"/>
        </w:trPr>
        <w:tc>
          <w:tcPr>
            <w:tcW w:w="1003" w:type="pct"/>
            <w:shd w:val="clear" w:color="auto" w:fill="auto"/>
          </w:tcPr>
          <w:p w14:paraId="6831BC17"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Dribble</w:t>
            </w:r>
          </w:p>
        </w:tc>
        <w:tc>
          <w:tcPr>
            <w:tcW w:w="3997" w:type="pct"/>
            <w:shd w:val="clear" w:color="auto" w:fill="auto"/>
          </w:tcPr>
          <w:p w14:paraId="5709A1EF"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Any reference to the action of dribbling, carrying, maintaining possession or running with the ball that does not create a score. As with all five named on-the-ball skills, this is not reported if assessed within decision-making.</w:t>
            </w:r>
          </w:p>
          <w:p w14:paraId="27963706" w14:textId="77777777" w:rsidR="00A976B2" w:rsidRPr="002508C8" w:rsidRDefault="00A976B2" w:rsidP="00B409FA">
            <w:pPr>
              <w:spacing w:after="0" w:line="240" w:lineRule="auto"/>
              <w:contextualSpacing/>
              <w:rPr>
                <w:rFonts w:cs="Calibri"/>
                <w:bCs/>
                <w:sz w:val="22"/>
                <w:lang w:eastAsia="en-AU"/>
              </w:rPr>
            </w:pPr>
          </w:p>
        </w:tc>
      </w:tr>
      <w:tr w:rsidR="00A976B2" w:rsidRPr="002508C8" w14:paraId="61F1F914" w14:textId="77777777" w:rsidTr="00B409FA">
        <w:trPr>
          <w:cantSplit/>
          <w:trHeight w:val="265"/>
        </w:trPr>
        <w:tc>
          <w:tcPr>
            <w:tcW w:w="1003" w:type="pct"/>
            <w:shd w:val="clear" w:color="auto" w:fill="auto"/>
          </w:tcPr>
          <w:p w14:paraId="7E3AFEEF"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Pass</w:t>
            </w:r>
          </w:p>
        </w:tc>
        <w:tc>
          <w:tcPr>
            <w:tcW w:w="3997" w:type="pct"/>
            <w:shd w:val="clear" w:color="auto" w:fill="auto"/>
          </w:tcPr>
          <w:p w14:paraId="38530B7D"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Any reference to the action of a pass, kick or throw that does not create a score. As with all five named on-the-ball skills, this is not reported if assessed within decision-making.</w:t>
            </w:r>
          </w:p>
          <w:p w14:paraId="64EC8D34" w14:textId="77777777" w:rsidR="00A976B2" w:rsidRPr="002508C8" w:rsidRDefault="00A976B2" w:rsidP="00B409FA">
            <w:pPr>
              <w:spacing w:after="0" w:line="240" w:lineRule="auto"/>
              <w:contextualSpacing/>
              <w:rPr>
                <w:rFonts w:cs="Calibri"/>
                <w:bCs/>
                <w:sz w:val="22"/>
                <w:lang w:eastAsia="en-AU"/>
              </w:rPr>
            </w:pPr>
          </w:p>
        </w:tc>
      </w:tr>
      <w:tr w:rsidR="00A976B2" w:rsidRPr="002508C8" w14:paraId="7733A30C" w14:textId="77777777" w:rsidTr="00B409FA">
        <w:trPr>
          <w:cantSplit/>
          <w:trHeight w:val="265"/>
        </w:trPr>
        <w:tc>
          <w:tcPr>
            <w:tcW w:w="1003" w:type="pct"/>
            <w:shd w:val="clear" w:color="auto" w:fill="auto"/>
          </w:tcPr>
          <w:p w14:paraId="1AED5167"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Score</w:t>
            </w:r>
          </w:p>
        </w:tc>
        <w:tc>
          <w:tcPr>
            <w:tcW w:w="3997" w:type="pct"/>
            <w:shd w:val="clear" w:color="auto" w:fill="auto"/>
          </w:tcPr>
          <w:p w14:paraId="1D58ADCB"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Any reference to the action of a score/shot. As with all five named on-the-ball skills, this is not reported if assessed within decision-making.</w:t>
            </w:r>
          </w:p>
          <w:p w14:paraId="6E100242" w14:textId="77777777" w:rsidR="00A976B2" w:rsidRPr="002508C8" w:rsidRDefault="00A976B2" w:rsidP="00B409FA">
            <w:pPr>
              <w:spacing w:after="0" w:line="240" w:lineRule="auto"/>
              <w:contextualSpacing/>
              <w:rPr>
                <w:rFonts w:cs="Calibri"/>
                <w:bCs/>
                <w:sz w:val="22"/>
                <w:lang w:eastAsia="en-AU"/>
              </w:rPr>
            </w:pPr>
          </w:p>
        </w:tc>
      </w:tr>
      <w:tr w:rsidR="00A976B2" w:rsidRPr="002508C8" w14:paraId="7FFA0D46" w14:textId="77777777" w:rsidTr="00B409FA">
        <w:trPr>
          <w:cantSplit/>
          <w:trHeight w:val="265"/>
        </w:trPr>
        <w:tc>
          <w:tcPr>
            <w:tcW w:w="1003" w:type="pct"/>
            <w:shd w:val="clear" w:color="auto" w:fill="auto"/>
          </w:tcPr>
          <w:p w14:paraId="1302F3FB"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Defend</w:t>
            </w:r>
          </w:p>
        </w:tc>
        <w:tc>
          <w:tcPr>
            <w:tcW w:w="3997" w:type="pct"/>
            <w:shd w:val="clear" w:color="auto" w:fill="auto"/>
          </w:tcPr>
          <w:p w14:paraId="735697F5"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Any reference to defensive actions, for example, tackle, deflect, intercept, save goal or defensive pressure. As with all five named on-the-ball skills, this is not reported if assessed within decision-making.</w:t>
            </w:r>
          </w:p>
          <w:p w14:paraId="5C107F8C" w14:textId="77777777" w:rsidR="00A976B2" w:rsidRPr="002508C8" w:rsidRDefault="00A976B2" w:rsidP="00B409FA">
            <w:pPr>
              <w:spacing w:after="0" w:line="240" w:lineRule="auto"/>
              <w:contextualSpacing/>
              <w:rPr>
                <w:rFonts w:cs="Calibri"/>
                <w:bCs/>
                <w:sz w:val="22"/>
                <w:lang w:eastAsia="en-AU"/>
              </w:rPr>
            </w:pPr>
          </w:p>
        </w:tc>
      </w:tr>
      <w:tr w:rsidR="00A976B2" w:rsidRPr="002508C8" w14:paraId="176FAAE4" w14:textId="77777777" w:rsidTr="00B409FA">
        <w:trPr>
          <w:cantSplit/>
          <w:trHeight w:val="532"/>
        </w:trPr>
        <w:tc>
          <w:tcPr>
            <w:tcW w:w="1003" w:type="pct"/>
            <w:shd w:val="clear" w:color="auto" w:fill="auto"/>
          </w:tcPr>
          <w:p w14:paraId="36DC3A74"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Off-the-ball movement</w:t>
            </w:r>
          </w:p>
        </w:tc>
        <w:tc>
          <w:tcPr>
            <w:tcW w:w="3997" w:type="pct"/>
            <w:shd w:val="clear" w:color="auto" w:fill="auto"/>
          </w:tcPr>
          <w:p w14:paraId="39BB5014" w14:textId="4C705F0F"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off-the-ball behaviours, movement patterns/skills, positioning, </w:t>
            </w:r>
            <w:r w:rsidR="00743C15" w:rsidRPr="002508C8">
              <w:rPr>
                <w:rFonts w:cs="Calibri"/>
                <w:bCs/>
                <w:sz w:val="22"/>
                <w:lang w:eastAsia="en-AU"/>
              </w:rPr>
              <w:t>support,</w:t>
            </w:r>
            <w:r w:rsidRPr="002508C8">
              <w:rPr>
                <w:rFonts w:cs="Calibri"/>
                <w:bCs/>
                <w:sz w:val="22"/>
                <w:lang w:eastAsia="en-AU"/>
              </w:rPr>
              <w:t xml:space="preserve"> or cover. This may be assessed independent of any other criterion, as in the GPAI (50), or within the criterion of decision-making, as in the </w:t>
            </w:r>
            <w:r>
              <w:rPr>
                <w:rFonts w:cs="Calibri"/>
                <w:bCs/>
                <w:sz w:val="22"/>
                <w:lang w:eastAsia="en-AU"/>
              </w:rPr>
              <w:t>Coding Instrument</w:t>
            </w:r>
            <w:r w:rsidRPr="002508C8">
              <w:rPr>
                <w:rFonts w:cs="Calibri"/>
                <w:bCs/>
                <w:sz w:val="22"/>
                <w:lang w:eastAsia="en-AU"/>
              </w:rPr>
              <w:t xml:space="preserve"> (4).</w:t>
            </w:r>
          </w:p>
          <w:p w14:paraId="61FBE43C" w14:textId="77777777" w:rsidR="00A976B2" w:rsidRPr="002508C8" w:rsidRDefault="00A976B2" w:rsidP="00B409FA">
            <w:pPr>
              <w:spacing w:after="0" w:line="240" w:lineRule="auto"/>
              <w:contextualSpacing/>
              <w:rPr>
                <w:rFonts w:cs="Calibri"/>
                <w:bCs/>
                <w:sz w:val="22"/>
                <w:lang w:eastAsia="en-AU"/>
              </w:rPr>
            </w:pPr>
          </w:p>
        </w:tc>
      </w:tr>
      <w:tr w:rsidR="00A976B2" w:rsidRPr="002508C8" w14:paraId="5921441B" w14:textId="77777777" w:rsidTr="00B409FA">
        <w:trPr>
          <w:cantSplit/>
          <w:trHeight w:val="532"/>
        </w:trPr>
        <w:tc>
          <w:tcPr>
            <w:tcW w:w="1003" w:type="pct"/>
            <w:shd w:val="clear" w:color="auto" w:fill="auto"/>
          </w:tcPr>
          <w:p w14:paraId="31FB9F2E" w14:textId="77777777" w:rsidR="00A976B2" w:rsidRPr="002508C8" w:rsidRDefault="00A976B2" w:rsidP="00A976B2">
            <w:pPr>
              <w:pStyle w:val="ListParagraph"/>
              <w:numPr>
                <w:ilvl w:val="0"/>
                <w:numId w:val="1"/>
              </w:numPr>
              <w:spacing w:after="0" w:line="240" w:lineRule="auto"/>
              <w:rPr>
                <w:rFonts w:cs="Calibri"/>
                <w:bCs/>
                <w:color w:val="000000"/>
                <w:sz w:val="22"/>
                <w:lang w:eastAsia="en-AU"/>
              </w:rPr>
            </w:pPr>
            <w:r w:rsidRPr="002508C8">
              <w:rPr>
                <w:rFonts w:cs="Calibri"/>
                <w:bCs/>
                <w:color w:val="000000"/>
                <w:sz w:val="22"/>
                <w:lang w:eastAsia="en-AU"/>
              </w:rPr>
              <w:t xml:space="preserve">Decision-making </w:t>
            </w:r>
          </w:p>
        </w:tc>
        <w:tc>
          <w:tcPr>
            <w:tcW w:w="3997" w:type="pct"/>
            <w:shd w:val="clear" w:color="auto" w:fill="auto"/>
          </w:tcPr>
          <w:p w14:paraId="1D1683F3"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decision-making/selection/or making choices within the assessment criteria. </w:t>
            </w:r>
          </w:p>
          <w:p w14:paraId="03D0CBC3" w14:textId="77777777" w:rsidR="00A976B2" w:rsidRPr="002508C8" w:rsidRDefault="00A976B2" w:rsidP="00B409FA">
            <w:pPr>
              <w:spacing w:after="0" w:line="240" w:lineRule="auto"/>
              <w:contextualSpacing/>
              <w:rPr>
                <w:rFonts w:cs="Calibri"/>
                <w:bCs/>
                <w:sz w:val="22"/>
                <w:lang w:eastAsia="en-AU"/>
              </w:rPr>
            </w:pPr>
          </w:p>
          <w:p w14:paraId="7C259A14"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As an example of not coding DM, reference 5 suggested players/coaches felt the tool assessed decision-making similar to match play (p.81), but on p.80 only kicking total and efficiency are indicated as criteria.</w:t>
            </w:r>
          </w:p>
          <w:p w14:paraId="4994F1D8" w14:textId="77777777" w:rsidR="00A976B2" w:rsidRPr="002508C8" w:rsidRDefault="00A976B2" w:rsidP="00B409FA">
            <w:pPr>
              <w:spacing w:after="0" w:line="240" w:lineRule="auto"/>
              <w:contextualSpacing/>
              <w:rPr>
                <w:rFonts w:cs="Calibri"/>
                <w:bCs/>
                <w:sz w:val="22"/>
                <w:lang w:eastAsia="en-AU"/>
              </w:rPr>
            </w:pPr>
          </w:p>
          <w:p w14:paraId="720EB99E"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Decision-making is invariably based on on-the-ball skills and/or off-the ball movement. In both cases, on-the-ball skills and off-the ball movement are also coded. </w:t>
            </w:r>
          </w:p>
          <w:p w14:paraId="39F3CD8C" w14:textId="77777777" w:rsidR="00A976B2" w:rsidRPr="002508C8" w:rsidRDefault="00A976B2" w:rsidP="00B409FA">
            <w:pPr>
              <w:spacing w:after="0" w:line="240" w:lineRule="auto"/>
              <w:contextualSpacing/>
              <w:rPr>
                <w:rFonts w:cs="Calibri"/>
                <w:bCs/>
                <w:sz w:val="22"/>
                <w:lang w:eastAsia="en-AU"/>
              </w:rPr>
            </w:pPr>
          </w:p>
        </w:tc>
      </w:tr>
      <w:tr w:rsidR="00A976B2" w:rsidRPr="002508C8" w14:paraId="523EF379" w14:textId="77777777" w:rsidTr="00B409FA">
        <w:trPr>
          <w:cantSplit/>
          <w:trHeight w:val="532"/>
        </w:trPr>
        <w:tc>
          <w:tcPr>
            <w:tcW w:w="1003" w:type="pct"/>
            <w:shd w:val="clear" w:color="auto" w:fill="auto"/>
          </w:tcPr>
          <w:p w14:paraId="6C3EAE40"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color w:val="000000"/>
                <w:sz w:val="22"/>
                <w:lang w:eastAsia="en-AU"/>
              </w:rPr>
              <w:t>‘Other’ criteria</w:t>
            </w:r>
          </w:p>
        </w:tc>
        <w:tc>
          <w:tcPr>
            <w:tcW w:w="3997" w:type="pct"/>
            <w:shd w:val="clear" w:color="auto" w:fill="auto"/>
          </w:tcPr>
          <w:p w14:paraId="3BAFC36A" w14:textId="67C2460E"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criteria that cannot be classified as on-the-ball skills, off-the-ball </w:t>
            </w:r>
            <w:r w:rsidR="00743C15" w:rsidRPr="002508C8">
              <w:rPr>
                <w:rFonts w:cs="Calibri"/>
                <w:bCs/>
                <w:sz w:val="22"/>
                <w:lang w:eastAsia="en-AU"/>
              </w:rPr>
              <w:t>movement,</w:t>
            </w:r>
            <w:r w:rsidRPr="002508C8">
              <w:rPr>
                <w:rFonts w:cs="Calibri"/>
                <w:bCs/>
                <w:sz w:val="22"/>
                <w:lang w:eastAsia="en-AU"/>
              </w:rPr>
              <w:t xml:space="preserve"> or decision-making. </w:t>
            </w:r>
          </w:p>
          <w:p w14:paraId="60E87E37" w14:textId="77777777" w:rsidR="00A976B2" w:rsidRPr="002508C8" w:rsidRDefault="00A976B2" w:rsidP="00B409FA">
            <w:pPr>
              <w:spacing w:after="0" w:line="240" w:lineRule="auto"/>
              <w:contextualSpacing/>
              <w:rPr>
                <w:rFonts w:cs="Calibri"/>
                <w:bCs/>
                <w:sz w:val="22"/>
                <w:lang w:eastAsia="en-AU"/>
              </w:rPr>
            </w:pPr>
          </w:p>
        </w:tc>
      </w:tr>
      <w:bookmarkEnd w:id="0"/>
      <w:tr w:rsidR="00A976B2" w:rsidRPr="002508C8" w14:paraId="73F02B4C" w14:textId="77777777" w:rsidTr="00B409FA">
        <w:trPr>
          <w:cantSplit/>
          <w:trHeight w:val="265"/>
        </w:trPr>
        <w:tc>
          <w:tcPr>
            <w:tcW w:w="5000" w:type="pct"/>
            <w:gridSpan w:val="2"/>
            <w:shd w:val="clear" w:color="auto" w:fill="auto"/>
          </w:tcPr>
          <w:p w14:paraId="540F4D96" w14:textId="77777777" w:rsidR="00A976B2" w:rsidRPr="002508C8" w:rsidRDefault="00A976B2" w:rsidP="00B409FA">
            <w:pPr>
              <w:spacing w:after="0" w:line="240" w:lineRule="auto"/>
              <w:contextualSpacing/>
              <w:rPr>
                <w:rFonts w:cs="Calibri"/>
                <w:b/>
                <w:bCs/>
                <w:i/>
                <w:sz w:val="22"/>
                <w:lang w:eastAsia="en-AU"/>
              </w:rPr>
            </w:pPr>
            <w:r w:rsidRPr="002508C8">
              <w:rPr>
                <w:rFonts w:cs="Calibri"/>
                <w:b/>
                <w:bCs/>
                <w:i/>
                <w:sz w:val="22"/>
                <w:lang w:eastAsia="en-AU"/>
              </w:rPr>
              <w:t>Assessment tool applications</w:t>
            </w:r>
          </w:p>
          <w:p w14:paraId="6A204B28" w14:textId="77777777" w:rsidR="00A976B2" w:rsidRPr="002508C8" w:rsidRDefault="00A976B2" w:rsidP="00B409FA">
            <w:pPr>
              <w:spacing w:after="0" w:line="240" w:lineRule="auto"/>
              <w:contextualSpacing/>
              <w:rPr>
                <w:rFonts w:cs="Calibri"/>
                <w:b/>
                <w:bCs/>
                <w:i/>
                <w:sz w:val="22"/>
                <w:lang w:eastAsia="en-AU"/>
              </w:rPr>
            </w:pPr>
          </w:p>
        </w:tc>
      </w:tr>
      <w:tr w:rsidR="00A976B2" w:rsidRPr="002508C8" w14:paraId="473E648F" w14:textId="77777777" w:rsidTr="00B409FA">
        <w:trPr>
          <w:cantSplit/>
          <w:trHeight w:val="279"/>
        </w:trPr>
        <w:tc>
          <w:tcPr>
            <w:tcW w:w="1003" w:type="pct"/>
            <w:shd w:val="clear" w:color="auto" w:fill="auto"/>
          </w:tcPr>
          <w:p w14:paraId="5FBA06C8" w14:textId="77777777" w:rsidR="00A976B2" w:rsidRPr="002508C8" w:rsidRDefault="00A976B2" w:rsidP="00A976B2">
            <w:pPr>
              <w:pStyle w:val="ListParagraph"/>
              <w:numPr>
                <w:ilvl w:val="0"/>
                <w:numId w:val="1"/>
              </w:numPr>
              <w:spacing w:after="0" w:line="240" w:lineRule="auto"/>
              <w:rPr>
                <w:rFonts w:cs="Calibri"/>
                <w:bCs/>
                <w:sz w:val="22"/>
                <w:lang w:eastAsia="en-AU"/>
              </w:rPr>
            </w:pPr>
            <w:r>
              <w:rPr>
                <w:rFonts w:cs="Calibri"/>
                <w:bCs/>
                <w:sz w:val="22"/>
                <w:lang w:eastAsia="en-AU"/>
              </w:rPr>
              <w:lastRenderedPageBreak/>
              <w:t>Study aim (abbreviated)</w:t>
            </w:r>
          </w:p>
        </w:tc>
        <w:tc>
          <w:tcPr>
            <w:tcW w:w="3997" w:type="pct"/>
            <w:shd w:val="clear" w:color="auto" w:fill="auto"/>
          </w:tcPr>
          <w:p w14:paraId="7EA31060" w14:textId="77777777" w:rsidR="00A976B2" w:rsidRDefault="00A976B2" w:rsidP="00B409FA">
            <w:pPr>
              <w:spacing w:after="0" w:line="240" w:lineRule="auto"/>
              <w:contextualSpacing/>
              <w:rPr>
                <w:rFonts w:cs="Calibri"/>
                <w:bCs/>
                <w:sz w:val="22"/>
                <w:lang w:eastAsia="en-AU"/>
              </w:rPr>
            </w:pPr>
            <w:r>
              <w:rPr>
                <w:rFonts w:cs="Calibri"/>
                <w:bCs/>
                <w:sz w:val="22"/>
                <w:lang w:eastAsia="en-AU"/>
              </w:rPr>
              <w:t xml:space="preserve">A concise statement that captured the most relevant study aim pertaining to the assessment of game performance. </w:t>
            </w:r>
          </w:p>
          <w:p w14:paraId="50B83E64" w14:textId="77777777" w:rsidR="00A976B2" w:rsidRPr="002508C8" w:rsidRDefault="00A976B2" w:rsidP="00B409FA">
            <w:pPr>
              <w:spacing w:after="0" w:line="240" w:lineRule="auto"/>
              <w:contextualSpacing/>
              <w:rPr>
                <w:rFonts w:cs="Calibri"/>
                <w:bCs/>
                <w:sz w:val="22"/>
                <w:lang w:eastAsia="en-AU"/>
              </w:rPr>
            </w:pPr>
          </w:p>
        </w:tc>
      </w:tr>
      <w:tr w:rsidR="00A976B2" w:rsidRPr="002508C8" w14:paraId="4B3809BE" w14:textId="77777777" w:rsidTr="00B409FA">
        <w:trPr>
          <w:cantSplit/>
          <w:trHeight w:val="279"/>
        </w:trPr>
        <w:tc>
          <w:tcPr>
            <w:tcW w:w="1003" w:type="pct"/>
            <w:shd w:val="clear" w:color="auto" w:fill="auto"/>
          </w:tcPr>
          <w:p w14:paraId="3FA4A0CF" w14:textId="77777777" w:rsidR="00A976B2" w:rsidRPr="002508C8" w:rsidRDefault="00A976B2" w:rsidP="00A976B2">
            <w:pPr>
              <w:pStyle w:val="ListParagraph"/>
              <w:numPr>
                <w:ilvl w:val="0"/>
                <w:numId w:val="1"/>
              </w:numPr>
              <w:spacing w:after="0" w:line="240" w:lineRule="auto"/>
              <w:rPr>
                <w:rFonts w:cs="Calibri"/>
                <w:bCs/>
                <w:sz w:val="22"/>
                <w:lang w:eastAsia="en-AU"/>
              </w:rPr>
            </w:pPr>
            <w:r>
              <w:rPr>
                <w:rFonts w:cs="Calibri"/>
                <w:bCs/>
                <w:sz w:val="22"/>
                <w:lang w:eastAsia="en-AU"/>
              </w:rPr>
              <w:t>Sample size</w:t>
            </w:r>
          </w:p>
        </w:tc>
        <w:tc>
          <w:tcPr>
            <w:tcW w:w="3997" w:type="pct"/>
            <w:shd w:val="clear" w:color="auto" w:fill="auto"/>
          </w:tcPr>
          <w:p w14:paraId="29B9FD64"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The total number of participants used to generate the assessment data for the </w:t>
            </w:r>
            <w:r>
              <w:rPr>
                <w:rFonts w:cs="Calibri"/>
                <w:bCs/>
                <w:sz w:val="22"/>
                <w:lang w:eastAsia="en-AU"/>
              </w:rPr>
              <w:t xml:space="preserve">GS </w:t>
            </w:r>
            <w:r w:rsidRPr="002508C8">
              <w:rPr>
                <w:rFonts w:cs="Calibri"/>
                <w:bCs/>
                <w:sz w:val="22"/>
                <w:lang w:eastAsia="en-AU"/>
              </w:rPr>
              <w:t xml:space="preserve">reported. This may be different to a larger total </w:t>
            </w:r>
            <w:r w:rsidRPr="00F141BD">
              <w:rPr>
                <w:rFonts w:cs="Calibri"/>
                <w:bCs/>
                <w:i/>
                <w:sz w:val="22"/>
                <w:lang w:eastAsia="en-AU"/>
              </w:rPr>
              <w:t>n</w:t>
            </w:r>
            <w:r w:rsidRPr="002508C8">
              <w:rPr>
                <w:rFonts w:cs="Calibri"/>
                <w:bCs/>
                <w:sz w:val="22"/>
                <w:lang w:eastAsia="en-AU"/>
              </w:rPr>
              <w:t xml:space="preserve"> reported. </w:t>
            </w:r>
          </w:p>
          <w:p w14:paraId="5F3AB726" w14:textId="77777777" w:rsidR="00A976B2" w:rsidRPr="002508C8" w:rsidRDefault="00A976B2" w:rsidP="00B409FA">
            <w:pPr>
              <w:spacing w:after="0" w:line="240" w:lineRule="auto"/>
              <w:contextualSpacing/>
              <w:rPr>
                <w:rFonts w:cs="Calibri"/>
                <w:bCs/>
                <w:sz w:val="22"/>
                <w:lang w:eastAsia="en-AU"/>
              </w:rPr>
            </w:pPr>
          </w:p>
          <w:p w14:paraId="6A911421"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Where an </w:t>
            </w:r>
            <w:r w:rsidRPr="002508C8">
              <w:rPr>
                <w:rFonts w:cs="Calibri"/>
                <w:bCs/>
                <w:i/>
                <w:sz w:val="22"/>
                <w:lang w:eastAsia="en-AU"/>
              </w:rPr>
              <w:t>n</w:t>
            </w:r>
            <w:r w:rsidRPr="002508C8">
              <w:rPr>
                <w:rFonts w:cs="Calibri"/>
                <w:bCs/>
                <w:sz w:val="22"/>
                <w:lang w:eastAsia="en-AU"/>
              </w:rPr>
              <w:t xml:space="preserve"> was not provided separately for the test and any control group the total </w:t>
            </w:r>
            <w:r w:rsidRPr="002508C8">
              <w:rPr>
                <w:rFonts w:cs="Calibri"/>
                <w:bCs/>
                <w:i/>
                <w:sz w:val="22"/>
                <w:lang w:eastAsia="en-AU"/>
              </w:rPr>
              <w:t>n</w:t>
            </w:r>
            <w:r w:rsidRPr="002508C8">
              <w:rPr>
                <w:rFonts w:cs="Calibri"/>
                <w:bCs/>
                <w:sz w:val="22"/>
                <w:lang w:eastAsia="en-AU"/>
              </w:rPr>
              <w:t xml:space="preserve"> was reported. For example, reference 11.  </w:t>
            </w:r>
          </w:p>
          <w:p w14:paraId="5ABE2255" w14:textId="77777777" w:rsidR="00A976B2" w:rsidRPr="002508C8" w:rsidRDefault="00A976B2" w:rsidP="00B409FA">
            <w:pPr>
              <w:spacing w:after="0" w:line="240" w:lineRule="auto"/>
              <w:contextualSpacing/>
              <w:rPr>
                <w:rFonts w:cs="Calibri"/>
                <w:bCs/>
                <w:sz w:val="22"/>
                <w:lang w:eastAsia="en-AU"/>
              </w:rPr>
            </w:pPr>
          </w:p>
        </w:tc>
      </w:tr>
      <w:tr w:rsidR="00A976B2" w:rsidRPr="002508C8" w14:paraId="63B2DA29" w14:textId="77777777" w:rsidTr="00B409FA">
        <w:trPr>
          <w:cantSplit/>
          <w:trHeight w:val="279"/>
        </w:trPr>
        <w:tc>
          <w:tcPr>
            <w:tcW w:w="1003" w:type="pct"/>
            <w:shd w:val="clear" w:color="auto" w:fill="auto"/>
          </w:tcPr>
          <w:p w14:paraId="3FDAA952"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Gender</w:t>
            </w:r>
          </w:p>
        </w:tc>
        <w:tc>
          <w:tcPr>
            <w:tcW w:w="3997" w:type="pct"/>
            <w:shd w:val="clear" w:color="auto" w:fill="auto"/>
          </w:tcPr>
          <w:p w14:paraId="429E8CD3" w14:textId="77777777" w:rsidR="00A976B2" w:rsidRDefault="00A976B2" w:rsidP="00B409FA">
            <w:pPr>
              <w:spacing w:after="0" w:line="240" w:lineRule="auto"/>
              <w:contextualSpacing/>
              <w:rPr>
                <w:rFonts w:cs="Calibri"/>
                <w:bCs/>
                <w:sz w:val="22"/>
                <w:lang w:eastAsia="en-AU"/>
              </w:rPr>
            </w:pPr>
            <w:r w:rsidRPr="00660763">
              <w:rPr>
                <w:rFonts w:cs="Calibri"/>
                <w:bCs/>
                <w:sz w:val="22"/>
                <w:lang w:eastAsia="en-AU"/>
              </w:rPr>
              <w:t>Gender of participants</w:t>
            </w:r>
            <w:r>
              <w:rPr>
                <w:rFonts w:cs="Calibri"/>
                <w:bCs/>
                <w:sz w:val="22"/>
                <w:lang w:eastAsia="en-AU"/>
              </w:rPr>
              <w:t xml:space="preserve"> (where indicated).</w:t>
            </w:r>
          </w:p>
          <w:p w14:paraId="578D52EB" w14:textId="77777777" w:rsidR="00A976B2" w:rsidRPr="002508C8" w:rsidRDefault="00A976B2" w:rsidP="00B409FA">
            <w:pPr>
              <w:spacing w:after="0" w:line="240" w:lineRule="auto"/>
              <w:contextualSpacing/>
              <w:rPr>
                <w:rFonts w:cs="Calibri"/>
                <w:bCs/>
                <w:sz w:val="22"/>
                <w:lang w:eastAsia="en-AU"/>
              </w:rPr>
            </w:pPr>
          </w:p>
        </w:tc>
      </w:tr>
      <w:tr w:rsidR="00A976B2" w:rsidRPr="002508C8" w14:paraId="752DA036" w14:textId="77777777" w:rsidTr="00B409FA">
        <w:trPr>
          <w:cantSplit/>
          <w:trHeight w:val="279"/>
        </w:trPr>
        <w:tc>
          <w:tcPr>
            <w:tcW w:w="1003" w:type="pct"/>
            <w:shd w:val="clear" w:color="auto" w:fill="auto"/>
          </w:tcPr>
          <w:p w14:paraId="5F683A19"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 xml:space="preserve">Age (years) </w:t>
            </w:r>
          </w:p>
        </w:tc>
        <w:tc>
          <w:tcPr>
            <w:tcW w:w="3997" w:type="pct"/>
            <w:shd w:val="clear" w:color="auto" w:fill="auto"/>
          </w:tcPr>
          <w:p w14:paraId="3C89BDCE" w14:textId="77777777" w:rsidR="00A976B2" w:rsidRPr="002508C8" w:rsidRDefault="00A976B2" w:rsidP="00B409FA">
            <w:pPr>
              <w:pStyle w:val="NormalWeb"/>
              <w:spacing w:before="0" w:beforeAutospacing="0" w:after="0" w:afterAutospacing="0"/>
              <w:rPr>
                <w:rFonts w:ascii="Calibri" w:hAnsi="Calibri" w:cs="Calibri"/>
                <w:color w:val="000000"/>
                <w:sz w:val="22"/>
                <w:szCs w:val="22"/>
              </w:rPr>
            </w:pPr>
            <w:r w:rsidRPr="002508C8">
              <w:rPr>
                <w:rFonts w:ascii="Calibri" w:hAnsi="Calibri" w:cs="Calibri"/>
                <w:bCs/>
                <w:color w:val="000000"/>
                <w:sz w:val="22"/>
                <w:szCs w:val="22"/>
              </w:rPr>
              <w:t xml:space="preserve">The age of all participants in years between ages 5 to 19, or grade/ year/ school level. </w:t>
            </w:r>
            <w:r w:rsidRPr="002508C8">
              <w:rPr>
                <w:rFonts w:ascii="Calibri" w:hAnsi="Calibri" w:cs="Calibri"/>
                <w:color w:val="000000"/>
                <w:sz w:val="22"/>
                <w:szCs w:val="22"/>
              </w:rPr>
              <w:t>Where an age or mean age is reported, this is preferred over an age band. For example, reference 64 is reported as age 9 rather than U/10. The mean will be rounded up. </w:t>
            </w:r>
          </w:p>
          <w:p w14:paraId="0B4350D2" w14:textId="77777777" w:rsidR="00A976B2" w:rsidRPr="002508C8" w:rsidRDefault="00A976B2" w:rsidP="00B409FA">
            <w:pPr>
              <w:pStyle w:val="NormalWeb"/>
              <w:spacing w:before="0" w:beforeAutospacing="0" w:after="0" w:afterAutospacing="0"/>
              <w:rPr>
                <w:rFonts w:ascii="Calibri" w:hAnsi="Calibri" w:cs="Calibri"/>
                <w:sz w:val="22"/>
                <w:szCs w:val="22"/>
              </w:rPr>
            </w:pPr>
          </w:p>
          <w:p w14:paraId="3080389E" w14:textId="77777777" w:rsidR="00A976B2" w:rsidRPr="002508C8" w:rsidRDefault="00A976B2" w:rsidP="00B409FA">
            <w:pPr>
              <w:pStyle w:val="NormalWeb"/>
              <w:spacing w:before="0" w:beforeAutospacing="0" w:after="0" w:afterAutospacing="0"/>
              <w:rPr>
                <w:rFonts w:ascii="Calibri" w:hAnsi="Calibri" w:cs="Calibri"/>
                <w:color w:val="000000"/>
                <w:sz w:val="22"/>
                <w:szCs w:val="22"/>
              </w:rPr>
            </w:pPr>
            <w:r w:rsidRPr="002508C8">
              <w:rPr>
                <w:rFonts w:ascii="Calibri" w:hAnsi="Calibri" w:cs="Calibri"/>
                <w:color w:val="000000"/>
                <w:sz w:val="22"/>
                <w:szCs w:val="22"/>
              </w:rPr>
              <w:t>Where more than two ages or age bands are reported, the range (top and bottom ages) will be reported, for example reference 15 provides mean ages for four bands, so the bottom and top mean age is reported, and reference 12 provides no ages and is reported as U/11 to U/20.</w:t>
            </w:r>
          </w:p>
          <w:p w14:paraId="4208E54F" w14:textId="77777777" w:rsidR="00A976B2" w:rsidRPr="002508C8" w:rsidRDefault="00A976B2" w:rsidP="00B409FA">
            <w:pPr>
              <w:pStyle w:val="NormalWeb"/>
              <w:spacing w:before="0" w:beforeAutospacing="0" w:after="0" w:afterAutospacing="0"/>
              <w:rPr>
                <w:rFonts w:ascii="Calibri" w:hAnsi="Calibri" w:cs="Calibri"/>
                <w:sz w:val="22"/>
                <w:szCs w:val="22"/>
              </w:rPr>
            </w:pPr>
          </w:p>
          <w:p w14:paraId="6A51CE5B" w14:textId="77777777" w:rsidR="00A976B2" w:rsidRPr="002508C8" w:rsidRDefault="00A976B2" w:rsidP="00B409FA">
            <w:pPr>
              <w:pStyle w:val="NormalWeb"/>
              <w:spacing w:before="0" w:beforeAutospacing="0" w:after="0" w:afterAutospacing="0"/>
              <w:rPr>
                <w:rFonts w:ascii="Calibri" w:hAnsi="Calibri" w:cs="Calibri"/>
                <w:sz w:val="22"/>
                <w:szCs w:val="22"/>
              </w:rPr>
            </w:pPr>
            <w:r w:rsidRPr="002508C8">
              <w:rPr>
                <w:rFonts w:ascii="Calibri" w:hAnsi="Calibri" w:cs="Calibri"/>
                <w:color w:val="000000"/>
                <w:sz w:val="22"/>
                <w:szCs w:val="22"/>
              </w:rPr>
              <w:t>Where a grade, year or school type is mentioned without any accompanying ages that will be reported. For example, reference 69 was reported as Grade 6 to 7, reference 72 was reported as High school and reference 53 was reported as Year 11.</w:t>
            </w:r>
          </w:p>
          <w:p w14:paraId="5F665DE9"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 </w:t>
            </w:r>
          </w:p>
        </w:tc>
      </w:tr>
      <w:tr w:rsidR="00A976B2" w:rsidRPr="002508C8" w14:paraId="2506E70E" w14:textId="77777777" w:rsidTr="00B409FA">
        <w:trPr>
          <w:cantSplit/>
          <w:trHeight w:val="279"/>
        </w:trPr>
        <w:tc>
          <w:tcPr>
            <w:tcW w:w="1003" w:type="pct"/>
            <w:shd w:val="clear" w:color="auto" w:fill="auto"/>
          </w:tcPr>
          <w:p w14:paraId="4AC64778" w14:textId="77777777" w:rsidR="00A976B2"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Applied context</w:t>
            </w:r>
          </w:p>
          <w:p w14:paraId="72683F62" w14:textId="77777777" w:rsidR="00743C15" w:rsidRPr="002508C8" w:rsidRDefault="00743C15" w:rsidP="00743C15">
            <w:pPr>
              <w:pStyle w:val="ListParagraph"/>
              <w:spacing w:after="0" w:line="240" w:lineRule="auto"/>
              <w:ind w:left="360"/>
              <w:rPr>
                <w:rFonts w:cs="Calibri"/>
                <w:bCs/>
                <w:sz w:val="22"/>
                <w:lang w:eastAsia="en-AU"/>
              </w:rPr>
            </w:pPr>
          </w:p>
        </w:tc>
        <w:tc>
          <w:tcPr>
            <w:tcW w:w="3997" w:type="pct"/>
            <w:shd w:val="clear" w:color="auto" w:fill="auto"/>
          </w:tcPr>
          <w:p w14:paraId="245497E7"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The context the tool was applied in (community or school). </w:t>
            </w:r>
          </w:p>
          <w:p w14:paraId="5C5431CA" w14:textId="77777777" w:rsidR="00A976B2" w:rsidRPr="002508C8" w:rsidRDefault="00A976B2" w:rsidP="00B409FA">
            <w:pPr>
              <w:spacing w:after="0" w:line="240" w:lineRule="auto"/>
              <w:contextualSpacing/>
              <w:rPr>
                <w:rFonts w:cs="Calibri"/>
                <w:bCs/>
                <w:sz w:val="22"/>
                <w:lang w:eastAsia="en-AU"/>
              </w:rPr>
            </w:pPr>
          </w:p>
        </w:tc>
      </w:tr>
      <w:tr w:rsidR="00A976B2" w:rsidRPr="002508C8" w14:paraId="62795EE5" w14:textId="77777777" w:rsidTr="00B409FA">
        <w:trPr>
          <w:cantSplit/>
          <w:trHeight w:val="265"/>
        </w:trPr>
        <w:tc>
          <w:tcPr>
            <w:tcW w:w="1003" w:type="pct"/>
            <w:shd w:val="clear" w:color="auto" w:fill="auto"/>
          </w:tcPr>
          <w:p w14:paraId="14DAC14E"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 xml:space="preserve">Applied </w:t>
            </w:r>
            <w:r>
              <w:rPr>
                <w:rFonts w:cs="Calibri"/>
                <w:bCs/>
                <w:sz w:val="22"/>
                <w:lang w:eastAsia="en-AU"/>
              </w:rPr>
              <w:t xml:space="preserve">GS </w:t>
            </w:r>
          </w:p>
        </w:tc>
        <w:tc>
          <w:tcPr>
            <w:tcW w:w="3997" w:type="pct"/>
            <w:shd w:val="clear" w:color="auto" w:fill="auto"/>
          </w:tcPr>
          <w:p w14:paraId="2736902C"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The </w:t>
            </w:r>
            <w:r>
              <w:rPr>
                <w:rFonts w:cs="Calibri"/>
                <w:bCs/>
                <w:sz w:val="22"/>
                <w:lang w:eastAsia="en-AU"/>
              </w:rPr>
              <w:t xml:space="preserve">GS </w:t>
            </w:r>
            <w:r w:rsidRPr="002508C8">
              <w:rPr>
                <w:rFonts w:cs="Calibri"/>
                <w:bCs/>
                <w:sz w:val="22"/>
                <w:lang w:eastAsia="en-AU"/>
              </w:rPr>
              <w:t xml:space="preserve">that reports data collected by the tool. </w:t>
            </w:r>
          </w:p>
          <w:p w14:paraId="7345C2B8" w14:textId="77777777" w:rsidR="00A976B2" w:rsidRPr="002508C8" w:rsidRDefault="00A976B2" w:rsidP="00B409FA">
            <w:pPr>
              <w:spacing w:after="0" w:line="240" w:lineRule="auto"/>
              <w:contextualSpacing/>
              <w:rPr>
                <w:rFonts w:cs="Calibri"/>
                <w:bCs/>
                <w:sz w:val="22"/>
                <w:lang w:eastAsia="en-AU"/>
              </w:rPr>
            </w:pPr>
          </w:p>
          <w:p w14:paraId="564C0BC5" w14:textId="3EE642C9"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For simplicity, any subsequent ‘study’ using the same tool within the same reference was excluded. The two instances were reference </w:t>
            </w:r>
            <w:r w:rsidR="004F6085">
              <w:rPr>
                <w:rFonts w:cs="Calibri"/>
                <w:bCs/>
                <w:sz w:val="22"/>
                <w:lang w:eastAsia="en-AU"/>
              </w:rPr>
              <w:t>21</w:t>
            </w:r>
            <w:r w:rsidRPr="002508C8">
              <w:rPr>
                <w:rFonts w:cs="Calibri"/>
                <w:bCs/>
                <w:sz w:val="22"/>
                <w:lang w:eastAsia="en-AU"/>
              </w:rPr>
              <w:t xml:space="preserve"> and reference </w:t>
            </w:r>
            <w:r w:rsidR="004F6085">
              <w:rPr>
                <w:rFonts w:cs="Calibri"/>
                <w:bCs/>
                <w:sz w:val="22"/>
                <w:lang w:eastAsia="en-AU"/>
              </w:rPr>
              <w:t>37</w:t>
            </w:r>
            <w:r w:rsidRPr="002508C8">
              <w:rPr>
                <w:rFonts w:cs="Calibri"/>
                <w:bCs/>
                <w:sz w:val="22"/>
                <w:lang w:eastAsia="en-AU"/>
              </w:rPr>
              <w:t>.</w:t>
            </w:r>
          </w:p>
          <w:p w14:paraId="3E6C7961" w14:textId="77777777" w:rsidR="00A976B2" w:rsidRPr="002508C8" w:rsidRDefault="00A976B2" w:rsidP="00B409FA">
            <w:pPr>
              <w:spacing w:after="0" w:line="240" w:lineRule="auto"/>
              <w:contextualSpacing/>
              <w:rPr>
                <w:rFonts w:cs="Calibri"/>
                <w:bCs/>
                <w:sz w:val="22"/>
                <w:lang w:eastAsia="en-AU"/>
              </w:rPr>
            </w:pPr>
          </w:p>
        </w:tc>
      </w:tr>
      <w:tr w:rsidR="00A976B2" w:rsidRPr="002508C8" w14:paraId="1F81D19B" w14:textId="77777777" w:rsidTr="00B409FA">
        <w:trPr>
          <w:cantSplit/>
          <w:trHeight w:val="265"/>
        </w:trPr>
        <w:tc>
          <w:tcPr>
            <w:tcW w:w="1003" w:type="pct"/>
            <w:shd w:val="clear" w:color="auto" w:fill="auto"/>
          </w:tcPr>
          <w:p w14:paraId="653A5D2B"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Game format</w:t>
            </w:r>
          </w:p>
        </w:tc>
        <w:tc>
          <w:tcPr>
            <w:tcW w:w="3997" w:type="pct"/>
            <w:shd w:val="clear" w:color="auto" w:fill="auto"/>
          </w:tcPr>
          <w:p w14:paraId="0B151CA1"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This involves coding from two options of small-sided game (SSG) or full-sided game (FSG), based on the adult form of the game. </w:t>
            </w:r>
          </w:p>
          <w:p w14:paraId="43F81671" w14:textId="77777777" w:rsidR="00A976B2" w:rsidRPr="002508C8" w:rsidRDefault="00A976B2" w:rsidP="00B409FA">
            <w:pPr>
              <w:spacing w:after="0" w:line="240" w:lineRule="auto"/>
              <w:contextualSpacing/>
              <w:rPr>
                <w:rFonts w:cs="Calibri"/>
                <w:bCs/>
                <w:sz w:val="22"/>
                <w:lang w:eastAsia="en-AU"/>
              </w:rPr>
            </w:pPr>
          </w:p>
        </w:tc>
      </w:tr>
      <w:tr w:rsidR="00A976B2" w:rsidRPr="002508C8" w14:paraId="72A5B89A" w14:textId="77777777" w:rsidTr="00B409FA">
        <w:trPr>
          <w:cantSplit/>
          <w:trHeight w:val="95"/>
        </w:trPr>
        <w:tc>
          <w:tcPr>
            <w:tcW w:w="1003" w:type="pct"/>
            <w:shd w:val="clear" w:color="auto" w:fill="auto"/>
          </w:tcPr>
          <w:p w14:paraId="5252F801"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Observation period</w:t>
            </w:r>
          </w:p>
        </w:tc>
        <w:tc>
          <w:tcPr>
            <w:tcW w:w="3997" w:type="pct"/>
            <w:shd w:val="clear" w:color="auto" w:fill="auto"/>
          </w:tcPr>
          <w:p w14:paraId="54013041" w14:textId="77777777" w:rsidR="00A976B2" w:rsidRPr="002508C8" w:rsidRDefault="00A976B2" w:rsidP="00B409FA">
            <w:pPr>
              <w:spacing w:after="0" w:line="240" w:lineRule="auto"/>
              <w:contextualSpacing/>
              <w:rPr>
                <w:rFonts w:cs="Calibri"/>
                <w:bCs/>
                <w:sz w:val="22"/>
                <w:lang w:eastAsia="en-AU"/>
              </w:rPr>
            </w:pPr>
            <w:r w:rsidRPr="002508C8">
              <w:rPr>
                <w:rFonts w:cs="Calibri"/>
                <w:color w:val="000000"/>
                <w:sz w:val="22"/>
                <w:shd w:val="clear" w:color="auto" w:fill="FFFFFF"/>
              </w:rPr>
              <w:t>The total time (in minutes) that a single player/team is assessed. Where time in minutes cannot be calculated, the figure will be based on the number of plays or matches. The observation period is reported for a single game, game format and reporting period, rather than aggregating any of these data points.</w:t>
            </w:r>
            <w:r w:rsidRPr="002508C8">
              <w:rPr>
                <w:rFonts w:cs="Calibri"/>
                <w:color w:val="222222"/>
                <w:sz w:val="22"/>
                <w:shd w:val="clear" w:color="auto" w:fill="FFFFFF"/>
              </w:rPr>
              <w:t xml:space="preserve"> In some cases, where the observation period cannot be established for </w:t>
            </w:r>
            <w:r w:rsidRPr="002508C8">
              <w:rPr>
                <w:rFonts w:cs="Calibri"/>
                <w:color w:val="000000"/>
                <w:sz w:val="22"/>
                <w:shd w:val="clear" w:color="auto" w:fill="FFFFFF"/>
              </w:rPr>
              <w:t xml:space="preserve">a single player/team, the figure represents the </w:t>
            </w:r>
            <w:r w:rsidRPr="002508C8">
              <w:rPr>
                <w:rFonts w:cs="Calibri"/>
                <w:color w:val="222222"/>
                <w:sz w:val="22"/>
                <w:shd w:val="clear" w:color="auto" w:fill="FFFFFF"/>
              </w:rPr>
              <w:t>observation period for assessment of the entire population.</w:t>
            </w:r>
          </w:p>
          <w:p w14:paraId="4CA50B0C" w14:textId="77777777" w:rsidR="00A976B2" w:rsidRPr="002508C8" w:rsidRDefault="00A976B2" w:rsidP="00B409FA">
            <w:pPr>
              <w:spacing w:after="0" w:line="240" w:lineRule="auto"/>
              <w:contextualSpacing/>
              <w:rPr>
                <w:rFonts w:cs="Calibri"/>
                <w:bCs/>
                <w:sz w:val="22"/>
                <w:lang w:eastAsia="en-AU"/>
              </w:rPr>
            </w:pPr>
          </w:p>
        </w:tc>
      </w:tr>
      <w:tr w:rsidR="00A976B2" w:rsidRPr="002508C8" w14:paraId="7857D999" w14:textId="77777777" w:rsidTr="00B409FA">
        <w:trPr>
          <w:cantSplit/>
          <w:trHeight w:val="265"/>
        </w:trPr>
        <w:tc>
          <w:tcPr>
            <w:tcW w:w="1003" w:type="pct"/>
            <w:shd w:val="clear" w:color="auto" w:fill="auto"/>
          </w:tcPr>
          <w:p w14:paraId="5AA7E5B4"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lastRenderedPageBreak/>
              <w:t>Video capture</w:t>
            </w:r>
          </w:p>
        </w:tc>
        <w:tc>
          <w:tcPr>
            <w:tcW w:w="3997" w:type="pct"/>
            <w:shd w:val="clear" w:color="auto" w:fill="auto"/>
          </w:tcPr>
          <w:p w14:paraId="76240AAC"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the use of video capture during player assessment. </w:t>
            </w:r>
          </w:p>
          <w:p w14:paraId="5FBA51FB" w14:textId="77777777" w:rsidR="00A976B2" w:rsidRPr="002508C8" w:rsidRDefault="00A976B2" w:rsidP="00B409FA">
            <w:pPr>
              <w:spacing w:after="0" w:line="240" w:lineRule="auto"/>
              <w:contextualSpacing/>
              <w:rPr>
                <w:rFonts w:cs="Calibri"/>
                <w:bCs/>
                <w:sz w:val="22"/>
                <w:lang w:eastAsia="en-AU"/>
              </w:rPr>
            </w:pPr>
          </w:p>
          <w:p w14:paraId="09E800CC"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This excludes references to the use of video capture outside of player assessment (for example reference 20 uses video to examine construct validity, but then assesses the game in real time, this was coded as not using video capture).</w:t>
            </w:r>
          </w:p>
          <w:p w14:paraId="24735A31" w14:textId="77777777" w:rsidR="00A976B2" w:rsidRPr="002508C8" w:rsidRDefault="00A976B2" w:rsidP="00B409FA">
            <w:pPr>
              <w:spacing w:after="0" w:line="240" w:lineRule="auto"/>
              <w:contextualSpacing/>
              <w:rPr>
                <w:rFonts w:cs="Calibri"/>
                <w:bCs/>
                <w:sz w:val="22"/>
                <w:lang w:eastAsia="en-AU"/>
              </w:rPr>
            </w:pPr>
          </w:p>
        </w:tc>
      </w:tr>
      <w:tr w:rsidR="00A976B2" w:rsidRPr="002508C8" w14:paraId="6AFB6824" w14:textId="77777777" w:rsidTr="00B409FA">
        <w:trPr>
          <w:cantSplit/>
          <w:trHeight w:val="265"/>
        </w:trPr>
        <w:tc>
          <w:tcPr>
            <w:tcW w:w="1003" w:type="pct"/>
            <w:tcBorders>
              <w:bottom w:val="single" w:sz="4" w:space="0" w:color="auto"/>
            </w:tcBorders>
            <w:shd w:val="clear" w:color="auto" w:fill="auto"/>
          </w:tcPr>
          <w:p w14:paraId="5D43AD94" w14:textId="77777777" w:rsidR="00A976B2" w:rsidRPr="002508C8" w:rsidRDefault="00A976B2" w:rsidP="00A976B2">
            <w:pPr>
              <w:pStyle w:val="ListParagraph"/>
              <w:numPr>
                <w:ilvl w:val="0"/>
                <w:numId w:val="1"/>
              </w:numPr>
              <w:spacing w:after="0" w:line="240" w:lineRule="auto"/>
              <w:rPr>
                <w:rFonts w:cs="Calibri"/>
                <w:bCs/>
                <w:sz w:val="22"/>
                <w:lang w:eastAsia="en-AU"/>
              </w:rPr>
            </w:pPr>
            <w:r w:rsidRPr="002508C8">
              <w:rPr>
                <w:rFonts w:cs="Calibri"/>
                <w:bCs/>
                <w:sz w:val="22"/>
                <w:lang w:eastAsia="en-AU"/>
              </w:rPr>
              <w:t>Peer assessor</w:t>
            </w:r>
          </w:p>
        </w:tc>
        <w:tc>
          <w:tcPr>
            <w:tcW w:w="3997" w:type="pct"/>
            <w:tcBorders>
              <w:bottom w:val="single" w:sz="4" w:space="0" w:color="auto"/>
            </w:tcBorders>
            <w:shd w:val="clear" w:color="auto" w:fill="auto"/>
          </w:tcPr>
          <w:p w14:paraId="0866EF4B" w14:textId="77777777" w:rsidR="00A976B2" w:rsidRPr="002508C8" w:rsidRDefault="00A976B2" w:rsidP="00B409FA">
            <w:pPr>
              <w:spacing w:after="0" w:line="240" w:lineRule="auto"/>
              <w:contextualSpacing/>
              <w:rPr>
                <w:rFonts w:cs="Calibri"/>
                <w:bCs/>
                <w:sz w:val="22"/>
                <w:lang w:eastAsia="en-AU"/>
              </w:rPr>
            </w:pPr>
            <w:r w:rsidRPr="002508C8">
              <w:rPr>
                <w:rFonts w:cs="Calibri"/>
                <w:bCs/>
                <w:sz w:val="22"/>
                <w:lang w:eastAsia="en-AU"/>
              </w:rPr>
              <w:t xml:space="preserve">Any reference to players completing the assessment. </w:t>
            </w:r>
          </w:p>
          <w:p w14:paraId="6FF6D2A1" w14:textId="77777777" w:rsidR="00A976B2" w:rsidRPr="002508C8" w:rsidRDefault="00A976B2" w:rsidP="00B409FA">
            <w:pPr>
              <w:spacing w:after="0" w:line="240" w:lineRule="auto"/>
              <w:contextualSpacing/>
              <w:rPr>
                <w:rFonts w:cs="Calibri"/>
                <w:bCs/>
                <w:sz w:val="22"/>
                <w:lang w:eastAsia="en-AU"/>
              </w:rPr>
            </w:pPr>
          </w:p>
        </w:tc>
      </w:tr>
    </w:tbl>
    <w:p w14:paraId="49D71E72" w14:textId="1BDCB651" w:rsidR="00A976B2" w:rsidRPr="00CA7996" w:rsidRDefault="00A976B2" w:rsidP="00A976B2">
      <w:pPr>
        <w:spacing w:line="480" w:lineRule="auto"/>
        <w:rPr>
          <w:sz w:val="22"/>
        </w:rPr>
      </w:pPr>
      <w:r w:rsidRPr="00CA7996">
        <w:rPr>
          <w:i/>
          <w:sz w:val="22"/>
        </w:rPr>
        <w:t xml:space="preserve">Note. </w:t>
      </w:r>
      <w:r w:rsidRPr="00CA7996">
        <w:rPr>
          <w:sz w:val="22"/>
        </w:rPr>
        <w:t>The abbreviated study aim was the only item that was independently charted by the researcher</w:t>
      </w:r>
      <w:r w:rsidR="004F6085">
        <w:rPr>
          <w:sz w:val="22"/>
        </w:rPr>
        <w:t xml:space="preserve"> in the original search</w:t>
      </w:r>
      <w:r w:rsidR="00D04CDA">
        <w:rPr>
          <w:sz w:val="22"/>
        </w:rPr>
        <w:t>.</w:t>
      </w:r>
    </w:p>
    <w:p w14:paraId="5CB7CE82" w14:textId="77777777" w:rsidR="00A976B2" w:rsidRDefault="00A976B2" w:rsidP="00A976B2">
      <w:pPr>
        <w:spacing w:line="480" w:lineRule="auto"/>
      </w:pPr>
      <w:r>
        <w:t xml:space="preserve">To reduce confusion in reporting data, where an article applied the same assessment tool in a second study, only the first study was charted </w:t>
      </w:r>
      <w:r>
        <w:rPr>
          <w:noProof/>
        </w:rPr>
        <w:t>(for example, French &amp; Thomas, 1987; Memmert, 2010)</w:t>
      </w:r>
      <w:r>
        <w:t>.</w:t>
      </w:r>
    </w:p>
    <w:p w14:paraId="70EE5D75" w14:textId="77777777" w:rsidR="00A976B2" w:rsidRDefault="00A976B2"/>
    <w:sectPr w:rsidR="00A976B2">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37A2B" w14:textId="77777777" w:rsidR="004D1E4A" w:rsidRDefault="004D1E4A" w:rsidP="00A976B2">
      <w:pPr>
        <w:spacing w:after="0" w:line="240" w:lineRule="auto"/>
      </w:pPr>
      <w:r>
        <w:separator/>
      </w:r>
    </w:p>
  </w:endnote>
  <w:endnote w:type="continuationSeparator" w:id="0">
    <w:p w14:paraId="062F0703" w14:textId="77777777" w:rsidR="004D1E4A" w:rsidRDefault="004D1E4A" w:rsidP="00A97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716C3" w14:textId="77777777" w:rsidR="004D1E4A" w:rsidRDefault="004D1E4A" w:rsidP="00A976B2">
      <w:pPr>
        <w:spacing w:after="0" w:line="240" w:lineRule="auto"/>
      </w:pPr>
      <w:r>
        <w:separator/>
      </w:r>
    </w:p>
  </w:footnote>
  <w:footnote w:type="continuationSeparator" w:id="0">
    <w:p w14:paraId="7B9E8C6B" w14:textId="77777777" w:rsidR="004D1E4A" w:rsidRDefault="004D1E4A" w:rsidP="00A97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E995" w14:textId="1D3883E7" w:rsidR="00A976B2" w:rsidRDefault="00A976B2">
    <w:pPr>
      <w:pStyle w:val="Header"/>
    </w:pPr>
    <w:r>
      <w:rPr>
        <w:noProof/>
        <w14:ligatures w14:val="standardContextual"/>
      </w:rPr>
      <mc:AlternateContent>
        <mc:Choice Requires="wps">
          <w:drawing>
            <wp:anchor distT="0" distB="0" distL="0" distR="0" simplePos="0" relativeHeight="251659264" behindDoc="0" locked="0" layoutInCell="1" allowOverlap="1" wp14:anchorId="1C28F44F" wp14:editId="40F38365">
              <wp:simplePos x="635" y="635"/>
              <wp:positionH relativeFrom="page">
                <wp:align>center</wp:align>
              </wp:positionH>
              <wp:positionV relativeFrom="page">
                <wp:align>top</wp:align>
              </wp:positionV>
              <wp:extent cx="443865" cy="443865"/>
              <wp:effectExtent l="0" t="0" r="15875" b="15240"/>
              <wp:wrapNone/>
              <wp:docPr id="18304390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D7DD0" w14:textId="68406FE6" w:rsidR="00A976B2" w:rsidRPr="00A976B2" w:rsidRDefault="00A976B2" w:rsidP="00A976B2">
                          <w:pPr>
                            <w:spacing w:after="0"/>
                            <w:rPr>
                              <w:rFonts w:eastAsia="Calibri" w:cs="Calibri"/>
                              <w:noProof/>
                              <w:color w:val="FFFF00"/>
                              <w:sz w:val="20"/>
                              <w:szCs w:val="20"/>
                            </w:rPr>
                          </w:pPr>
                          <w:r w:rsidRPr="00A976B2">
                            <w:rPr>
                              <w:rFonts w:eastAsia="Calibri" w:cs="Calibri"/>
                              <w:noProof/>
                              <w:color w:val="FFFF00"/>
                              <w:sz w:val="20"/>
                              <w:szCs w:val="20"/>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28F44F"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2C2D7DD0" w14:textId="68406FE6" w:rsidR="00A976B2" w:rsidRPr="00A976B2" w:rsidRDefault="00A976B2" w:rsidP="00A976B2">
                    <w:pPr>
                      <w:spacing w:after="0"/>
                      <w:rPr>
                        <w:rFonts w:eastAsia="Calibri" w:cs="Calibri"/>
                        <w:noProof/>
                        <w:color w:val="FFFF00"/>
                        <w:sz w:val="20"/>
                        <w:szCs w:val="20"/>
                      </w:rPr>
                    </w:pPr>
                    <w:r w:rsidRPr="00A976B2">
                      <w:rPr>
                        <w:rFonts w:eastAsia="Calibri" w:cs="Calibri"/>
                        <w:noProof/>
                        <w:color w:val="FFFF00"/>
                        <w:sz w:val="20"/>
                        <w:szCs w:val="20"/>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26BA" w14:textId="5FD5CCC4" w:rsidR="00A976B2" w:rsidRDefault="00A976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F2FC" w14:textId="2B9B3BBA" w:rsidR="00A976B2" w:rsidRDefault="00A976B2">
    <w:pPr>
      <w:pStyle w:val="Header"/>
    </w:pPr>
    <w:r>
      <w:rPr>
        <w:noProof/>
        <w14:ligatures w14:val="standardContextual"/>
      </w:rPr>
      <mc:AlternateContent>
        <mc:Choice Requires="wps">
          <w:drawing>
            <wp:anchor distT="0" distB="0" distL="0" distR="0" simplePos="0" relativeHeight="251658240" behindDoc="0" locked="0" layoutInCell="1" allowOverlap="1" wp14:anchorId="7D4F1E24" wp14:editId="10B0CCDD">
              <wp:simplePos x="635" y="635"/>
              <wp:positionH relativeFrom="page">
                <wp:align>center</wp:align>
              </wp:positionH>
              <wp:positionV relativeFrom="page">
                <wp:align>top</wp:align>
              </wp:positionV>
              <wp:extent cx="443865" cy="443865"/>
              <wp:effectExtent l="0" t="0" r="15875" b="15240"/>
              <wp:wrapNone/>
              <wp:docPr id="2014006499"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0201BF" w14:textId="4309B3C2" w:rsidR="00A976B2" w:rsidRPr="00A976B2" w:rsidRDefault="00A976B2" w:rsidP="00A976B2">
                          <w:pPr>
                            <w:spacing w:after="0"/>
                            <w:rPr>
                              <w:rFonts w:eastAsia="Calibri" w:cs="Calibri"/>
                              <w:noProof/>
                              <w:color w:val="FFFF00"/>
                              <w:sz w:val="20"/>
                              <w:szCs w:val="20"/>
                            </w:rPr>
                          </w:pPr>
                          <w:r w:rsidRPr="00A976B2">
                            <w:rPr>
                              <w:rFonts w:eastAsia="Calibri" w:cs="Calibri"/>
                              <w:noProof/>
                              <w:color w:val="FFFF00"/>
                              <w:sz w:val="20"/>
                              <w:szCs w:val="20"/>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4F1E24"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170201BF" w14:textId="4309B3C2" w:rsidR="00A976B2" w:rsidRPr="00A976B2" w:rsidRDefault="00A976B2" w:rsidP="00A976B2">
                    <w:pPr>
                      <w:spacing w:after="0"/>
                      <w:rPr>
                        <w:rFonts w:eastAsia="Calibri" w:cs="Calibri"/>
                        <w:noProof/>
                        <w:color w:val="FFFF00"/>
                        <w:sz w:val="20"/>
                        <w:szCs w:val="20"/>
                      </w:rPr>
                    </w:pPr>
                    <w:r w:rsidRPr="00A976B2">
                      <w:rPr>
                        <w:rFonts w:eastAsia="Calibri" w:cs="Calibri"/>
                        <w:noProof/>
                        <w:color w:val="FFFF00"/>
                        <w:sz w:val="20"/>
                        <w:szCs w:val="20"/>
                      </w:rPr>
                      <w:t>RMIT Classification: Trusted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F2ACB"/>
    <w:multiLevelType w:val="hybridMultilevel"/>
    <w:tmpl w:val="8B9202D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718014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6B2"/>
    <w:rsid w:val="000A6BBD"/>
    <w:rsid w:val="001F7505"/>
    <w:rsid w:val="00247B39"/>
    <w:rsid w:val="004D1E4A"/>
    <w:rsid w:val="004F6085"/>
    <w:rsid w:val="00743C15"/>
    <w:rsid w:val="00846EFD"/>
    <w:rsid w:val="00A976B2"/>
    <w:rsid w:val="00D04C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EB94"/>
  <w15:chartTrackingRefBased/>
  <w15:docId w15:val="{B22F66AE-25A9-4159-9F59-ECEF03B2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6B2"/>
    <w:pPr>
      <w:spacing w:after="240" w:line="360" w:lineRule="auto"/>
    </w:pPr>
    <w:rPr>
      <w:rFonts w:ascii="Calibri" w:hAnsi="Calibri"/>
      <w:kern w:val="0"/>
      <w:sz w:val="24"/>
      <w14:ligatures w14:val="none"/>
    </w:rPr>
  </w:style>
  <w:style w:type="paragraph" w:styleId="Heading1">
    <w:name w:val="heading 1"/>
    <w:basedOn w:val="Normal"/>
    <w:next w:val="Normal"/>
    <w:link w:val="Heading1Char"/>
    <w:uiPriority w:val="9"/>
    <w:qFormat/>
    <w:rsid w:val="001F75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6B2"/>
    <w:pPr>
      <w:ind w:left="720"/>
      <w:contextualSpacing/>
    </w:pPr>
  </w:style>
  <w:style w:type="paragraph" w:styleId="NormalWeb">
    <w:name w:val="Normal (Web)"/>
    <w:basedOn w:val="Normal"/>
    <w:uiPriority w:val="99"/>
    <w:unhideWhenUsed/>
    <w:rsid w:val="00A976B2"/>
    <w:pPr>
      <w:spacing w:before="100" w:beforeAutospacing="1" w:after="100" w:afterAutospacing="1" w:line="240" w:lineRule="auto"/>
    </w:pPr>
    <w:rPr>
      <w:rFonts w:ascii="Times New Roman" w:eastAsia="Times New Roman" w:hAnsi="Times New Roman" w:cs="Times New Roman"/>
      <w:szCs w:val="24"/>
      <w:lang w:eastAsia="en-AU"/>
    </w:rPr>
  </w:style>
  <w:style w:type="paragraph" w:styleId="Header">
    <w:name w:val="header"/>
    <w:basedOn w:val="Normal"/>
    <w:link w:val="HeaderChar"/>
    <w:uiPriority w:val="99"/>
    <w:unhideWhenUsed/>
    <w:rsid w:val="00A976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76B2"/>
    <w:rPr>
      <w:rFonts w:ascii="Calibri" w:hAnsi="Calibri"/>
      <w:kern w:val="0"/>
      <w:sz w:val="24"/>
      <w14:ligatures w14:val="none"/>
    </w:rPr>
  </w:style>
  <w:style w:type="character" w:customStyle="1" w:styleId="Heading1Char">
    <w:name w:val="Heading 1 Char"/>
    <w:basedOn w:val="DefaultParagraphFont"/>
    <w:link w:val="Heading1"/>
    <w:uiPriority w:val="9"/>
    <w:rsid w:val="001F7505"/>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1373</Words>
  <Characters>7831</Characters>
  <Application>Microsoft Office Word</Application>
  <DocSecurity>0</DocSecurity>
  <Lines>65</Lines>
  <Paragraphs>18</Paragraphs>
  <ScaleCrop>false</ScaleCrop>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Gow</dc:creator>
  <cp:keywords/>
  <dc:description/>
  <cp:lastModifiedBy>David Gow</cp:lastModifiedBy>
  <cp:revision>5</cp:revision>
  <dcterms:created xsi:type="dcterms:W3CDTF">2024-10-16T06:58:00Z</dcterms:created>
  <dcterms:modified xsi:type="dcterms:W3CDTF">2024-10-16T07:00:00Z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780b4ce3,ae9073f,6fa1da30</vt:lpwstr>
  </property>
  <property fmtid="{D5CDD505-2E9C-101B-9397-08002B2CF9AE}" pid="3" name="ClassificationContentMarkingHeaderFontProps">
    <vt:lpwstr>#ffff00,10,Calibri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2024-10-16T06:58:52Z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1819ef03-df53-4c76-b3b4-b7ef34491076</vt:lpwstr>
  </property>
  <property fmtid="{D5CDD505-2E9C-101B-9397-08002B2CF9AE}" pid="11" name="MSIP_Label_8c3d088b-6243-4963-a2e2-8b321ab7f8fc_ContentBits">
    <vt:lpwstr>1</vt:lpwstr>
  </property>
</Properties>
</file>