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D4EF7" w14:textId="77777777" w:rsidR="00643362" w:rsidRPr="00643362" w:rsidRDefault="00643362" w:rsidP="00643362">
      <w:pPr>
        <w:contextualSpacing/>
        <w:outlineLvl w:val="1"/>
        <w:rPr>
          <w:rFonts w:ascii="Times New Roman" w:hAnsi="Times New Roman"/>
          <w:b/>
          <w:bCs/>
          <w:sz w:val="24"/>
          <w:szCs w:val="24"/>
        </w:rPr>
      </w:pPr>
      <w:r w:rsidRPr="00643362">
        <w:rPr>
          <w:rFonts w:ascii="Times New Roman" w:hAnsi="Times New Roman"/>
          <w:b/>
          <w:bCs/>
          <w:sz w:val="24"/>
          <w:szCs w:val="24"/>
        </w:rPr>
        <w:t>Appendix A. Analytical methods</w:t>
      </w:r>
    </w:p>
    <w:p w14:paraId="6C937CAE" w14:textId="45D123F2" w:rsidR="0077534F" w:rsidRPr="00C0534D" w:rsidRDefault="0077534F" w:rsidP="0077534F">
      <w:pPr>
        <w:contextualSpacing/>
        <w:outlineLvl w:val="1"/>
        <w:rPr>
          <w:rFonts w:ascii="Times New Roman" w:hAnsi="Times New Roman"/>
          <w:b/>
          <w:sz w:val="24"/>
          <w:szCs w:val="24"/>
        </w:rPr>
      </w:pPr>
      <w:r w:rsidRPr="00C0534D">
        <w:rPr>
          <w:rFonts w:ascii="Times New Roman" w:hAnsi="Times New Roman"/>
          <w:b/>
          <w:sz w:val="24"/>
          <w:szCs w:val="24"/>
        </w:rPr>
        <w:t>Zircon U‒Pb dating</w:t>
      </w:r>
      <w:r w:rsidR="0062013A">
        <w:rPr>
          <w:rFonts w:ascii="Times New Roman" w:hAnsi="Times New Roman" w:hint="eastAsia"/>
          <w:b/>
          <w:sz w:val="24"/>
          <w:szCs w:val="24"/>
        </w:rPr>
        <w:t xml:space="preserve"> </w:t>
      </w:r>
      <w:r w:rsidRPr="00C0534D">
        <w:rPr>
          <w:rFonts w:ascii="Times New Roman" w:hAnsi="Times New Roman"/>
          <w:b/>
          <w:sz w:val="24"/>
          <w:szCs w:val="24"/>
        </w:rPr>
        <w:t xml:space="preserve">and </w:t>
      </w:r>
      <w:r w:rsidR="0062013A" w:rsidRPr="0062013A">
        <w:rPr>
          <w:rFonts w:ascii="Times New Roman" w:hAnsi="Times New Roman"/>
          <w:b/>
          <w:sz w:val="24"/>
          <w:szCs w:val="24"/>
        </w:rPr>
        <w:t>Lu‒</w:t>
      </w:r>
      <w:r w:rsidRPr="00C0534D">
        <w:rPr>
          <w:rFonts w:ascii="Times New Roman" w:hAnsi="Times New Roman"/>
          <w:b/>
          <w:sz w:val="24"/>
          <w:szCs w:val="24"/>
        </w:rPr>
        <w:t>Hf isotopic analytical methods</w:t>
      </w:r>
    </w:p>
    <w:p w14:paraId="7122FE71" w14:textId="6CEECFFC" w:rsidR="0077534F" w:rsidRPr="00C0534D" w:rsidRDefault="0077534F" w:rsidP="0077534F">
      <w:pPr>
        <w:ind w:firstLine="435"/>
        <w:contextualSpacing/>
        <w:rPr>
          <w:rFonts w:ascii="Times New Roman" w:hAnsi="Times New Roman"/>
          <w:sz w:val="24"/>
          <w:szCs w:val="24"/>
        </w:rPr>
      </w:pPr>
      <w:r w:rsidRPr="00C0534D">
        <w:rPr>
          <w:rFonts w:ascii="Times New Roman" w:hAnsi="Times New Roman"/>
          <w:sz w:val="24"/>
          <w:szCs w:val="24"/>
        </w:rPr>
        <w:t>Zircon grains were separated using standard heavy liquid and magnetic separation techniques. They were selected, mounted in epoxy resin, polished, and finally coated with gold. The internal texture of these grains was examined using cathodoluminescence (CL) imaging by a scanning electron microprobe at Sun Yat-sen University (SYSU).</w:t>
      </w:r>
      <w:r>
        <w:rPr>
          <w:rFonts w:ascii="Times New Roman" w:hAnsi="Times New Roman" w:hint="eastAsia"/>
          <w:sz w:val="24"/>
          <w:szCs w:val="24"/>
        </w:rPr>
        <w:t xml:space="preserve"> </w:t>
      </w:r>
      <w:r w:rsidRPr="00C0534D">
        <w:rPr>
          <w:rFonts w:ascii="Times New Roman" w:hAnsi="Times New Roman"/>
          <w:sz w:val="24"/>
          <w:szCs w:val="24"/>
        </w:rPr>
        <w:t xml:space="preserve">In-situ zircon U‒Pb and trace elemental determinations were undertaken using an </w:t>
      </w:r>
      <w:proofErr w:type="spellStart"/>
      <w:r w:rsidRPr="00C0534D">
        <w:rPr>
          <w:rFonts w:ascii="Times New Roman" w:hAnsi="Times New Roman"/>
          <w:sz w:val="24"/>
          <w:szCs w:val="24"/>
        </w:rPr>
        <w:t>iCAP</w:t>
      </w:r>
      <w:proofErr w:type="spellEnd"/>
      <w:r w:rsidRPr="00C0534D">
        <w:rPr>
          <w:rFonts w:ascii="Times New Roman" w:hAnsi="Times New Roman"/>
          <w:sz w:val="24"/>
          <w:szCs w:val="24"/>
        </w:rPr>
        <w:t xml:space="preserve"> RQ ICP-MS coupled with a 193 nm </w:t>
      </w:r>
      <w:proofErr w:type="spellStart"/>
      <w:r w:rsidRPr="00C0534D">
        <w:rPr>
          <w:rFonts w:ascii="Times New Roman" w:hAnsi="Times New Roman"/>
          <w:sz w:val="24"/>
          <w:szCs w:val="24"/>
        </w:rPr>
        <w:t>ArF</w:t>
      </w:r>
      <w:proofErr w:type="spellEnd"/>
      <w:r w:rsidRPr="00C0534D">
        <w:rPr>
          <w:rFonts w:ascii="Times New Roman" w:hAnsi="Times New Roman"/>
          <w:sz w:val="24"/>
          <w:szCs w:val="24"/>
        </w:rPr>
        <w:t xml:space="preserve"> </w:t>
      </w:r>
      <w:proofErr w:type="spellStart"/>
      <w:r w:rsidRPr="00C0534D">
        <w:rPr>
          <w:rFonts w:ascii="Times New Roman" w:hAnsi="Times New Roman"/>
          <w:sz w:val="24"/>
          <w:szCs w:val="24"/>
        </w:rPr>
        <w:t>Geolas</w:t>
      </w:r>
      <w:proofErr w:type="spellEnd"/>
      <w:r w:rsidRPr="00C0534D">
        <w:rPr>
          <w:rFonts w:ascii="Times New Roman" w:hAnsi="Times New Roman"/>
          <w:sz w:val="24"/>
          <w:szCs w:val="24"/>
        </w:rPr>
        <w:t xml:space="preserve"> HD laser-ablation system at the Guangdong Provincial Key Lab of Geodynamics and Geohazards (GLGG) of SYSU. The spot size of 32 µm with a laser repetition rate of 5 Hz was used for ablation zircons. Standard zircons </w:t>
      </w:r>
      <w:proofErr w:type="spellStart"/>
      <w:r w:rsidRPr="00C0534D">
        <w:rPr>
          <w:rFonts w:ascii="Times New Roman" w:hAnsi="Times New Roman"/>
          <w:sz w:val="24"/>
          <w:szCs w:val="24"/>
        </w:rPr>
        <w:t>Plešovice</w:t>
      </w:r>
      <w:proofErr w:type="spellEnd"/>
      <w:r w:rsidRPr="00C0534D">
        <w:rPr>
          <w:rFonts w:ascii="Times New Roman" w:hAnsi="Times New Roman"/>
          <w:sz w:val="24"/>
          <w:szCs w:val="24"/>
        </w:rPr>
        <w:t xml:space="preserve"> and 91500 were used as external isotopic calibration standards, and NIST SRM 610 as the external trace elemental calibration standard. Helium was invoked as the carrier gas to enhance the transport efficiency of the ablated material. </w:t>
      </w:r>
      <w:r w:rsidR="00F6213D" w:rsidRPr="00F6213D">
        <w:rPr>
          <w:rFonts w:ascii="Times New Roman" w:hAnsi="Times New Roman"/>
          <w:sz w:val="24"/>
          <w:szCs w:val="24"/>
        </w:rPr>
        <w:t xml:space="preserve">Raw data processing was carried out by GLITTER 4.4.5 (e.g., </w:t>
      </w:r>
      <w:r w:rsidR="00F6213D" w:rsidRPr="00F6213D">
        <w:rPr>
          <w:rFonts w:ascii="Times New Roman" w:hAnsi="Times New Roman"/>
          <w:color w:val="4472C4" w:themeColor="accent1"/>
          <w:sz w:val="24"/>
          <w:szCs w:val="24"/>
        </w:rPr>
        <w:t>Griffin et al., 2008</w:t>
      </w:r>
      <w:r w:rsidR="00F6213D" w:rsidRPr="00F6213D">
        <w:rPr>
          <w:rFonts w:ascii="Times New Roman" w:hAnsi="Times New Roman"/>
          <w:sz w:val="24"/>
          <w:szCs w:val="24"/>
        </w:rPr>
        <w:t xml:space="preserve">). </w:t>
      </w:r>
      <w:r w:rsidR="00BE31E4" w:rsidRPr="00C0534D">
        <w:rPr>
          <w:rFonts w:ascii="Times New Roman" w:hAnsi="Times New Roman"/>
          <w:sz w:val="24"/>
          <w:szCs w:val="24"/>
        </w:rPr>
        <w:t xml:space="preserve">Detailed analytical methods were described by </w:t>
      </w:r>
      <w:r w:rsidR="00BE31E4" w:rsidRPr="00F6213D">
        <w:rPr>
          <w:rFonts w:ascii="Times New Roman" w:hAnsi="Times New Roman"/>
          <w:color w:val="4472C4" w:themeColor="accent1"/>
          <w:sz w:val="24"/>
          <w:szCs w:val="24"/>
        </w:rPr>
        <w:t>Wang et al. (2020)</w:t>
      </w:r>
      <w:r w:rsidR="00BE31E4" w:rsidRPr="00C0534D">
        <w:rPr>
          <w:rFonts w:ascii="Times New Roman" w:hAnsi="Times New Roman"/>
          <w:sz w:val="24"/>
          <w:szCs w:val="24"/>
        </w:rPr>
        <w:t xml:space="preserve">. </w:t>
      </w:r>
      <w:r w:rsidR="00F6213D" w:rsidRPr="00F6213D">
        <w:rPr>
          <w:rFonts w:ascii="Times New Roman" w:hAnsi="Times New Roman"/>
          <w:sz w:val="24"/>
          <w:szCs w:val="24"/>
        </w:rPr>
        <w:t xml:space="preserve">The Concordia diagrams and weighted average calculations were conducted by the </w:t>
      </w:r>
      <w:proofErr w:type="spellStart"/>
      <w:r w:rsidR="00F6213D" w:rsidRPr="00F6213D">
        <w:rPr>
          <w:rFonts w:ascii="Times New Roman" w:hAnsi="Times New Roman"/>
          <w:sz w:val="24"/>
          <w:szCs w:val="24"/>
        </w:rPr>
        <w:t>Isoplot</w:t>
      </w:r>
      <w:proofErr w:type="spellEnd"/>
      <w:r w:rsidR="00F6213D" w:rsidRPr="00F6213D">
        <w:rPr>
          <w:rFonts w:ascii="Times New Roman" w:hAnsi="Times New Roman"/>
          <w:sz w:val="24"/>
          <w:szCs w:val="24"/>
        </w:rPr>
        <w:t xml:space="preserve"> program (e.g., </w:t>
      </w:r>
      <w:r w:rsidR="00F6213D" w:rsidRPr="00F6213D">
        <w:rPr>
          <w:rFonts w:ascii="Times New Roman" w:hAnsi="Times New Roman"/>
          <w:color w:val="4472C4" w:themeColor="accent1"/>
          <w:sz w:val="24"/>
          <w:szCs w:val="24"/>
        </w:rPr>
        <w:t>Ludwig, 2001</w:t>
      </w:r>
      <w:r w:rsidR="00F6213D" w:rsidRPr="00F6213D">
        <w:rPr>
          <w:rFonts w:ascii="Times New Roman" w:hAnsi="Times New Roman"/>
          <w:sz w:val="24"/>
          <w:szCs w:val="24"/>
        </w:rPr>
        <w:t xml:space="preserve">). </w:t>
      </w:r>
      <w:r w:rsidRPr="00C0534D">
        <w:rPr>
          <w:rFonts w:ascii="Times New Roman" w:hAnsi="Times New Roman"/>
          <w:sz w:val="24"/>
          <w:szCs w:val="24"/>
        </w:rPr>
        <w:t xml:space="preserve">The results are shown in </w:t>
      </w:r>
      <w:r w:rsidR="00592AB1" w:rsidRPr="000A2192">
        <w:rPr>
          <w:rFonts w:ascii="Times New Roman" w:hAnsi="Times New Roman"/>
          <w:color w:val="FF0000"/>
          <w:sz w:val="24"/>
          <w:szCs w:val="24"/>
        </w:rPr>
        <w:t>Supplementary Table S</w:t>
      </w:r>
      <w:r w:rsidR="00592AB1" w:rsidRPr="000A2192">
        <w:rPr>
          <w:rFonts w:ascii="Times New Roman" w:hAnsi="Times New Roman" w:hint="eastAsia"/>
          <w:color w:val="FF0000"/>
          <w:sz w:val="24"/>
          <w:szCs w:val="24"/>
        </w:rPr>
        <w:t>1</w:t>
      </w:r>
      <w:r w:rsidRPr="00C0534D">
        <w:rPr>
          <w:rFonts w:ascii="Times New Roman" w:hAnsi="Times New Roman"/>
          <w:sz w:val="24"/>
          <w:szCs w:val="24"/>
        </w:rPr>
        <w:t>.</w:t>
      </w:r>
    </w:p>
    <w:p w14:paraId="66883028" w14:textId="15DBF340" w:rsidR="0077534F" w:rsidRPr="00C0534D" w:rsidRDefault="0077534F" w:rsidP="0077534F">
      <w:pPr>
        <w:ind w:firstLine="435"/>
        <w:contextualSpacing/>
        <w:rPr>
          <w:rFonts w:ascii="Times New Roman" w:hAnsi="Times New Roman"/>
          <w:sz w:val="24"/>
          <w:szCs w:val="24"/>
        </w:rPr>
      </w:pPr>
      <w:r w:rsidRPr="00C0534D">
        <w:rPr>
          <w:rFonts w:ascii="Times New Roman" w:hAnsi="Times New Roman"/>
          <w:sz w:val="24"/>
          <w:szCs w:val="24"/>
        </w:rPr>
        <w:t xml:space="preserve">In-situ zircon Lu‒Hf isotope analyses were performed using a Neptune Plus multi-collector inductively coupled plasma mass spectrometer (MC-ICP-MS) in combination with a </w:t>
      </w:r>
      <w:proofErr w:type="spellStart"/>
      <w:r w:rsidRPr="00C0534D">
        <w:rPr>
          <w:rFonts w:ascii="Times New Roman" w:hAnsi="Times New Roman"/>
          <w:sz w:val="24"/>
          <w:szCs w:val="24"/>
        </w:rPr>
        <w:t>Geolas</w:t>
      </w:r>
      <w:proofErr w:type="spellEnd"/>
      <w:r w:rsidRPr="00C0534D">
        <w:rPr>
          <w:rFonts w:ascii="Times New Roman" w:hAnsi="Times New Roman"/>
          <w:sz w:val="24"/>
          <w:szCs w:val="24"/>
        </w:rPr>
        <w:t xml:space="preserve"> HD excimer 193 nm </w:t>
      </w:r>
      <w:proofErr w:type="spellStart"/>
      <w:r w:rsidRPr="00C0534D">
        <w:rPr>
          <w:rFonts w:ascii="Times New Roman" w:hAnsi="Times New Roman"/>
          <w:sz w:val="24"/>
          <w:szCs w:val="24"/>
        </w:rPr>
        <w:t>ArF</w:t>
      </w:r>
      <w:proofErr w:type="spellEnd"/>
      <w:r w:rsidRPr="00C0534D">
        <w:rPr>
          <w:rFonts w:ascii="Times New Roman" w:hAnsi="Times New Roman"/>
          <w:sz w:val="24"/>
          <w:szCs w:val="24"/>
        </w:rPr>
        <w:t xml:space="preserve"> laser ablation system at GLGG, SYSU. To transport ablated materials, Helium and Argon gas were used as carriers. The spot size of 44 </w:t>
      </w:r>
      <w:proofErr w:type="spellStart"/>
      <w:r w:rsidRPr="00C0534D">
        <w:rPr>
          <w:rFonts w:ascii="Times New Roman" w:hAnsi="Times New Roman"/>
          <w:sz w:val="24"/>
          <w:szCs w:val="24"/>
        </w:rPr>
        <w:t>μm</w:t>
      </w:r>
      <w:proofErr w:type="spellEnd"/>
      <w:r w:rsidRPr="00C0534D">
        <w:rPr>
          <w:rFonts w:ascii="Times New Roman" w:hAnsi="Times New Roman"/>
          <w:sz w:val="24"/>
          <w:szCs w:val="24"/>
        </w:rPr>
        <w:t xml:space="preserve"> with a laser repetition rate of 6 Hz was utilized for ablating zircons. Standard zircon 91500 was utilized as an external standard. Data were normalized to </w:t>
      </w:r>
      <w:r w:rsidRPr="00C0534D">
        <w:rPr>
          <w:rFonts w:ascii="Times New Roman" w:hAnsi="Times New Roman"/>
          <w:sz w:val="24"/>
          <w:szCs w:val="24"/>
          <w:vertAlign w:val="superscript"/>
        </w:rPr>
        <w:t>176</w:t>
      </w:r>
      <w:r w:rsidRPr="00C0534D">
        <w:rPr>
          <w:rFonts w:ascii="Times New Roman" w:hAnsi="Times New Roman"/>
          <w:sz w:val="24"/>
          <w:szCs w:val="24"/>
        </w:rPr>
        <w:t>Hf/</w:t>
      </w:r>
      <w:r w:rsidRPr="00C0534D">
        <w:rPr>
          <w:rFonts w:ascii="Times New Roman" w:hAnsi="Times New Roman"/>
          <w:sz w:val="24"/>
          <w:szCs w:val="24"/>
          <w:vertAlign w:val="superscript"/>
        </w:rPr>
        <w:t>177</w:t>
      </w:r>
      <w:r w:rsidRPr="00C0534D">
        <w:rPr>
          <w:rFonts w:ascii="Times New Roman" w:hAnsi="Times New Roman"/>
          <w:sz w:val="24"/>
          <w:szCs w:val="24"/>
        </w:rPr>
        <w:t xml:space="preserve">Hf = 0.7325. </w:t>
      </w:r>
      <w:proofErr w:type="spellStart"/>
      <w:r w:rsidRPr="00C0534D">
        <w:rPr>
          <w:rFonts w:ascii="Times New Roman" w:hAnsi="Times New Roman"/>
          <w:sz w:val="24"/>
          <w:szCs w:val="24"/>
        </w:rPr>
        <w:t>ε</w:t>
      </w:r>
      <w:r w:rsidRPr="00C0534D">
        <w:rPr>
          <w:rFonts w:ascii="Times New Roman" w:hAnsi="Times New Roman"/>
          <w:sz w:val="24"/>
          <w:szCs w:val="24"/>
          <w:vertAlign w:val="subscript"/>
        </w:rPr>
        <w:t>Hf</w:t>
      </w:r>
      <w:proofErr w:type="spellEnd"/>
      <w:r w:rsidRPr="00C0534D">
        <w:rPr>
          <w:rFonts w:ascii="Times New Roman" w:hAnsi="Times New Roman"/>
          <w:sz w:val="24"/>
          <w:szCs w:val="24"/>
        </w:rPr>
        <w:t xml:space="preserve"> (t) values were calculated by the chondrite ratios of </w:t>
      </w:r>
      <w:r w:rsidRPr="00C0534D">
        <w:rPr>
          <w:rFonts w:ascii="Times New Roman" w:hAnsi="Times New Roman"/>
          <w:sz w:val="24"/>
          <w:szCs w:val="24"/>
          <w:vertAlign w:val="superscript"/>
        </w:rPr>
        <w:t>176</w:t>
      </w:r>
      <w:r w:rsidRPr="00C0534D">
        <w:rPr>
          <w:rFonts w:ascii="Times New Roman" w:hAnsi="Times New Roman"/>
          <w:sz w:val="24"/>
          <w:szCs w:val="24"/>
        </w:rPr>
        <w:t>Hf/</w:t>
      </w:r>
      <w:r w:rsidRPr="00C0534D">
        <w:rPr>
          <w:rFonts w:ascii="Times New Roman" w:hAnsi="Times New Roman"/>
          <w:sz w:val="24"/>
          <w:szCs w:val="24"/>
          <w:vertAlign w:val="superscript"/>
        </w:rPr>
        <w:t>177</w:t>
      </w:r>
      <w:r w:rsidRPr="00C0534D">
        <w:rPr>
          <w:rFonts w:ascii="Times New Roman" w:hAnsi="Times New Roman"/>
          <w:sz w:val="24"/>
          <w:szCs w:val="24"/>
        </w:rPr>
        <w:t xml:space="preserve">Hf = 0.282772 and </w:t>
      </w:r>
      <w:r w:rsidRPr="00C0534D">
        <w:rPr>
          <w:rFonts w:ascii="Times New Roman" w:hAnsi="Times New Roman"/>
          <w:sz w:val="24"/>
          <w:szCs w:val="24"/>
          <w:vertAlign w:val="superscript"/>
        </w:rPr>
        <w:t>176</w:t>
      </w:r>
      <w:r w:rsidRPr="00C0534D">
        <w:rPr>
          <w:rFonts w:ascii="Times New Roman" w:hAnsi="Times New Roman"/>
          <w:sz w:val="24"/>
          <w:szCs w:val="24"/>
        </w:rPr>
        <w:t>Lu/</w:t>
      </w:r>
      <w:r w:rsidRPr="00C0534D">
        <w:rPr>
          <w:rFonts w:ascii="Times New Roman" w:hAnsi="Times New Roman"/>
          <w:sz w:val="24"/>
          <w:szCs w:val="24"/>
          <w:vertAlign w:val="superscript"/>
        </w:rPr>
        <w:t>177</w:t>
      </w:r>
      <w:r w:rsidRPr="00C0534D">
        <w:rPr>
          <w:rFonts w:ascii="Times New Roman" w:hAnsi="Times New Roman"/>
          <w:sz w:val="24"/>
          <w:szCs w:val="24"/>
        </w:rPr>
        <w:t>Hf = 0.0332 (</w:t>
      </w:r>
      <w:r w:rsidR="00F6213D" w:rsidRPr="00F6213D">
        <w:rPr>
          <w:rFonts w:ascii="Times New Roman" w:hAnsi="Times New Roman"/>
          <w:sz w:val="24"/>
          <w:szCs w:val="24"/>
        </w:rPr>
        <w:t xml:space="preserve">e.g., </w:t>
      </w:r>
      <w:r w:rsidRPr="00F6213D">
        <w:rPr>
          <w:rFonts w:ascii="Times New Roman" w:hAnsi="Times New Roman"/>
          <w:color w:val="4472C4" w:themeColor="accent1"/>
          <w:sz w:val="24"/>
          <w:szCs w:val="24"/>
        </w:rPr>
        <w:t xml:space="preserve">Blichert-Toft and </w:t>
      </w:r>
      <w:proofErr w:type="spellStart"/>
      <w:r w:rsidRPr="00F6213D">
        <w:rPr>
          <w:rFonts w:ascii="Times New Roman" w:hAnsi="Times New Roman"/>
          <w:color w:val="4472C4" w:themeColor="accent1"/>
          <w:sz w:val="24"/>
          <w:szCs w:val="24"/>
        </w:rPr>
        <w:t>Albarede</w:t>
      </w:r>
      <w:proofErr w:type="spellEnd"/>
      <w:r w:rsidRPr="00F6213D">
        <w:rPr>
          <w:rFonts w:ascii="Times New Roman" w:hAnsi="Times New Roman"/>
          <w:color w:val="4472C4" w:themeColor="accent1"/>
          <w:sz w:val="24"/>
          <w:szCs w:val="24"/>
        </w:rPr>
        <w:t>, 1997</w:t>
      </w:r>
      <w:r w:rsidRPr="00C0534D">
        <w:rPr>
          <w:rFonts w:ascii="Times New Roman" w:hAnsi="Times New Roman"/>
          <w:sz w:val="24"/>
          <w:szCs w:val="24"/>
        </w:rPr>
        <w:t xml:space="preserve">). </w:t>
      </w:r>
      <w:r w:rsidR="00F6213D" w:rsidRPr="00F6213D">
        <w:rPr>
          <w:rFonts w:ascii="Times New Roman" w:hAnsi="Times New Roman"/>
          <w:sz w:val="24"/>
          <w:szCs w:val="24"/>
        </w:rPr>
        <w:t>Hf model ages (T</w:t>
      </w:r>
      <w:r w:rsidR="00F6213D" w:rsidRPr="00F6213D">
        <w:rPr>
          <w:rFonts w:ascii="Times New Roman" w:hAnsi="Times New Roman"/>
          <w:sz w:val="24"/>
          <w:szCs w:val="24"/>
          <w:vertAlign w:val="subscript"/>
        </w:rPr>
        <w:t>DM1</w:t>
      </w:r>
      <w:r w:rsidR="00F6213D" w:rsidRPr="00F6213D">
        <w:rPr>
          <w:rFonts w:ascii="Times New Roman" w:hAnsi="Times New Roman"/>
          <w:sz w:val="24"/>
          <w:szCs w:val="24"/>
        </w:rPr>
        <w:t>) and two-stage Hf model ages (T</w:t>
      </w:r>
      <w:r w:rsidR="00F6213D" w:rsidRPr="00F6213D">
        <w:rPr>
          <w:rFonts w:ascii="Times New Roman" w:hAnsi="Times New Roman"/>
          <w:sz w:val="24"/>
          <w:szCs w:val="24"/>
          <w:vertAlign w:val="subscript"/>
        </w:rPr>
        <w:t>DM2</w:t>
      </w:r>
      <w:r w:rsidR="00F6213D" w:rsidRPr="00F6213D">
        <w:rPr>
          <w:rFonts w:ascii="Times New Roman" w:hAnsi="Times New Roman"/>
          <w:sz w:val="24"/>
          <w:szCs w:val="24"/>
        </w:rPr>
        <w:t xml:space="preserve">) were calculated on basis of the depleted mantle of </w:t>
      </w:r>
      <w:r w:rsidR="00F6213D" w:rsidRPr="00F6213D">
        <w:rPr>
          <w:rFonts w:ascii="Times New Roman" w:hAnsi="Times New Roman"/>
          <w:sz w:val="24"/>
          <w:szCs w:val="24"/>
          <w:vertAlign w:val="superscript"/>
        </w:rPr>
        <w:t>176</w:t>
      </w:r>
      <w:r w:rsidR="00F6213D" w:rsidRPr="00F6213D">
        <w:rPr>
          <w:rFonts w:ascii="Times New Roman" w:hAnsi="Times New Roman"/>
          <w:sz w:val="24"/>
          <w:szCs w:val="24"/>
        </w:rPr>
        <w:t>Hf/</w:t>
      </w:r>
      <w:r w:rsidR="00F6213D" w:rsidRPr="00F6213D">
        <w:rPr>
          <w:rFonts w:ascii="Times New Roman" w:hAnsi="Times New Roman"/>
          <w:sz w:val="24"/>
          <w:szCs w:val="24"/>
          <w:vertAlign w:val="superscript"/>
        </w:rPr>
        <w:t>177</w:t>
      </w:r>
      <w:r w:rsidR="00F6213D" w:rsidRPr="00F6213D">
        <w:rPr>
          <w:rFonts w:ascii="Times New Roman" w:hAnsi="Times New Roman"/>
          <w:sz w:val="24"/>
          <w:szCs w:val="24"/>
        </w:rPr>
        <w:t xml:space="preserve">Hf = 0.283250 with </w:t>
      </w:r>
      <w:r w:rsidR="00F6213D" w:rsidRPr="00F6213D">
        <w:rPr>
          <w:rFonts w:ascii="Times New Roman" w:hAnsi="Times New Roman"/>
          <w:sz w:val="24"/>
          <w:szCs w:val="24"/>
          <w:vertAlign w:val="superscript"/>
        </w:rPr>
        <w:t>176</w:t>
      </w:r>
      <w:r w:rsidR="00F6213D" w:rsidRPr="00F6213D">
        <w:rPr>
          <w:rFonts w:ascii="Times New Roman" w:hAnsi="Times New Roman"/>
          <w:sz w:val="24"/>
          <w:szCs w:val="24"/>
        </w:rPr>
        <w:t>Lu/</w:t>
      </w:r>
      <w:r w:rsidR="00F6213D" w:rsidRPr="00F6213D">
        <w:rPr>
          <w:rFonts w:ascii="Times New Roman" w:hAnsi="Times New Roman"/>
          <w:sz w:val="24"/>
          <w:szCs w:val="24"/>
          <w:vertAlign w:val="superscript"/>
        </w:rPr>
        <w:t>177</w:t>
      </w:r>
      <w:r w:rsidR="00F6213D" w:rsidRPr="00F6213D">
        <w:rPr>
          <w:rFonts w:ascii="Times New Roman" w:hAnsi="Times New Roman"/>
          <w:sz w:val="24"/>
          <w:szCs w:val="24"/>
        </w:rPr>
        <w:t xml:space="preserve">Hf = 0.0384 and average continental crust of </w:t>
      </w:r>
      <w:r w:rsidR="00F6213D" w:rsidRPr="00F6213D">
        <w:rPr>
          <w:rFonts w:ascii="Times New Roman" w:hAnsi="Times New Roman"/>
          <w:sz w:val="24"/>
          <w:szCs w:val="24"/>
          <w:vertAlign w:val="superscript"/>
        </w:rPr>
        <w:t>176</w:t>
      </w:r>
      <w:r w:rsidR="00F6213D" w:rsidRPr="00F6213D">
        <w:rPr>
          <w:rFonts w:ascii="Times New Roman" w:hAnsi="Times New Roman"/>
          <w:sz w:val="24"/>
          <w:szCs w:val="24"/>
        </w:rPr>
        <w:t>Lu/</w:t>
      </w:r>
      <w:r w:rsidR="00F6213D" w:rsidRPr="00F6213D">
        <w:rPr>
          <w:rFonts w:ascii="Times New Roman" w:hAnsi="Times New Roman"/>
          <w:sz w:val="24"/>
          <w:szCs w:val="24"/>
          <w:vertAlign w:val="superscript"/>
        </w:rPr>
        <w:t>177</w:t>
      </w:r>
      <w:r w:rsidR="00F6213D" w:rsidRPr="00F6213D">
        <w:rPr>
          <w:rFonts w:ascii="Times New Roman" w:hAnsi="Times New Roman"/>
          <w:sz w:val="24"/>
          <w:szCs w:val="24"/>
        </w:rPr>
        <w:t xml:space="preserve">Hf = 0.015, respectively (e.g., </w:t>
      </w:r>
      <w:r w:rsidR="00F6213D" w:rsidRPr="00F6213D">
        <w:rPr>
          <w:rFonts w:ascii="Times New Roman" w:hAnsi="Times New Roman"/>
          <w:color w:val="4472C4" w:themeColor="accent1"/>
          <w:sz w:val="24"/>
          <w:szCs w:val="24"/>
        </w:rPr>
        <w:t>Griffin et al., 2000, 2002</w:t>
      </w:r>
      <w:r w:rsidR="00F6213D" w:rsidRPr="00F6213D">
        <w:rPr>
          <w:rFonts w:ascii="Times New Roman" w:hAnsi="Times New Roman"/>
          <w:sz w:val="24"/>
          <w:szCs w:val="24"/>
        </w:rPr>
        <w:t>)</w:t>
      </w:r>
      <w:r w:rsidR="00F6213D">
        <w:rPr>
          <w:rFonts w:ascii="Times New Roman" w:hAnsi="Times New Roman" w:hint="eastAsia"/>
          <w:sz w:val="24"/>
          <w:szCs w:val="24"/>
        </w:rPr>
        <w:t xml:space="preserve">. </w:t>
      </w:r>
      <w:r w:rsidRPr="00C0534D">
        <w:rPr>
          <w:rFonts w:ascii="Times New Roman" w:hAnsi="Times New Roman"/>
          <w:sz w:val="24"/>
          <w:szCs w:val="24"/>
        </w:rPr>
        <w:t>The Lu‒Hf isotopic data are shown in</w:t>
      </w:r>
      <w:r w:rsidRPr="00F6213D">
        <w:rPr>
          <w:rFonts w:ascii="Times New Roman" w:hAnsi="Times New Roman"/>
          <w:color w:val="FF0000"/>
          <w:sz w:val="24"/>
          <w:szCs w:val="24"/>
        </w:rPr>
        <w:t xml:space="preserve"> </w:t>
      </w:r>
      <w:r w:rsidR="00592AB1" w:rsidRPr="00F6213D">
        <w:rPr>
          <w:rFonts w:ascii="Times New Roman" w:hAnsi="Times New Roman"/>
          <w:color w:val="FF0000"/>
          <w:sz w:val="24"/>
          <w:szCs w:val="24"/>
        </w:rPr>
        <w:t>Supplementary Table S</w:t>
      </w:r>
      <w:r w:rsidR="00592AB1" w:rsidRPr="00F6213D">
        <w:rPr>
          <w:rFonts w:ascii="Times New Roman" w:hAnsi="Times New Roman" w:hint="eastAsia"/>
          <w:color w:val="FF0000"/>
          <w:sz w:val="24"/>
          <w:szCs w:val="24"/>
        </w:rPr>
        <w:t>2</w:t>
      </w:r>
      <w:r w:rsidRPr="00C0534D">
        <w:rPr>
          <w:rFonts w:ascii="Times New Roman" w:hAnsi="Times New Roman"/>
          <w:sz w:val="24"/>
          <w:szCs w:val="24"/>
        </w:rPr>
        <w:t>.</w:t>
      </w:r>
    </w:p>
    <w:p w14:paraId="023858A3" w14:textId="77777777" w:rsidR="00B660DF" w:rsidRPr="00C0534D" w:rsidRDefault="00B660DF" w:rsidP="00B660DF">
      <w:pPr>
        <w:contextualSpacing/>
        <w:rPr>
          <w:rFonts w:ascii="Times New Roman" w:hAnsi="Times New Roman"/>
          <w:sz w:val="24"/>
          <w:szCs w:val="24"/>
        </w:rPr>
      </w:pPr>
    </w:p>
    <w:p w14:paraId="1BE51938" w14:textId="5A33FE30" w:rsidR="0077534F" w:rsidRPr="00C0534D" w:rsidRDefault="0077534F" w:rsidP="0077534F">
      <w:pPr>
        <w:contextualSpacing/>
        <w:outlineLvl w:val="1"/>
        <w:rPr>
          <w:rFonts w:ascii="Times New Roman" w:hAnsi="Times New Roman"/>
          <w:b/>
          <w:sz w:val="24"/>
          <w:szCs w:val="24"/>
        </w:rPr>
      </w:pPr>
      <w:r w:rsidRPr="00C0534D">
        <w:rPr>
          <w:rFonts w:ascii="Times New Roman" w:hAnsi="Times New Roman"/>
          <w:b/>
          <w:sz w:val="24"/>
          <w:szCs w:val="24"/>
        </w:rPr>
        <w:t>Whole-rock elemental and Sr–Nd</w:t>
      </w:r>
      <w:r w:rsidR="0062013A">
        <w:rPr>
          <w:rFonts w:ascii="Times New Roman" w:hAnsi="Times New Roman" w:hint="eastAsia"/>
          <w:b/>
          <w:sz w:val="24"/>
          <w:szCs w:val="24"/>
        </w:rPr>
        <w:t>-Pb</w:t>
      </w:r>
      <w:r w:rsidRPr="00C0534D">
        <w:rPr>
          <w:rFonts w:ascii="Times New Roman" w:hAnsi="Times New Roman"/>
          <w:b/>
          <w:sz w:val="24"/>
          <w:szCs w:val="24"/>
        </w:rPr>
        <w:t xml:space="preserve"> isotopic analytical methods</w:t>
      </w:r>
    </w:p>
    <w:p w14:paraId="3F0529F9" w14:textId="0CF6CF4C" w:rsidR="0077534F" w:rsidRPr="00C0534D" w:rsidRDefault="0077534F" w:rsidP="0077534F">
      <w:pPr>
        <w:ind w:firstLine="435"/>
        <w:contextualSpacing/>
        <w:rPr>
          <w:rFonts w:ascii="Times New Roman" w:hAnsi="Times New Roman"/>
          <w:sz w:val="24"/>
          <w:szCs w:val="24"/>
        </w:rPr>
      </w:pPr>
      <w:r w:rsidRPr="00C0534D">
        <w:rPr>
          <w:rFonts w:ascii="Times New Roman" w:hAnsi="Times New Roman"/>
          <w:sz w:val="24"/>
          <w:szCs w:val="24"/>
        </w:rPr>
        <w:t xml:space="preserve">Fresh whole-rock samples were crushed in a steel mortar and then pulverized to 200-mesh for elemental and isotopic analyses. An ARL-Perform’ X 4200 X-ray fluorescence spectrometer analyzed major oxides contents at GLGG, SYSU. The relative standard derivation for major oxides is lower than 5%. Trace elemental and Sr‒Nd isotopic analyses were performed at the GLGG, SYSU, using an </w:t>
      </w:r>
      <w:proofErr w:type="spellStart"/>
      <w:r w:rsidRPr="00C0534D">
        <w:rPr>
          <w:rFonts w:ascii="Times New Roman" w:hAnsi="Times New Roman"/>
          <w:sz w:val="24"/>
          <w:szCs w:val="24"/>
        </w:rPr>
        <w:t>iCAP</w:t>
      </w:r>
      <w:proofErr w:type="spellEnd"/>
      <w:r w:rsidRPr="00C0534D">
        <w:rPr>
          <w:rFonts w:ascii="Times New Roman" w:hAnsi="Times New Roman"/>
          <w:sz w:val="24"/>
          <w:szCs w:val="24"/>
        </w:rPr>
        <w:t xml:space="preserve"> RQ ICP-MS. Detailed analytic methods were described by </w:t>
      </w:r>
      <w:r w:rsidRPr="00F6213D">
        <w:rPr>
          <w:rFonts w:ascii="Times New Roman" w:hAnsi="Times New Roman"/>
          <w:color w:val="4472C4" w:themeColor="accent1"/>
          <w:sz w:val="24"/>
          <w:szCs w:val="24"/>
        </w:rPr>
        <w:t>Wang et al. (2020)</w:t>
      </w:r>
      <w:r w:rsidRPr="00C0534D">
        <w:rPr>
          <w:rFonts w:ascii="Times New Roman" w:hAnsi="Times New Roman"/>
          <w:sz w:val="24"/>
          <w:szCs w:val="24"/>
        </w:rPr>
        <w:t>.</w:t>
      </w:r>
    </w:p>
    <w:p w14:paraId="2D74AF16" w14:textId="0A1D9F40" w:rsidR="005172E7" w:rsidRDefault="0077534F" w:rsidP="005172E7">
      <w:pPr>
        <w:ind w:firstLine="437"/>
        <w:contextualSpacing/>
        <w:rPr>
          <w:rFonts w:ascii="Times New Roman" w:hAnsi="Times New Roman"/>
          <w:sz w:val="24"/>
          <w:szCs w:val="24"/>
        </w:rPr>
      </w:pPr>
      <w:r w:rsidRPr="00C0534D">
        <w:rPr>
          <w:rFonts w:ascii="Times New Roman" w:hAnsi="Times New Roman"/>
          <w:sz w:val="24"/>
          <w:szCs w:val="24"/>
        </w:rPr>
        <w:t>Sr‒Nd</w:t>
      </w:r>
      <w:r w:rsidR="00031B7C" w:rsidRPr="00C0534D">
        <w:rPr>
          <w:rFonts w:ascii="Times New Roman" w:hAnsi="Times New Roman"/>
          <w:sz w:val="24"/>
          <w:szCs w:val="24"/>
        </w:rPr>
        <w:t>‒</w:t>
      </w:r>
      <w:r w:rsidR="00031B7C">
        <w:rPr>
          <w:rFonts w:ascii="Times New Roman" w:hAnsi="Times New Roman" w:hint="eastAsia"/>
          <w:sz w:val="24"/>
          <w:szCs w:val="24"/>
        </w:rPr>
        <w:t>Pb</w:t>
      </w:r>
      <w:r w:rsidRPr="00C0534D">
        <w:rPr>
          <w:rFonts w:ascii="Times New Roman" w:hAnsi="Times New Roman"/>
          <w:sz w:val="24"/>
          <w:szCs w:val="24"/>
        </w:rPr>
        <w:t xml:space="preserve"> isotopic separation and purification were performed at Guizhou </w:t>
      </w:r>
      <w:proofErr w:type="spellStart"/>
      <w:r w:rsidRPr="00C0534D">
        <w:rPr>
          <w:rFonts w:ascii="Times New Roman" w:hAnsi="Times New Roman"/>
          <w:sz w:val="24"/>
          <w:szCs w:val="24"/>
        </w:rPr>
        <w:t>Tongwei</w:t>
      </w:r>
      <w:proofErr w:type="spellEnd"/>
      <w:r w:rsidRPr="00C0534D">
        <w:rPr>
          <w:rFonts w:ascii="Times New Roman" w:hAnsi="Times New Roman"/>
          <w:sz w:val="24"/>
          <w:szCs w:val="24"/>
        </w:rPr>
        <w:t xml:space="preserve"> Analytical Technology Co. Ltd. Details of analytical methods are presented in </w:t>
      </w:r>
      <w:r w:rsidRPr="00F6213D">
        <w:rPr>
          <w:rFonts w:ascii="Times New Roman" w:hAnsi="Times New Roman"/>
          <w:color w:val="4472C4" w:themeColor="accent1"/>
          <w:sz w:val="24"/>
          <w:szCs w:val="24"/>
        </w:rPr>
        <w:t>Wang et al. (2020)</w:t>
      </w:r>
      <w:r w:rsidRPr="00C0534D">
        <w:rPr>
          <w:rFonts w:ascii="Times New Roman" w:hAnsi="Times New Roman"/>
          <w:sz w:val="24"/>
          <w:szCs w:val="24"/>
        </w:rPr>
        <w:t>. The Sr–Nd</w:t>
      </w:r>
      <w:r w:rsidR="00031B7C" w:rsidRPr="00C0534D">
        <w:rPr>
          <w:rFonts w:ascii="Times New Roman" w:hAnsi="Times New Roman"/>
          <w:sz w:val="24"/>
          <w:szCs w:val="24"/>
        </w:rPr>
        <w:t>‒</w:t>
      </w:r>
      <w:r w:rsidR="00031B7C">
        <w:rPr>
          <w:rFonts w:ascii="Times New Roman" w:hAnsi="Times New Roman" w:hint="eastAsia"/>
          <w:sz w:val="24"/>
          <w:szCs w:val="24"/>
        </w:rPr>
        <w:t>Pb</w:t>
      </w:r>
      <w:r w:rsidRPr="00C0534D">
        <w:rPr>
          <w:rFonts w:ascii="Times New Roman" w:hAnsi="Times New Roman"/>
          <w:sz w:val="24"/>
          <w:szCs w:val="24"/>
        </w:rPr>
        <w:t xml:space="preserve"> isotopic analysis was finished at the GLGG, SYSU, using a Neptune Plus MC-ICP-MS. The mass fractionation corrections were based on </w:t>
      </w:r>
      <w:r w:rsidRPr="00C0534D">
        <w:rPr>
          <w:rFonts w:ascii="Times New Roman" w:hAnsi="Times New Roman"/>
          <w:sz w:val="24"/>
          <w:szCs w:val="24"/>
          <w:vertAlign w:val="superscript"/>
        </w:rPr>
        <w:t>86</w:t>
      </w:r>
      <w:r w:rsidRPr="00C0534D">
        <w:rPr>
          <w:rFonts w:ascii="Times New Roman" w:hAnsi="Times New Roman"/>
          <w:sz w:val="24"/>
          <w:szCs w:val="24"/>
        </w:rPr>
        <w:t>Sr/</w:t>
      </w:r>
      <w:r w:rsidRPr="00C0534D">
        <w:rPr>
          <w:rFonts w:ascii="Times New Roman" w:hAnsi="Times New Roman"/>
          <w:sz w:val="24"/>
          <w:szCs w:val="24"/>
          <w:vertAlign w:val="superscript"/>
        </w:rPr>
        <w:t>88</w:t>
      </w:r>
      <w:r w:rsidRPr="00C0534D">
        <w:rPr>
          <w:rFonts w:ascii="Times New Roman" w:hAnsi="Times New Roman"/>
          <w:sz w:val="24"/>
          <w:szCs w:val="24"/>
        </w:rPr>
        <w:t>Sr =</w:t>
      </w:r>
      <w:r w:rsidRPr="00031B7C">
        <w:rPr>
          <w:rFonts w:ascii="Times New Roman" w:hAnsi="Times New Roman"/>
          <w:sz w:val="24"/>
          <w:szCs w:val="24"/>
        </w:rPr>
        <w:t xml:space="preserve"> 0.1194 and </w:t>
      </w:r>
      <w:r w:rsidRPr="00031B7C">
        <w:rPr>
          <w:rFonts w:ascii="Times New Roman" w:hAnsi="Times New Roman"/>
          <w:sz w:val="24"/>
          <w:szCs w:val="24"/>
          <w:vertAlign w:val="superscript"/>
        </w:rPr>
        <w:t>146</w:t>
      </w:r>
      <w:r w:rsidRPr="00031B7C">
        <w:rPr>
          <w:rFonts w:ascii="Times New Roman" w:hAnsi="Times New Roman"/>
          <w:sz w:val="24"/>
          <w:szCs w:val="24"/>
        </w:rPr>
        <w:t>Nd/</w:t>
      </w:r>
      <w:r w:rsidRPr="00031B7C">
        <w:rPr>
          <w:rFonts w:ascii="Times New Roman" w:hAnsi="Times New Roman"/>
          <w:sz w:val="24"/>
          <w:szCs w:val="24"/>
          <w:vertAlign w:val="superscript"/>
        </w:rPr>
        <w:t>144</w:t>
      </w:r>
      <w:r w:rsidRPr="00031B7C">
        <w:rPr>
          <w:rFonts w:ascii="Times New Roman" w:hAnsi="Times New Roman"/>
          <w:sz w:val="24"/>
          <w:szCs w:val="24"/>
        </w:rPr>
        <w:t xml:space="preserve">Nd = 0.7219. The measured standard materials are NIST SRM 987 and ALFA-Nd for the Sr and Nd isotopic analyses. </w:t>
      </w:r>
      <w:r w:rsidR="00031B7C" w:rsidRPr="00031B7C">
        <w:rPr>
          <w:rFonts w:ascii="Times New Roman" w:hAnsi="Times New Roman"/>
          <w:sz w:val="24"/>
          <w:szCs w:val="24"/>
        </w:rPr>
        <w:t xml:space="preserve">The measured </w:t>
      </w:r>
      <w:r w:rsidR="00031B7C" w:rsidRPr="00031B7C">
        <w:rPr>
          <w:rFonts w:ascii="Times New Roman" w:hAnsi="Times New Roman"/>
          <w:sz w:val="24"/>
          <w:szCs w:val="24"/>
          <w:vertAlign w:val="superscript"/>
        </w:rPr>
        <w:t>207</w:t>
      </w:r>
      <w:r w:rsidR="00031B7C" w:rsidRPr="00031B7C">
        <w:rPr>
          <w:rFonts w:ascii="Times New Roman" w:hAnsi="Times New Roman"/>
          <w:sz w:val="24"/>
          <w:szCs w:val="24"/>
        </w:rPr>
        <w:t>Pb/</w:t>
      </w:r>
      <w:r w:rsidR="00031B7C" w:rsidRPr="00031B7C">
        <w:rPr>
          <w:rFonts w:ascii="Times New Roman" w:hAnsi="Times New Roman"/>
          <w:sz w:val="24"/>
          <w:szCs w:val="24"/>
          <w:vertAlign w:val="superscript"/>
        </w:rPr>
        <w:t>206</w:t>
      </w:r>
      <w:r w:rsidR="00031B7C" w:rsidRPr="00031B7C">
        <w:rPr>
          <w:rFonts w:ascii="Times New Roman" w:hAnsi="Times New Roman"/>
          <w:sz w:val="24"/>
          <w:szCs w:val="24"/>
        </w:rPr>
        <w:t xml:space="preserve">Pb </w:t>
      </w:r>
      <w:r w:rsidR="00031B7C" w:rsidRPr="00031B7C">
        <w:rPr>
          <w:rFonts w:ascii="Times New Roman" w:hAnsi="Times New Roman"/>
          <w:sz w:val="24"/>
          <w:szCs w:val="24"/>
        </w:rPr>
        <w:lastRenderedPageBreak/>
        <w:t xml:space="preserve">and </w:t>
      </w:r>
      <w:r w:rsidR="00031B7C" w:rsidRPr="00031B7C">
        <w:rPr>
          <w:rFonts w:ascii="Times New Roman" w:hAnsi="Times New Roman"/>
          <w:sz w:val="24"/>
          <w:szCs w:val="24"/>
          <w:vertAlign w:val="superscript"/>
        </w:rPr>
        <w:t>206</w:t>
      </w:r>
      <w:r w:rsidR="00031B7C" w:rsidRPr="00031B7C">
        <w:rPr>
          <w:rFonts w:ascii="Times New Roman" w:hAnsi="Times New Roman"/>
          <w:sz w:val="24"/>
          <w:szCs w:val="24"/>
        </w:rPr>
        <w:t>Pb/</w:t>
      </w:r>
      <w:r w:rsidR="00031B7C" w:rsidRPr="00031B7C">
        <w:rPr>
          <w:rFonts w:ascii="Times New Roman" w:hAnsi="Times New Roman"/>
          <w:sz w:val="24"/>
          <w:szCs w:val="24"/>
          <w:vertAlign w:val="superscript"/>
        </w:rPr>
        <w:t>204</w:t>
      </w:r>
      <w:r w:rsidR="00031B7C" w:rsidRPr="00031B7C">
        <w:rPr>
          <w:rFonts w:ascii="Times New Roman" w:hAnsi="Times New Roman"/>
          <w:sz w:val="24"/>
          <w:szCs w:val="24"/>
        </w:rPr>
        <w:t>Pb ratios of the (NIST) NBS 981 standard are 0.9145–0.9146 and 16.926–16.934, respectively.</w:t>
      </w:r>
      <w:r w:rsidR="00031B7C">
        <w:rPr>
          <w:rFonts w:ascii="Times New Roman" w:hAnsi="Times New Roman" w:hint="eastAsia"/>
          <w:sz w:val="24"/>
          <w:szCs w:val="24"/>
        </w:rPr>
        <w:t xml:space="preserve"> </w:t>
      </w:r>
      <w:r w:rsidRPr="00C0534D">
        <w:rPr>
          <w:rFonts w:ascii="Times New Roman" w:hAnsi="Times New Roman"/>
          <w:sz w:val="24"/>
          <w:szCs w:val="24"/>
        </w:rPr>
        <w:t xml:space="preserve">The whole-rock elemental and </w:t>
      </w:r>
      <w:r w:rsidR="00031B7C" w:rsidRPr="00C0534D">
        <w:rPr>
          <w:rFonts w:ascii="Times New Roman" w:hAnsi="Times New Roman"/>
          <w:sz w:val="24"/>
          <w:szCs w:val="24"/>
        </w:rPr>
        <w:t>Sr–Nd‒</w:t>
      </w:r>
      <w:r w:rsidR="00031B7C">
        <w:rPr>
          <w:rFonts w:ascii="Times New Roman" w:hAnsi="Times New Roman" w:hint="eastAsia"/>
          <w:sz w:val="24"/>
          <w:szCs w:val="24"/>
        </w:rPr>
        <w:t>Pb</w:t>
      </w:r>
      <w:r w:rsidR="00031B7C" w:rsidRPr="00C0534D">
        <w:rPr>
          <w:rFonts w:ascii="Times New Roman" w:hAnsi="Times New Roman"/>
          <w:sz w:val="24"/>
          <w:szCs w:val="24"/>
        </w:rPr>
        <w:t xml:space="preserve"> </w:t>
      </w:r>
      <w:r w:rsidRPr="00C0534D">
        <w:rPr>
          <w:rFonts w:ascii="Times New Roman" w:hAnsi="Times New Roman"/>
          <w:sz w:val="24"/>
          <w:szCs w:val="24"/>
        </w:rPr>
        <w:t xml:space="preserve">isotopic data are shown in </w:t>
      </w:r>
      <w:r w:rsidR="00592AB1" w:rsidRPr="000A2192">
        <w:rPr>
          <w:rFonts w:ascii="Times New Roman" w:hAnsi="Times New Roman"/>
          <w:color w:val="FF0000"/>
          <w:sz w:val="24"/>
          <w:szCs w:val="24"/>
        </w:rPr>
        <w:t>Supplementary Table S3</w:t>
      </w:r>
      <w:r w:rsidRPr="00C0534D">
        <w:rPr>
          <w:rFonts w:ascii="Times New Roman" w:hAnsi="Times New Roman"/>
          <w:sz w:val="24"/>
          <w:szCs w:val="24"/>
        </w:rPr>
        <w:t>.</w:t>
      </w:r>
    </w:p>
    <w:p w14:paraId="2FFF7FF8" w14:textId="77777777" w:rsidR="005172E7" w:rsidRDefault="005172E7" w:rsidP="005172E7">
      <w:pPr>
        <w:contextualSpacing/>
        <w:rPr>
          <w:rFonts w:ascii="Times New Roman" w:hAnsi="Times New Roman"/>
          <w:sz w:val="24"/>
          <w:szCs w:val="24"/>
        </w:rPr>
      </w:pPr>
    </w:p>
    <w:p w14:paraId="0ADC6A22" w14:textId="77777777" w:rsidR="00BE31E4" w:rsidRPr="00BE31E4" w:rsidRDefault="00BE31E4" w:rsidP="00BE31E4">
      <w:pPr>
        <w:adjustRightInd w:val="0"/>
        <w:snapToGrid w:val="0"/>
        <w:spacing w:line="360" w:lineRule="auto"/>
        <w:rPr>
          <w:rFonts w:ascii="Times New Roman" w:eastAsia="等线" w:hAnsi="Times New Roman"/>
          <w:b/>
          <w:bCs/>
          <w:sz w:val="28"/>
          <w:szCs w:val="28"/>
        </w:rPr>
      </w:pPr>
      <w:r w:rsidRPr="00BE31E4">
        <w:rPr>
          <w:rFonts w:ascii="Times New Roman" w:eastAsia="等线" w:hAnsi="Times New Roman"/>
          <w:b/>
          <w:bCs/>
          <w:sz w:val="28"/>
          <w:szCs w:val="28"/>
        </w:rPr>
        <w:t>References</w:t>
      </w:r>
    </w:p>
    <w:p w14:paraId="0FB770D2" w14:textId="7155CFDD" w:rsidR="00BA3E0C" w:rsidRDefault="00BA3E0C" w:rsidP="00BE31E4">
      <w:pPr>
        <w:adjustRightInd w:val="0"/>
        <w:snapToGrid w:val="0"/>
        <w:spacing w:line="360" w:lineRule="auto"/>
        <w:ind w:left="420" w:hangingChars="200" w:hanging="420"/>
        <w:rPr>
          <w:rFonts w:ascii="Times New Roman" w:eastAsia="等线" w:hAnsi="Times New Roman"/>
          <w:kern w:val="0"/>
          <w:szCs w:val="21"/>
        </w:rPr>
      </w:pPr>
      <w:r w:rsidRPr="00BA3E0C">
        <w:rPr>
          <w:rFonts w:ascii="Times New Roman" w:eastAsia="等线" w:hAnsi="Times New Roman"/>
          <w:kern w:val="0"/>
          <w:szCs w:val="21"/>
        </w:rPr>
        <w:t xml:space="preserve">Blichert-Toft, J., </w:t>
      </w:r>
      <w:proofErr w:type="spellStart"/>
      <w:r w:rsidRPr="00BA3E0C">
        <w:rPr>
          <w:rFonts w:ascii="Times New Roman" w:eastAsia="等线" w:hAnsi="Times New Roman"/>
          <w:kern w:val="0"/>
          <w:szCs w:val="21"/>
        </w:rPr>
        <w:t>Albarede</w:t>
      </w:r>
      <w:proofErr w:type="spellEnd"/>
      <w:r w:rsidRPr="00BA3E0C">
        <w:rPr>
          <w:rFonts w:ascii="Times New Roman" w:eastAsia="等线" w:hAnsi="Times New Roman"/>
          <w:kern w:val="0"/>
          <w:szCs w:val="21"/>
        </w:rPr>
        <w:t>, F., 1997. The Lu–Hf geochemistry of chondrites and the evolution of the mantle–crust system. Earth and Planetary Science Letters 148, 243–258.</w:t>
      </w:r>
    </w:p>
    <w:p w14:paraId="44E051E0" w14:textId="4A0DD529" w:rsidR="00BE31E4" w:rsidRPr="00BE31E4" w:rsidRDefault="00BE31E4" w:rsidP="00BE31E4">
      <w:pPr>
        <w:adjustRightInd w:val="0"/>
        <w:snapToGrid w:val="0"/>
        <w:spacing w:line="360" w:lineRule="auto"/>
        <w:ind w:left="420" w:hangingChars="200" w:hanging="420"/>
        <w:rPr>
          <w:rFonts w:ascii="Times New Roman" w:eastAsia="等线" w:hAnsi="Times New Roman"/>
          <w:kern w:val="0"/>
          <w:szCs w:val="21"/>
        </w:rPr>
      </w:pPr>
      <w:r w:rsidRPr="00BE31E4">
        <w:rPr>
          <w:rFonts w:ascii="Times New Roman" w:eastAsia="等线" w:hAnsi="Times New Roman"/>
          <w:kern w:val="0"/>
          <w:szCs w:val="21"/>
        </w:rPr>
        <w:t xml:space="preserve">Griffin, W.L., Pearson, N.J., Belousova, E., Jackson, S.E., Van Achterberg, E., O’Reilly, S.Y., </w:t>
      </w:r>
      <w:proofErr w:type="spellStart"/>
      <w:r w:rsidRPr="00BE31E4">
        <w:rPr>
          <w:rFonts w:ascii="Times New Roman" w:eastAsia="等线" w:hAnsi="Times New Roman"/>
          <w:kern w:val="0"/>
          <w:szCs w:val="21"/>
        </w:rPr>
        <w:t>Shee</w:t>
      </w:r>
      <w:proofErr w:type="spellEnd"/>
      <w:r w:rsidRPr="00BE31E4">
        <w:rPr>
          <w:rFonts w:ascii="Times New Roman" w:eastAsia="等线" w:hAnsi="Times New Roman"/>
          <w:kern w:val="0"/>
          <w:szCs w:val="21"/>
        </w:rPr>
        <w:t xml:space="preserve">, S.R., 2000. The Hf isotope composition of </w:t>
      </w:r>
      <w:proofErr w:type="spellStart"/>
      <w:r w:rsidRPr="00BE31E4">
        <w:rPr>
          <w:rFonts w:ascii="Times New Roman" w:eastAsia="等线" w:hAnsi="Times New Roman"/>
          <w:kern w:val="0"/>
          <w:szCs w:val="21"/>
        </w:rPr>
        <w:t>cratonic</w:t>
      </w:r>
      <w:proofErr w:type="spellEnd"/>
      <w:r w:rsidRPr="00BE31E4">
        <w:rPr>
          <w:rFonts w:ascii="Times New Roman" w:eastAsia="等线" w:hAnsi="Times New Roman"/>
          <w:kern w:val="0"/>
          <w:szCs w:val="21"/>
        </w:rPr>
        <w:t xml:space="preserve"> mantle: LAM-MC-ICPMS analysis of zircon </w:t>
      </w:r>
      <w:proofErr w:type="spellStart"/>
      <w:r w:rsidRPr="00BE31E4">
        <w:rPr>
          <w:rFonts w:ascii="Times New Roman" w:eastAsia="等线" w:hAnsi="Times New Roman"/>
          <w:kern w:val="0"/>
          <w:szCs w:val="21"/>
        </w:rPr>
        <w:t>megacrysts</w:t>
      </w:r>
      <w:proofErr w:type="spellEnd"/>
      <w:r w:rsidRPr="00BE31E4">
        <w:rPr>
          <w:rFonts w:ascii="Times New Roman" w:eastAsia="等线" w:hAnsi="Times New Roman"/>
          <w:kern w:val="0"/>
          <w:szCs w:val="21"/>
        </w:rPr>
        <w:t xml:space="preserve"> in kimberlites. </w:t>
      </w:r>
      <w:proofErr w:type="spellStart"/>
      <w:r w:rsidRPr="00BE31E4">
        <w:rPr>
          <w:rFonts w:ascii="Times New Roman" w:eastAsia="等线" w:hAnsi="Times New Roman"/>
          <w:kern w:val="0"/>
          <w:szCs w:val="21"/>
        </w:rPr>
        <w:t>Geochim</w:t>
      </w:r>
      <w:proofErr w:type="spellEnd"/>
      <w:r w:rsidRPr="00BE31E4">
        <w:rPr>
          <w:rFonts w:ascii="Times New Roman" w:eastAsia="等线" w:hAnsi="Times New Roman"/>
          <w:kern w:val="0"/>
          <w:szCs w:val="21"/>
        </w:rPr>
        <w:t xml:space="preserve">. </w:t>
      </w:r>
      <w:proofErr w:type="spellStart"/>
      <w:r w:rsidRPr="00BE31E4">
        <w:rPr>
          <w:rFonts w:ascii="Times New Roman" w:eastAsia="等线" w:hAnsi="Times New Roman"/>
          <w:kern w:val="0"/>
          <w:szCs w:val="21"/>
        </w:rPr>
        <w:t>Cosmochim</w:t>
      </w:r>
      <w:proofErr w:type="spellEnd"/>
      <w:r w:rsidRPr="00BE31E4">
        <w:rPr>
          <w:rFonts w:ascii="Times New Roman" w:eastAsia="等线" w:hAnsi="Times New Roman"/>
          <w:kern w:val="0"/>
          <w:szCs w:val="21"/>
        </w:rPr>
        <w:t>. Acta 64 (1), 133–147.</w:t>
      </w:r>
    </w:p>
    <w:p w14:paraId="6CB1C8B4" w14:textId="77777777" w:rsidR="00BE31E4" w:rsidRPr="00BE31E4" w:rsidRDefault="00BE31E4" w:rsidP="00BE31E4">
      <w:pPr>
        <w:adjustRightInd w:val="0"/>
        <w:snapToGrid w:val="0"/>
        <w:spacing w:line="360" w:lineRule="auto"/>
        <w:ind w:left="420" w:hangingChars="200" w:hanging="420"/>
        <w:rPr>
          <w:rFonts w:ascii="Times New Roman" w:eastAsia="楷体" w:hAnsi="Times New Roman"/>
          <w:szCs w:val="21"/>
        </w:rPr>
      </w:pPr>
      <w:r w:rsidRPr="00BE31E4">
        <w:rPr>
          <w:rFonts w:ascii="Times New Roman" w:eastAsia="等线" w:hAnsi="Times New Roman"/>
          <w:szCs w:val="21"/>
        </w:rPr>
        <w:t xml:space="preserve">Griffin, W.L., Wang, X., Jackson, S.E., Pearson, N.J., O'Reilly, S.Y., Xu, X.S., Zhou, X.M., 2002. Zircon chemistry and magma mixing, SE China: In-situ analysis of Hf isotopes, </w:t>
      </w:r>
      <w:proofErr w:type="spellStart"/>
      <w:r w:rsidRPr="00BE31E4">
        <w:rPr>
          <w:rFonts w:ascii="Times New Roman" w:eastAsia="等线" w:hAnsi="Times New Roman"/>
          <w:szCs w:val="21"/>
        </w:rPr>
        <w:t>Tonglu</w:t>
      </w:r>
      <w:proofErr w:type="spellEnd"/>
      <w:r w:rsidRPr="00BE31E4">
        <w:rPr>
          <w:rFonts w:ascii="Times New Roman" w:eastAsia="等线" w:hAnsi="Times New Roman"/>
          <w:szCs w:val="21"/>
        </w:rPr>
        <w:t xml:space="preserve"> and </w:t>
      </w:r>
      <w:proofErr w:type="spellStart"/>
      <w:r w:rsidRPr="00BE31E4">
        <w:rPr>
          <w:rFonts w:ascii="Times New Roman" w:eastAsia="等线" w:hAnsi="Times New Roman"/>
          <w:szCs w:val="21"/>
        </w:rPr>
        <w:t>Pingtan</w:t>
      </w:r>
      <w:proofErr w:type="spellEnd"/>
      <w:r w:rsidRPr="00BE31E4">
        <w:rPr>
          <w:rFonts w:ascii="Times New Roman" w:eastAsia="等线" w:hAnsi="Times New Roman"/>
          <w:szCs w:val="21"/>
        </w:rPr>
        <w:t xml:space="preserve"> igneous complexes. </w:t>
      </w:r>
      <w:proofErr w:type="spellStart"/>
      <w:r w:rsidRPr="00BE31E4">
        <w:rPr>
          <w:rFonts w:ascii="Times New Roman" w:eastAsia="等线" w:hAnsi="Times New Roman"/>
          <w:szCs w:val="21"/>
        </w:rPr>
        <w:t>Lithos</w:t>
      </w:r>
      <w:proofErr w:type="spellEnd"/>
      <w:r w:rsidRPr="00BE31E4">
        <w:rPr>
          <w:rFonts w:ascii="Times New Roman" w:eastAsia="等线" w:hAnsi="Times New Roman"/>
          <w:szCs w:val="21"/>
        </w:rPr>
        <w:t xml:space="preserve"> 61, 237–269.</w:t>
      </w:r>
    </w:p>
    <w:p w14:paraId="7B6D826B" w14:textId="77777777" w:rsidR="00BE31E4" w:rsidRPr="00BE31E4" w:rsidRDefault="00BE31E4" w:rsidP="00BE31E4">
      <w:pPr>
        <w:adjustRightInd w:val="0"/>
        <w:snapToGrid w:val="0"/>
        <w:spacing w:line="360" w:lineRule="auto"/>
        <w:ind w:left="420" w:hangingChars="200" w:hanging="420"/>
        <w:rPr>
          <w:rFonts w:ascii="Times New Roman" w:eastAsia="等线" w:hAnsi="Times New Roman"/>
          <w:kern w:val="0"/>
          <w:szCs w:val="21"/>
        </w:rPr>
      </w:pPr>
      <w:r w:rsidRPr="00BE31E4">
        <w:rPr>
          <w:rFonts w:ascii="Times New Roman" w:eastAsia="等线" w:hAnsi="Times New Roman"/>
          <w:kern w:val="0"/>
          <w:szCs w:val="21"/>
        </w:rPr>
        <w:t xml:space="preserve">Griffin, W.L., Powell, W.J., Pearson, N.J., O’Reilly, S.Y., 2008. GLITTER: Data reduction software for laser ablation ICP-MS. Mineralogical Association of Canada, Short Course Series 40, 308–311. </w:t>
      </w:r>
    </w:p>
    <w:p w14:paraId="481F18FB" w14:textId="77777777" w:rsidR="00BE31E4" w:rsidRDefault="00BE31E4" w:rsidP="00BE31E4">
      <w:pPr>
        <w:adjustRightInd w:val="0"/>
        <w:snapToGrid w:val="0"/>
        <w:spacing w:line="360" w:lineRule="auto"/>
        <w:ind w:left="420" w:hangingChars="200" w:hanging="420"/>
        <w:rPr>
          <w:rFonts w:ascii="Times New Roman" w:eastAsia="等线" w:hAnsi="Times New Roman"/>
          <w:kern w:val="0"/>
          <w:szCs w:val="21"/>
        </w:rPr>
      </w:pPr>
      <w:r w:rsidRPr="00BE31E4">
        <w:rPr>
          <w:rFonts w:ascii="Times New Roman" w:eastAsia="等线" w:hAnsi="Times New Roman"/>
          <w:kern w:val="0"/>
          <w:szCs w:val="21"/>
        </w:rPr>
        <w:t xml:space="preserve">Ludwig, K.R., 2001. Using </w:t>
      </w:r>
      <w:proofErr w:type="spellStart"/>
      <w:r w:rsidRPr="00BE31E4">
        <w:rPr>
          <w:rFonts w:ascii="Times New Roman" w:eastAsia="等线" w:hAnsi="Times New Roman"/>
          <w:kern w:val="0"/>
          <w:szCs w:val="21"/>
        </w:rPr>
        <w:t>Isoplot</w:t>
      </w:r>
      <w:proofErr w:type="spellEnd"/>
      <w:r w:rsidRPr="00BE31E4">
        <w:rPr>
          <w:rFonts w:ascii="Times New Roman" w:eastAsia="等线" w:hAnsi="Times New Roman"/>
          <w:kern w:val="0"/>
          <w:szCs w:val="21"/>
        </w:rPr>
        <w:t xml:space="preserve">/EX, version 2.49. In: A Geochronological toolkit for Microsoft Excel. Berkeley </w:t>
      </w:r>
      <w:proofErr w:type="spellStart"/>
      <w:r w:rsidRPr="00BE31E4">
        <w:rPr>
          <w:rFonts w:ascii="Times New Roman" w:eastAsia="等线" w:hAnsi="Times New Roman"/>
          <w:kern w:val="0"/>
          <w:szCs w:val="21"/>
        </w:rPr>
        <w:t>Geochronol</w:t>
      </w:r>
      <w:proofErr w:type="spellEnd"/>
      <w:r w:rsidRPr="00BE31E4">
        <w:rPr>
          <w:rFonts w:ascii="Times New Roman" w:eastAsia="等线" w:hAnsi="Times New Roman"/>
          <w:kern w:val="0"/>
          <w:szCs w:val="21"/>
        </w:rPr>
        <w:t>. Center Spec. Pub. 1–55.</w:t>
      </w:r>
    </w:p>
    <w:p w14:paraId="1F0D8864" w14:textId="619C2C3C" w:rsidR="00AD06E0" w:rsidRPr="006E393F" w:rsidRDefault="00BA3E0C" w:rsidP="006E393F">
      <w:pPr>
        <w:adjustRightInd w:val="0"/>
        <w:snapToGrid w:val="0"/>
        <w:spacing w:line="360" w:lineRule="auto"/>
        <w:ind w:left="420" w:hangingChars="200" w:hanging="420"/>
        <w:rPr>
          <w:rFonts w:ascii="Times New Roman" w:eastAsia="等线" w:hAnsi="Times New Roman"/>
          <w:kern w:val="0"/>
          <w:szCs w:val="21"/>
        </w:rPr>
      </w:pPr>
      <w:r w:rsidRPr="00BA3E0C">
        <w:rPr>
          <w:rFonts w:ascii="Times New Roman" w:eastAsia="等线" w:hAnsi="Times New Roman"/>
          <w:kern w:val="0"/>
          <w:szCs w:val="21"/>
        </w:rPr>
        <w:t>Wang, Y.J., Yang, T.X., Zhang, Y.Z., Qian, X., Gan, C.S., Wang, Y.K., Wang, Y., 2020. Late Paleozoic back-arc setting in the Indochina block: Constrains from the mafic rocks along the Nan and Luang Prabang tectonic zones in Southeast Asia. Journal of Asian Earth Sciences</w:t>
      </w:r>
      <w:r w:rsidRPr="00BA3E0C">
        <w:t xml:space="preserve"> </w:t>
      </w:r>
      <w:r w:rsidRPr="00BA3E0C">
        <w:rPr>
          <w:rFonts w:ascii="Times New Roman" w:eastAsia="等线" w:hAnsi="Times New Roman"/>
          <w:kern w:val="0"/>
          <w:szCs w:val="21"/>
        </w:rPr>
        <w:t>191</w:t>
      </w:r>
      <w:r>
        <w:rPr>
          <w:rFonts w:ascii="Times New Roman" w:eastAsia="等线" w:hAnsi="Times New Roman" w:hint="eastAsia"/>
          <w:kern w:val="0"/>
          <w:szCs w:val="21"/>
        </w:rPr>
        <w:t>,</w:t>
      </w:r>
      <w:r w:rsidRPr="00BA3E0C">
        <w:rPr>
          <w:rFonts w:ascii="Times New Roman" w:eastAsia="等线" w:hAnsi="Times New Roman"/>
          <w:kern w:val="0"/>
          <w:szCs w:val="21"/>
        </w:rPr>
        <w:t xml:space="preserve"> 104239.</w:t>
      </w:r>
    </w:p>
    <w:sectPr w:rsidR="00AD06E0" w:rsidRPr="006E39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1E246" w14:textId="77777777" w:rsidR="001A2861" w:rsidRDefault="001A2861" w:rsidP="0077534F">
      <w:r>
        <w:separator/>
      </w:r>
    </w:p>
  </w:endnote>
  <w:endnote w:type="continuationSeparator" w:id="0">
    <w:p w14:paraId="600BEB22" w14:textId="77777777" w:rsidR="001A2861" w:rsidRDefault="001A2861" w:rsidP="00775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A7B51" w14:textId="77777777" w:rsidR="001A2861" w:rsidRDefault="001A2861" w:rsidP="0077534F">
      <w:r>
        <w:separator/>
      </w:r>
    </w:p>
  </w:footnote>
  <w:footnote w:type="continuationSeparator" w:id="0">
    <w:p w14:paraId="5D99CE35" w14:textId="77777777" w:rsidR="001A2861" w:rsidRDefault="001A2861" w:rsidP="00775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00"/>
    <w:rsid w:val="00031B7C"/>
    <w:rsid w:val="00037D65"/>
    <w:rsid w:val="000A2192"/>
    <w:rsid w:val="001A2861"/>
    <w:rsid w:val="0028249D"/>
    <w:rsid w:val="00284B05"/>
    <w:rsid w:val="00356C00"/>
    <w:rsid w:val="003E2B7D"/>
    <w:rsid w:val="0040218C"/>
    <w:rsid w:val="00446FDA"/>
    <w:rsid w:val="00467EE8"/>
    <w:rsid w:val="004A43C6"/>
    <w:rsid w:val="005172E7"/>
    <w:rsid w:val="00592AB1"/>
    <w:rsid w:val="0062013A"/>
    <w:rsid w:val="00643362"/>
    <w:rsid w:val="006E393F"/>
    <w:rsid w:val="00714821"/>
    <w:rsid w:val="0077534F"/>
    <w:rsid w:val="00914E5F"/>
    <w:rsid w:val="00AD06E0"/>
    <w:rsid w:val="00AE73C9"/>
    <w:rsid w:val="00B660DF"/>
    <w:rsid w:val="00BA3E0C"/>
    <w:rsid w:val="00BC18AE"/>
    <w:rsid w:val="00BE31E4"/>
    <w:rsid w:val="00C13AC0"/>
    <w:rsid w:val="00C446B4"/>
    <w:rsid w:val="00CD5DF7"/>
    <w:rsid w:val="00D25EEB"/>
    <w:rsid w:val="00E02666"/>
    <w:rsid w:val="00E0799B"/>
    <w:rsid w:val="00E44EBC"/>
    <w:rsid w:val="00EF5E46"/>
    <w:rsid w:val="00F02A14"/>
    <w:rsid w:val="00F479F8"/>
    <w:rsid w:val="00F62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AA09C4"/>
  <w15:chartTrackingRefBased/>
  <w15:docId w15:val="{EF4C8C98-A719-4B3F-AF06-1B5664DB7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lang w:val="en-US" w:eastAsia="zh-CN"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534F"/>
    <w:pPr>
      <w:widowControl w:val="0"/>
      <w:jc w:val="both"/>
    </w:pPr>
    <w:rPr>
      <w:rFonts w:ascii="Calibri" w:hAnsi="Calibri"/>
      <w:sz w:val="21"/>
      <w:szCs w:val="22"/>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7534F"/>
    <w:pPr>
      <w:tabs>
        <w:tab w:val="center" w:pos="4153"/>
        <w:tab w:val="right" w:pos="8306"/>
      </w:tabs>
      <w:snapToGrid w:val="0"/>
      <w:jc w:val="center"/>
    </w:pPr>
    <w:rPr>
      <w:rFonts w:ascii="Times New Roman" w:hAnsi="Times New Roman"/>
      <w:sz w:val="18"/>
      <w:szCs w:val="18"/>
    </w:rPr>
  </w:style>
  <w:style w:type="character" w:customStyle="1" w:styleId="a4">
    <w:name w:val="页眉 字符"/>
    <w:basedOn w:val="a0"/>
    <w:link w:val="a3"/>
    <w:rsid w:val="0077534F"/>
    <w:rPr>
      <w:sz w:val="18"/>
      <w:szCs w:val="18"/>
      <w14:ligatures w14:val="none"/>
    </w:rPr>
  </w:style>
  <w:style w:type="paragraph" w:styleId="a5">
    <w:name w:val="footer"/>
    <w:basedOn w:val="a"/>
    <w:link w:val="a6"/>
    <w:rsid w:val="0077534F"/>
    <w:pPr>
      <w:tabs>
        <w:tab w:val="center" w:pos="4153"/>
        <w:tab w:val="right" w:pos="8306"/>
      </w:tabs>
      <w:snapToGrid w:val="0"/>
      <w:jc w:val="left"/>
    </w:pPr>
    <w:rPr>
      <w:rFonts w:ascii="Times New Roman" w:hAnsi="Times New Roman"/>
      <w:sz w:val="18"/>
      <w:szCs w:val="18"/>
    </w:rPr>
  </w:style>
  <w:style w:type="character" w:customStyle="1" w:styleId="a6">
    <w:name w:val="页脚 字符"/>
    <w:basedOn w:val="a0"/>
    <w:link w:val="a5"/>
    <w:rsid w:val="0077534F"/>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61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720</Words>
  <Characters>4104</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Xin Qian</dc:creator>
  <cp:keywords/>
  <dc:description/>
  <cp:lastModifiedBy>Xin Qian</cp:lastModifiedBy>
  <cp:revision>16</cp:revision>
  <dcterms:created xsi:type="dcterms:W3CDTF">2024-07-23T02:23:00Z</dcterms:created>
  <dcterms:modified xsi:type="dcterms:W3CDTF">2024-09-30T00:49:00Z</dcterms:modified>
</cp:coreProperties>
</file>