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05DC2" w14:textId="77777777" w:rsidR="000C2652" w:rsidRPr="000C2652" w:rsidRDefault="000C2652" w:rsidP="000C2652">
      <w:r w:rsidRPr="000C2652">
        <w:t>Here is the instantiated safety case derived from the given safety case pattern for a GPCA system in a hierarchical tree format:</w:t>
      </w:r>
    </w:p>
    <w:p w14:paraId="2F89B145" w14:textId="77777777" w:rsidR="000C2652" w:rsidRPr="000C2652" w:rsidRDefault="000C2652" w:rsidP="000C2652"/>
    <w:p w14:paraId="50627D15" w14:textId="77777777" w:rsidR="000C2652" w:rsidRPr="000C2652" w:rsidRDefault="000C2652" w:rsidP="000C2652">
      <w:r w:rsidRPr="000C2652">
        <w:t>```</w:t>
      </w:r>
    </w:p>
    <w:p w14:paraId="6D656060" w14:textId="77777777" w:rsidR="000C2652" w:rsidRPr="000C2652" w:rsidRDefault="000C2652" w:rsidP="000C2652">
      <w:r w:rsidRPr="000C2652">
        <w:t>- G1: Operational safety is verified in GPCA system</w:t>
      </w:r>
    </w:p>
    <w:p w14:paraId="652F233B" w14:textId="77777777" w:rsidR="000C2652" w:rsidRPr="000C2652" w:rsidRDefault="000C2652" w:rsidP="000C2652">
      <w:r w:rsidRPr="000C2652">
        <w:t xml:space="preserve">  - C1: All specs are given by GPCA system specs</w:t>
      </w:r>
    </w:p>
    <w:p w14:paraId="5C677F0D" w14:textId="77777777" w:rsidR="000C2652" w:rsidRPr="000C2652" w:rsidRDefault="000C2652" w:rsidP="000C2652">
      <w:r w:rsidRPr="000C2652">
        <w:t xml:space="preserve">  - S1: Argument over the satisfaction of all specs over GPCA system</w:t>
      </w:r>
    </w:p>
    <w:p w14:paraId="0981EFCA" w14:textId="77777777" w:rsidR="000C2652" w:rsidRPr="000C2652" w:rsidRDefault="000C2652" w:rsidP="000C2652">
      <w:r w:rsidRPr="000C2652">
        <w:t xml:space="preserve">    - Undeveloped</w:t>
      </w:r>
    </w:p>
    <w:p w14:paraId="58D8D898" w14:textId="77777777" w:rsidR="000C2652" w:rsidRPr="000C2652" w:rsidRDefault="000C2652" w:rsidP="000C2652">
      <w:r w:rsidRPr="000C2652">
        <w:t xml:space="preserve">  - G2: All operational hazards are mitigated</w:t>
      </w:r>
    </w:p>
    <w:p w14:paraId="11FA329D" w14:textId="77777777" w:rsidR="000C2652" w:rsidRPr="000C2652" w:rsidRDefault="000C2652" w:rsidP="000C2652">
      <w:r w:rsidRPr="000C2652">
        <w:t xml:space="preserve">    - C2: Operational hazards are given by GPCA system operational hazards</w:t>
      </w:r>
    </w:p>
    <w:p w14:paraId="46745A05" w14:textId="77777777" w:rsidR="000C2652" w:rsidRPr="000C2652" w:rsidRDefault="000C2652" w:rsidP="000C2652">
      <w:r w:rsidRPr="000C2652">
        <w:t xml:space="preserve">    - S3: Argument over operational hazards</w:t>
      </w:r>
    </w:p>
    <w:p w14:paraId="78AE595D" w14:textId="77777777" w:rsidR="000C2652" w:rsidRPr="000C2652" w:rsidRDefault="000C2652" w:rsidP="000C2652">
      <w:r w:rsidRPr="000C2652">
        <w:t xml:space="preserve">      - G3: Operational hazard leaking is mitigated</w:t>
      </w:r>
    </w:p>
    <w:p w14:paraId="53A74609" w14:textId="77777777" w:rsidR="000C2652" w:rsidRPr="000C2652" w:rsidRDefault="000C2652" w:rsidP="000C2652">
      <w:r w:rsidRPr="000C2652">
        <w:t xml:space="preserve">        - C3: All related scenarios are given by operational hazard scenarios</w:t>
      </w:r>
    </w:p>
    <w:p w14:paraId="5336ADD8" w14:textId="77777777" w:rsidR="000C2652" w:rsidRPr="000C2652" w:rsidRDefault="000C2652" w:rsidP="000C2652">
      <w:r w:rsidRPr="000C2652">
        <w:t xml:space="preserve">        - S4: Argument over the applied scenarios of operational hazard</w:t>
      </w:r>
    </w:p>
    <w:p w14:paraId="73B82ADB" w14:textId="77777777" w:rsidR="000C2652" w:rsidRPr="000C2652" w:rsidRDefault="000C2652" w:rsidP="000C2652">
      <w:r w:rsidRPr="000C2652">
        <w:t xml:space="preserve">          - G4: Operational hazard leaking is mitigated under pump failure scenario</w:t>
      </w:r>
    </w:p>
    <w:p w14:paraId="7B510945" w14:textId="77777777" w:rsidR="000C2652" w:rsidRPr="000C2652" w:rsidRDefault="000C2652" w:rsidP="000C2652">
      <w:r w:rsidRPr="000C2652">
        <w:t xml:space="preserve">            - C4: All related specs are given by pump failure scenario specs</w:t>
      </w:r>
    </w:p>
    <w:p w14:paraId="6EDD83B1" w14:textId="77777777" w:rsidR="000C2652" w:rsidRPr="000C2652" w:rsidRDefault="000C2652" w:rsidP="000C2652">
      <w:r w:rsidRPr="000C2652">
        <w:t xml:space="preserve">            - S5: Argument over all specs related to pump failure scenario</w:t>
      </w:r>
    </w:p>
    <w:p w14:paraId="4311FF3B" w14:textId="77777777" w:rsidR="000C2652" w:rsidRPr="000C2652" w:rsidRDefault="000C2652" w:rsidP="000C2652">
      <w:r w:rsidRPr="000C2652">
        <w:t xml:space="preserve">              - G5: Pump reliability spec is appropriate for pump failure scenario</w:t>
      </w:r>
    </w:p>
    <w:p w14:paraId="247963DC" w14:textId="77777777" w:rsidR="000C2652" w:rsidRPr="000C2652" w:rsidRDefault="000C2652" w:rsidP="000C2652">
      <w:r w:rsidRPr="000C2652">
        <w:t xml:space="preserve">                - C5: Properties are given by pump reliability spec properties</w:t>
      </w:r>
    </w:p>
    <w:p w14:paraId="5FF8B833" w14:textId="77777777" w:rsidR="000C2652" w:rsidRPr="000C2652" w:rsidRDefault="000C2652" w:rsidP="000C2652">
      <w:r w:rsidRPr="000C2652">
        <w:t xml:space="preserve">                - S6: Argument the appropriateness of pump reliability spec over properties</w:t>
      </w:r>
    </w:p>
    <w:p w14:paraId="63BF6F17" w14:textId="77777777" w:rsidR="000C2652" w:rsidRPr="000C2652" w:rsidRDefault="000C2652" w:rsidP="000C2652">
      <w:r w:rsidRPr="000C2652">
        <w:t xml:space="preserve">                  - G6: Reliability property is appropriate for pump reliability spec</w:t>
      </w:r>
    </w:p>
    <w:p w14:paraId="4215BB25" w14:textId="77777777" w:rsidR="000C2652" w:rsidRPr="000C2652" w:rsidRDefault="000C2652" w:rsidP="000C2652">
      <w:r w:rsidRPr="000C2652">
        <w:t xml:space="preserve">                    - C6: Source is given by reliability property source</w:t>
      </w:r>
    </w:p>
    <w:p w14:paraId="56B94299" w14:textId="77777777" w:rsidR="000C2652" w:rsidRPr="000C2652" w:rsidRDefault="000C2652" w:rsidP="000C2652">
      <w:r w:rsidRPr="000C2652">
        <w:t xml:space="preserve">                    - S7: Argument over the source of the reliability property definition</w:t>
      </w:r>
    </w:p>
    <w:p w14:paraId="1C3CBE5A" w14:textId="77777777" w:rsidR="000C2652" w:rsidRPr="000C2652" w:rsidRDefault="000C2652" w:rsidP="000C2652">
      <w:r w:rsidRPr="000C2652">
        <w:t xml:space="preserve">                      - G7: Source of reliability property is appropriate and trustworthy</w:t>
      </w:r>
    </w:p>
    <w:p w14:paraId="615F4335" w14:textId="77777777" w:rsidR="000C2652" w:rsidRPr="000C2652" w:rsidRDefault="000C2652" w:rsidP="000C2652">
      <w:r w:rsidRPr="000C2652">
        <w:t xml:space="preserve">                        - Sn1: Source document from reliable manufacturer</w:t>
      </w:r>
    </w:p>
    <w:p w14:paraId="1EA23128" w14:textId="77777777" w:rsidR="000C2652" w:rsidRPr="000C2652" w:rsidRDefault="000C2652" w:rsidP="000C2652">
      <w:r w:rsidRPr="000C2652">
        <w:t xml:space="preserve">                      - G8: Reliability property definition is sufficient</w:t>
      </w:r>
    </w:p>
    <w:p w14:paraId="4F448A65" w14:textId="77777777" w:rsidR="000C2652" w:rsidRPr="000C2652" w:rsidRDefault="000C2652" w:rsidP="000C2652">
      <w:r w:rsidRPr="000C2652">
        <w:t xml:space="preserve">                        - Sn2: Sufficient reliability property definition provided by technical specification</w:t>
      </w:r>
    </w:p>
    <w:p w14:paraId="137E2DBE" w14:textId="77777777" w:rsidR="000C2652" w:rsidRPr="000C2652" w:rsidRDefault="000C2652" w:rsidP="000C2652">
      <w:r w:rsidRPr="000C2652">
        <w:t xml:space="preserve">      - G3: Operational hazard overdosing is mitigated</w:t>
      </w:r>
    </w:p>
    <w:p w14:paraId="6AAD9ED3" w14:textId="77777777" w:rsidR="000C2652" w:rsidRPr="000C2652" w:rsidRDefault="000C2652" w:rsidP="000C2652">
      <w:r w:rsidRPr="000C2652">
        <w:t xml:space="preserve">        - C3: All related scenarios are given by operational hazard scenarios</w:t>
      </w:r>
    </w:p>
    <w:p w14:paraId="21B2E576" w14:textId="77777777" w:rsidR="000C2652" w:rsidRPr="000C2652" w:rsidRDefault="000C2652" w:rsidP="000C2652">
      <w:r w:rsidRPr="000C2652">
        <w:lastRenderedPageBreak/>
        <w:t xml:space="preserve">        - S4: Argument over the applied scenarios of operational hazard</w:t>
      </w:r>
    </w:p>
    <w:p w14:paraId="6719AD6A" w14:textId="77777777" w:rsidR="000C2652" w:rsidRPr="000C2652" w:rsidRDefault="000C2652" w:rsidP="000C2652">
      <w:r w:rsidRPr="000C2652">
        <w:t xml:space="preserve">          - G4: Operational hazard overdosing is mitigated under software failure scenario</w:t>
      </w:r>
    </w:p>
    <w:p w14:paraId="5F1EBBA2" w14:textId="77777777" w:rsidR="000C2652" w:rsidRPr="000C2652" w:rsidRDefault="000C2652" w:rsidP="000C2652">
      <w:r w:rsidRPr="000C2652">
        <w:t xml:space="preserve">            - C4: All related specs are given by software failure scenario specs</w:t>
      </w:r>
    </w:p>
    <w:p w14:paraId="391126EB" w14:textId="77777777" w:rsidR="000C2652" w:rsidRPr="000C2652" w:rsidRDefault="000C2652" w:rsidP="000C2652">
      <w:r w:rsidRPr="000C2652">
        <w:t xml:space="preserve">            - S5: Argument over all specs related to software failure scenario</w:t>
      </w:r>
    </w:p>
    <w:p w14:paraId="620EE2E1" w14:textId="77777777" w:rsidR="000C2652" w:rsidRPr="000C2652" w:rsidRDefault="000C2652" w:rsidP="000C2652">
      <w:r w:rsidRPr="000C2652">
        <w:t xml:space="preserve">              - G5: Software reliability spec is appropriate for software failure scenario</w:t>
      </w:r>
    </w:p>
    <w:p w14:paraId="7022C5F3" w14:textId="77777777" w:rsidR="000C2652" w:rsidRPr="000C2652" w:rsidRDefault="000C2652" w:rsidP="000C2652">
      <w:r w:rsidRPr="000C2652">
        <w:t xml:space="preserve">                - C5: Properties are given by software reliability spec properties</w:t>
      </w:r>
    </w:p>
    <w:p w14:paraId="0110F0EB" w14:textId="77777777" w:rsidR="000C2652" w:rsidRPr="000C2652" w:rsidRDefault="000C2652" w:rsidP="000C2652">
      <w:r w:rsidRPr="000C2652">
        <w:t xml:space="preserve">                - S6: Argument the appropriateness of software reliability spec over properties</w:t>
      </w:r>
    </w:p>
    <w:p w14:paraId="01F721BF" w14:textId="77777777" w:rsidR="000C2652" w:rsidRPr="000C2652" w:rsidRDefault="000C2652" w:rsidP="000C2652">
      <w:r w:rsidRPr="000C2652">
        <w:t xml:space="preserve">                  - G6: Performance property is appropriate for software reliability spec</w:t>
      </w:r>
    </w:p>
    <w:p w14:paraId="00D63C9C" w14:textId="77777777" w:rsidR="000C2652" w:rsidRPr="000C2652" w:rsidRDefault="000C2652" w:rsidP="000C2652">
      <w:r w:rsidRPr="000C2652">
        <w:t xml:space="preserve">                    - C6: Source is given by performance property source</w:t>
      </w:r>
    </w:p>
    <w:p w14:paraId="35DFEFB2" w14:textId="77777777" w:rsidR="000C2652" w:rsidRPr="000C2652" w:rsidRDefault="000C2652" w:rsidP="000C2652">
      <w:r w:rsidRPr="000C2652">
        <w:t xml:space="preserve">                    - S7: Argument over the source of the performance property definition</w:t>
      </w:r>
    </w:p>
    <w:p w14:paraId="6AFB41A5" w14:textId="77777777" w:rsidR="000C2652" w:rsidRPr="000C2652" w:rsidRDefault="000C2652" w:rsidP="000C2652">
      <w:r w:rsidRPr="000C2652">
        <w:t xml:space="preserve">                      - G7: Source of performance property is appropriate and trustworthy</w:t>
      </w:r>
    </w:p>
    <w:p w14:paraId="4412453C" w14:textId="77777777" w:rsidR="000C2652" w:rsidRPr="000C2652" w:rsidRDefault="000C2652" w:rsidP="000C2652">
      <w:r w:rsidRPr="000C2652">
        <w:t xml:space="preserve">                        - Sn1: Source document from software developer</w:t>
      </w:r>
    </w:p>
    <w:p w14:paraId="0BF6F707" w14:textId="77777777" w:rsidR="000C2652" w:rsidRPr="000C2652" w:rsidRDefault="000C2652" w:rsidP="000C2652">
      <w:r w:rsidRPr="000C2652">
        <w:t xml:space="preserve">                      - G8: Performance property definition is sufficient</w:t>
      </w:r>
    </w:p>
    <w:p w14:paraId="1C6F6E0F" w14:textId="77777777" w:rsidR="000C2652" w:rsidRPr="000C2652" w:rsidRDefault="000C2652" w:rsidP="000C2652">
      <w:r w:rsidRPr="000C2652">
        <w:t xml:space="preserve">                        - Sn2: Sufficient performance property definition provided by software documentation</w:t>
      </w:r>
    </w:p>
    <w:p w14:paraId="79DDF6DC" w14:textId="77777777" w:rsidR="000C2652" w:rsidRPr="000C2652" w:rsidRDefault="000C2652" w:rsidP="000C2652">
      <w:r w:rsidRPr="000C2652">
        <w:t>```</w:t>
      </w:r>
    </w:p>
    <w:p w14:paraId="535445B7" w14:textId="77777777" w:rsidR="000C2652" w:rsidRPr="000C2652" w:rsidRDefault="000C2652" w:rsidP="000C2652"/>
    <w:p w14:paraId="6303579E" w14:textId="77777777" w:rsidR="000C2652" w:rsidRPr="000C2652" w:rsidRDefault="000C2652" w:rsidP="000C2652">
      <w:r w:rsidRPr="000C2652">
        <w:t>In the instantiated safety case for the GPCA system:</w:t>
      </w:r>
    </w:p>
    <w:p w14:paraId="124535F2" w14:textId="77777777" w:rsidR="000C2652" w:rsidRPr="000C2652" w:rsidRDefault="000C2652" w:rsidP="000C2652">
      <w:r w:rsidRPr="000C2652">
        <w:t xml:space="preserve">1. All placeholders </w:t>
      </w:r>
      <w:proofErr w:type="gramStart"/>
      <w:r w:rsidRPr="000C2652">
        <w:t>`{</w:t>
      </w:r>
      <w:proofErr w:type="gramEnd"/>
      <w:r w:rsidRPr="000C2652">
        <w:t>}` have been replaced with the concrete and system-specific information.</w:t>
      </w:r>
    </w:p>
    <w:p w14:paraId="04334DD3" w14:textId="77777777" w:rsidR="000C2652" w:rsidRPr="000C2652" w:rsidRDefault="000C2652" w:rsidP="000C2652">
      <w:r w:rsidRPr="000C2652">
        <w:t>2. The hierarchical structure employs dashes (-) to represent different levels.</w:t>
      </w:r>
    </w:p>
    <w:p w14:paraId="3F3D4103" w14:textId="77777777" w:rsidR="000C2652" w:rsidRPr="000C2652" w:rsidRDefault="000C2652" w:rsidP="000C2652">
      <w:r w:rsidRPr="000C2652">
        <w:t>3. Combined with some undeveloped sections as indicated by the provided pattern, the structure illustrates how the operational hazards are mitigated, supported by arguments, contexts, and evidence in the form of solutions.</w:t>
      </w:r>
    </w:p>
    <w:p w14:paraId="10E97A1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C36"/>
    <w:rsid w:val="000C2652"/>
    <w:rsid w:val="00204EC0"/>
    <w:rsid w:val="002522B1"/>
    <w:rsid w:val="00FD1C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B5CA"/>
  <w15:chartTrackingRefBased/>
  <w15:docId w15:val="{A6C5063E-F1E2-4582-B276-69A4159E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C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D1C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D1C3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D1C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D1C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D1C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1C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1C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1C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C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1C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1C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1C3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1C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1C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1C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1C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1C36"/>
    <w:rPr>
      <w:rFonts w:eastAsiaTheme="majorEastAsia" w:cstheme="majorBidi"/>
      <w:color w:val="272727" w:themeColor="text1" w:themeTint="D8"/>
    </w:rPr>
  </w:style>
  <w:style w:type="paragraph" w:styleId="Title">
    <w:name w:val="Title"/>
    <w:basedOn w:val="Normal"/>
    <w:next w:val="Normal"/>
    <w:link w:val="TitleChar"/>
    <w:uiPriority w:val="10"/>
    <w:qFormat/>
    <w:rsid w:val="00FD1C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1C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1C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1C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1C36"/>
    <w:pPr>
      <w:spacing w:before="160"/>
      <w:jc w:val="center"/>
    </w:pPr>
    <w:rPr>
      <w:i/>
      <w:iCs/>
      <w:color w:val="404040" w:themeColor="text1" w:themeTint="BF"/>
    </w:rPr>
  </w:style>
  <w:style w:type="character" w:customStyle="1" w:styleId="QuoteChar">
    <w:name w:val="Quote Char"/>
    <w:basedOn w:val="DefaultParagraphFont"/>
    <w:link w:val="Quote"/>
    <w:uiPriority w:val="29"/>
    <w:rsid w:val="00FD1C36"/>
    <w:rPr>
      <w:i/>
      <w:iCs/>
      <w:color w:val="404040" w:themeColor="text1" w:themeTint="BF"/>
    </w:rPr>
  </w:style>
  <w:style w:type="paragraph" w:styleId="ListParagraph">
    <w:name w:val="List Paragraph"/>
    <w:basedOn w:val="Normal"/>
    <w:uiPriority w:val="34"/>
    <w:qFormat/>
    <w:rsid w:val="00FD1C36"/>
    <w:pPr>
      <w:ind w:left="720"/>
      <w:contextualSpacing/>
    </w:pPr>
  </w:style>
  <w:style w:type="character" w:styleId="IntenseEmphasis">
    <w:name w:val="Intense Emphasis"/>
    <w:basedOn w:val="DefaultParagraphFont"/>
    <w:uiPriority w:val="21"/>
    <w:qFormat/>
    <w:rsid w:val="00FD1C36"/>
    <w:rPr>
      <w:i/>
      <w:iCs/>
      <w:color w:val="2F5496" w:themeColor="accent1" w:themeShade="BF"/>
    </w:rPr>
  </w:style>
  <w:style w:type="paragraph" w:styleId="IntenseQuote">
    <w:name w:val="Intense Quote"/>
    <w:basedOn w:val="Normal"/>
    <w:next w:val="Normal"/>
    <w:link w:val="IntenseQuoteChar"/>
    <w:uiPriority w:val="30"/>
    <w:qFormat/>
    <w:rsid w:val="00FD1C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D1C36"/>
    <w:rPr>
      <w:i/>
      <w:iCs/>
      <w:color w:val="2F5496" w:themeColor="accent1" w:themeShade="BF"/>
    </w:rPr>
  </w:style>
  <w:style w:type="character" w:styleId="IntenseReference">
    <w:name w:val="Intense Reference"/>
    <w:basedOn w:val="DefaultParagraphFont"/>
    <w:uiPriority w:val="32"/>
    <w:qFormat/>
    <w:rsid w:val="00FD1C3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01818">
      <w:bodyDiv w:val="1"/>
      <w:marLeft w:val="0"/>
      <w:marRight w:val="0"/>
      <w:marTop w:val="0"/>
      <w:marBottom w:val="0"/>
      <w:divBdr>
        <w:top w:val="none" w:sz="0" w:space="0" w:color="auto"/>
        <w:left w:val="none" w:sz="0" w:space="0" w:color="auto"/>
        <w:bottom w:val="none" w:sz="0" w:space="0" w:color="auto"/>
        <w:right w:val="none" w:sz="0" w:space="0" w:color="auto"/>
      </w:divBdr>
      <w:divsChild>
        <w:div w:id="16007593">
          <w:marLeft w:val="0"/>
          <w:marRight w:val="0"/>
          <w:marTop w:val="0"/>
          <w:marBottom w:val="0"/>
          <w:divBdr>
            <w:top w:val="none" w:sz="0" w:space="0" w:color="auto"/>
            <w:left w:val="none" w:sz="0" w:space="0" w:color="auto"/>
            <w:bottom w:val="none" w:sz="0" w:space="0" w:color="auto"/>
            <w:right w:val="none" w:sz="0" w:space="0" w:color="auto"/>
          </w:divBdr>
          <w:divsChild>
            <w:div w:id="340621671">
              <w:marLeft w:val="0"/>
              <w:marRight w:val="0"/>
              <w:marTop w:val="0"/>
              <w:marBottom w:val="0"/>
              <w:divBdr>
                <w:top w:val="none" w:sz="0" w:space="0" w:color="auto"/>
                <w:left w:val="none" w:sz="0" w:space="0" w:color="auto"/>
                <w:bottom w:val="none" w:sz="0" w:space="0" w:color="auto"/>
                <w:right w:val="none" w:sz="0" w:space="0" w:color="auto"/>
              </w:divBdr>
              <w:divsChild>
                <w:div w:id="1819027799">
                  <w:marLeft w:val="45"/>
                  <w:marRight w:val="0"/>
                  <w:marTop w:val="105"/>
                  <w:marBottom w:val="75"/>
                  <w:divBdr>
                    <w:top w:val="none" w:sz="0" w:space="0" w:color="auto"/>
                    <w:left w:val="none" w:sz="0" w:space="0" w:color="auto"/>
                    <w:bottom w:val="none" w:sz="0" w:space="0" w:color="auto"/>
                    <w:right w:val="none" w:sz="0" w:space="0" w:color="auto"/>
                  </w:divBdr>
                  <w:divsChild>
                    <w:div w:id="266430704">
                      <w:marLeft w:val="0"/>
                      <w:marRight w:val="0"/>
                      <w:marTop w:val="0"/>
                      <w:marBottom w:val="0"/>
                      <w:divBdr>
                        <w:top w:val="none" w:sz="0" w:space="0" w:color="auto"/>
                        <w:left w:val="none" w:sz="0" w:space="0" w:color="auto"/>
                        <w:bottom w:val="none" w:sz="0" w:space="0" w:color="auto"/>
                        <w:right w:val="none" w:sz="0" w:space="0" w:color="auto"/>
                      </w:divBdr>
                      <w:divsChild>
                        <w:div w:id="313215732">
                          <w:marLeft w:val="0"/>
                          <w:marRight w:val="0"/>
                          <w:marTop w:val="0"/>
                          <w:marBottom w:val="0"/>
                          <w:divBdr>
                            <w:top w:val="none" w:sz="0" w:space="0" w:color="auto"/>
                            <w:left w:val="none" w:sz="0" w:space="0" w:color="auto"/>
                            <w:bottom w:val="none" w:sz="0" w:space="0" w:color="auto"/>
                            <w:right w:val="none" w:sz="0" w:space="0" w:color="auto"/>
                          </w:divBdr>
                          <w:divsChild>
                            <w:div w:id="1914318327">
                              <w:marLeft w:val="0"/>
                              <w:marRight w:val="0"/>
                              <w:marTop w:val="0"/>
                              <w:marBottom w:val="0"/>
                              <w:divBdr>
                                <w:top w:val="none" w:sz="0" w:space="0" w:color="auto"/>
                                <w:left w:val="none" w:sz="0" w:space="0" w:color="auto"/>
                                <w:bottom w:val="none" w:sz="0" w:space="0" w:color="auto"/>
                                <w:right w:val="none" w:sz="0" w:space="0" w:color="auto"/>
                              </w:divBdr>
                              <w:divsChild>
                                <w:div w:id="1552769244">
                                  <w:marLeft w:val="0"/>
                                  <w:marRight w:val="0"/>
                                  <w:marTop w:val="0"/>
                                  <w:marBottom w:val="0"/>
                                  <w:divBdr>
                                    <w:top w:val="none" w:sz="0" w:space="0" w:color="auto"/>
                                    <w:left w:val="none" w:sz="0" w:space="0" w:color="auto"/>
                                    <w:bottom w:val="none" w:sz="0" w:space="0" w:color="auto"/>
                                    <w:right w:val="none" w:sz="0" w:space="0" w:color="auto"/>
                                  </w:divBdr>
                                  <w:divsChild>
                                    <w:div w:id="1258173056">
                                      <w:marLeft w:val="0"/>
                                      <w:marRight w:val="0"/>
                                      <w:marTop w:val="0"/>
                                      <w:marBottom w:val="0"/>
                                      <w:divBdr>
                                        <w:top w:val="none" w:sz="0" w:space="0" w:color="auto"/>
                                        <w:left w:val="none" w:sz="0" w:space="0" w:color="auto"/>
                                        <w:bottom w:val="none" w:sz="0" w:space="0" w:color="auto"/>
                                        <w:right w:val="none" w:sz="0" w:space="0" w:color="auto"/>
                                      </w:divBdr>
                                      <w:divsChild>
                                        <w:div w:id="1025130589">
                                          <w:marLeft w:val="0"/>
                                          <w:marRight w:val="0"/>
                                          <w:marTop w:val="0"/>
                                          <w:marBottom w:val="0"/>
                                          <w:divBdr>
                                            <w:top w:val="none" w:sz="0" w:space="0" w:color="auto"/>
                                            <w:left w:val="none" w:sz="0" w:space="0" w:color="auto"/>
                                            <w:bottom w:val="none" w:sz="0" w:space="0" w:color="auto"/>
                                            <w:right w:val="none" w:sz="0" w:space="0" w:color="auto"/>
                                          </w:divBdr>
                                          <w:divsChild>
                                            <w:div w:id="1065877966">
                                              <w:marLeft w:val="0"/>
                                              <w:marRight w:val="0"/>
                                              <w:marTop w:val="15"/>
                                              <w:marBottom w:val="0"/>
                                              <w:divBdr>
                                                <w:top w:val="none" w:sz="0" w:space="0" w:color="auto"/>
                                                <w:left w:val="none" w:sz="0" w:space="0" w:color="auto"/>
                                                <w:bottom w:val="none" w:sz="0" w:space="0" w:color="auto"/>
                                                <w:right w:val="none" w:sz="0" w:space="0" w:color="auto"/>
                                              </w:divBdr>
                                              <w:divsChild>
                                                <w:div w:id="237596424">
                                                  <w:marLeft w:val="0"/>
                                                  <w:marRight w:val="15"/>
                                                  <w:marTop w:val="0"/>
                                                  <w:marBottom w:val="0"/>
                                                  <w:divBdr>
                                                    <w:top w:val="none" w:sz="0" w:space="0" w:color="auto"/>
                                                    <w:left w:val="none" w:sz="0" w:space="0" w:color="auto"/>
                                                    <w:bottom w:val="none" w:sz="0" w:space="0" w:color="auto"/>
                                                    <w:right w:val="none" w:sz="0" w:space="0" w:color="auto"/>
                                                  </w:divBdr>
                                                  <w:divsChild>
                                                    <w:div w:id="1537307720">
                                                      <w:marLeft w:val="0"/>
                                                      <w:marRight w:val="0"/>
                                                      <w:marTop w:val="0"/>
                                                      <w:marBottom w:val="0"/>
                                                      <w:divBdr>
                                                        <w:top w:val="none" w:sz="0" w:space="0" w:color="auto"/>
                                                        <w:left w:val="none" w:sz="0" w:space="0" w:color="auto"/>
                                                        <w:bottom w:val="none" w:sz="0" w:space="0" w:color="auto"/>
                                                        <w:right w:val="none" w:sz="0" w:space="0" w:color="auto"/>
                                                      </w:divBdr>
                                                      <w:divsChild>
                                                        <w:div w:id="1402098826">
                                                          <w:marLeft w:val="0"/>
                                                          <w:marRight w:val="0"/>
                                                          <w:marTop w:val="0"/>
                                                          <w:marBottom w:val="0"/>
                                                          <w:divBdr>
                                                            <w:top w:val="none" w:sz="0" w:space="0" w:color="auto"/>
                                                            <w:left w:val="none" w:sz="0" w:space="0" w:color="auto"/>
                                                            <w:bottom w:val="none" w:sz="0" w:space="0" w:color="auto"/>
                                                            <w:right w:val="none" w:sz="0" w:space="0" w:color="auto"/>
                                                          </w:divBdr>
                                                          <w:divsChild>
                                                            <w:div w:id="1687710593">
                                                              <w:marLeft w:val="0"/>
                                                              <w:marRight w:val="0"/>
                                                              <w:marTop w:val="0"/>
                                                              <w:marBottom w:val="0"/>
                                                              <w:divBdr>
                                                                <w:top w:val="none" w:sz="0" w:space="0" w:color="auto"/>
                                                                <w:left w:val="none" w:sz="0" w:space="0" w:color="auto"/>
                                                                <w:bottom w:val="none" w:sz="0" w:space="0" w:color="auto"/>
                                                                <w:right w:val="none" w:sz="0" w:space="0" w:color="auto"/>
                                                              </w:divBdr>
                                                              <w:divsChild>
                                                                <w:div w:id="1340814769">
                                                                  <w:marLeft w:val="0"/>
                                                                  <w:marRight w:val="0"/>
                                                                  <w:marTop w:val="0"/>
                                                                  <w:marBottom w:val="0"/>
                                                                  <w:divBdr>
                                                                    <w:top w:val="none" w:sz="0" w:space="0" w:color="auto"/>
                                                                    <w:left w:val="none" w:sz="0" w:space="0" w:color="auto"/>
                                                                    <w:bottom w:val="none" w:sz="0" w:space="0" w:color="auto"/>
                                                                    <w:right w:val="none" w:sz="0" w:space="0" w:color="auto"/>
                                                                  </w:divBdr>
                                                                  <w:divsChild>
                                                                    <w:div w:id="133067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125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2899">
      <w:bodyDiv w:val="1"/>
      <w:marLeft w:val="0"/>
      <w:marRight w:val="0"/>
      <w:marTop w:val="0"/>
      <w:marBottom w:val="0"/>
      <w:divBdr>
        <w:top w:val="none" w:sz="0" w:space="0" w:color="auto"/>
        <w:left w:val="none" w:sz="0" w:space="0" w:color="auto"/>
        <w:bottom w:val="none" w:sz="0" w:space="0" w:color="auto"/>
        <w:right w:val="none" w:sz="0" w:space="0" w:color="auto"/>
      </w:divBdr>
      <w:divsChild>
        <w:div w:id="1995139350">
          <w:marLeft w:val="0"/>
          <w:marRight w:val="0"/>
          <w:marTop w:val="0"/>
          <w:marBottom w:val="0"/>
          <w:divBdr>
            <w:top w:val="none" w:sz="0" w:space="0" w:color="auto"/>
            <w:left w:val="none" w:sz="0" w:space="0" w:color="auto"/>
            <w:bottom w:val="none" w:sz="0" w:space="0" w:color="auto"/>
            <w:right w:val="none" w:sz="0" w:space="0" w:color="auto"/>
          </w:divBdr>
          <w:divsChild>
            <w:div w:id="448473708">
              <w:marLeft w:val="0"/>
              <w:marRight w:val="0"/>
              <w:marTop w:val="0"/>
              <w:marBottom w:val="0"/>
              <w:divBdr>
                <w:top w:val="none" w:sz="0" w:space="0" w:color="auto"/>
                <w:left w:val="none" w:sz="0" w:space="0" w:color="auto"/>
                <w:bottom w:val="none" w:sz="0" w:space="0" w:color="auto"/>
                <w:right w:val="none" w:sz="0" w:space="0" w:color="auto"/>
              </w:divBdr>
              <w:divsChild>
                <w:div w:id="1215896692">
                  <w:marLeft w:val="45"/>
                  <w:marRight w:val="0"/>
                  <w:marTop w:val="105"/>
                  <w:marBottom w:val="75"/>
                  <w:divBdr>
                    <w:top w:val="none" w:sz="0" w:space="0" w:color="auto"/>
                    <w:left w:val="none" w:sz="0" w:space="0" w:color="auto"/>
                    <w:bottom w:val="none" w:sz="0" w:space="0" w:color="auto"/>
                    <w:right w:val="none" w:sz="0" w:space="0" w:color="auto"/>
                  </w:divBdr>
                  <w:divsChild>
                    <w:div w:id="2033146841">
                      <w:marLeft w:val="0"/>
                      <w:marRight w:val="0"/>
                      <w:marTop w:val="0"/>
                      <w:marBottom w:val="0"/>
                      <w:divBdr>
                        <w:top w:val="none" w:sz="0" w:space="0" w:color="auto"/>
                        <w:left w:val="none" w:sz="0" w:space="0" w:color="auto"/>
                        <w:bottom w:val="none" w:sz="0" w:space="0" w:color="auto"/>
                        <w:right w:val="none" w:sz="0" w:space="0" w:color="auto"/>
                      </w:divBdr>
                      <w:divsChild>
                        <w:div w:id="1769421558">
                          <w:marLeft w:val="0"/>
                          <w:marRight w:val="0"/>
                          <w:marTop w:val="0"/>
                          <w:marBottom w:val="0"/>
                          <w:divBdr>
                            <w:top w:val="none" w:sz="0" w:space="0" w:color="auto"/>
                            <w:left w:val="none" w:sz="0" w:space="0" w:color="auto"/>
                            <w:bottom w:val="none" w:sz="0" w:space="0" w:color="auto"/>
                            <w:right w:val="none" w:sz="0" w:space="0" w:color="auto"/>
                          </w:divBdr>
                          <w:divsChild>
                            <w:div w:id="314649024">
                              <w:marLeft w:val="0"/>
                              <w:marRight w:val="0"/>
                              <w:marTop w:val="0"/>
                              <w:marBottom w:val="0"/>
                              <w:divBdr>
                                <w:top w:val="none" w:sz="0" w:space="0" w:color="auto"/>
                                <w:left w:val="none" w:sz="0" w:space="0" w:color="auto"/>
                                <w:bottom w:val="none" w:sz="0" w:space="0" w:color="auto"/>
                                <w:right w:val="none" w:sz="0" w:space="0" w:color="auto"/>
                              </w:divBdr>
                              <w:divsChild>
                                <w:div w:id="842859494">
                                  <w:marLeft w:val="0"/>
                                  <w:marRight w:val="0"/>
                                  <w:marTop w:val="0"/>
                                  <w:marBottom w:val="0"/>
                                  <w:divBdr>
                                    <w:top w:val="none" w:sz="0" w:space="0" w:color="auto"/>
                                    <w:left w:val="none" w:sz="0" w:space="0" w:color="auto"/>
                                    <w:bottom w:val="none" w:sz="0" w:space="0" w:color="auto"/>
                                    <w:right w:val="none" w:sz="0" w:space="0" w:color="auto"/>
                                  </w:divBdr>
                                  <w:divsChild>
                                    <w:div w:id="1812822639">
                                      <w:marLeft w:val="0"/>
                                      <w:marRight w:val="0"/>
                                      <w:marTop w:val="0"/>
                                      <w:marBottom w:val="0"/>
                                      <w:divBdr>
                                        <w:top w:val="none" w:sz="0" w:space="0" w:color="auto"/>
                                        <w:left w:val="none" w:sz="0" w:space="0" w:color="auto"/>
                                        <w:bottom w:val="none" w:sz="0" w:space="0" w:color="auto"/>
                                        <w:right w:val="none" w:sz="0" w:space="0" w:color="auto"/>
                                      </w:divBdr>
                                      <w:divsChild>
                                        <w:div w:id="1424111489">
                                          <w:marLeft w:val="0"/>
                                          <w:marRight w:val="0"/>
                                          <w:marTop w:val="0"/>
                                          <w:marBottom w:val="0"/>
                                          <w:divBdr>
                                            <w:top w:val="none" w:sz="0" w:space="0" w:color="auto"/>
                                            <w:left w:val="none" w:sz="0" w:space="0" w:color="auto"/>
                                            <w:bottom w:val="none" w:sz="0" w:space="0" w:color="auto"/>
                                            <w:right w:val="none" w:sz="0" w:space="0" w:color="auto"/>
                                          </w:divBdr>
                                          <w:divsChild>
                                            <w:div w:id="1562595162">
                                              <w:marLeft w:val="0"/>
                                              <w:marRight w:val="0"/>
                                              <w:marTop w:val="15"/>
                                              <w:marBottom w:val="0"/>
                                              <w:divBdr>
                                                <w:top w:val="none" w:sz="0" w:space="0" w:color="auto"/>
                                                <w:left w:val="none" w:sz="0" w:space="0" w:color="auto"/>
                                                <w:bottom w:val="none" w:sz="0" w:space="0" w:color="auto"/>
                                                <w:right w:val="none" w:sz="0" w:space="0" w:color="auto"/>
                                              </w:divBdr>
                                              <w:divsChild>
                                                <w:div w:id="371151003">
                                                  <w:marLeft w:val="0"/>
                                                  <w:marRight w:val="15"/>
                                                  <w:marTop w:val="0"/>
                                                  <w:marBottom w:val="0"/>
                                                  <w:divBdr>
                                                    <w:top w:val="none" w:sz="0" w:space="0" w:color="auto"/>
                                                    <w:left w:val="none" w:sz="0" w:space="0" w:color="auto"/>
                                                    <w:bottom w:val="none" w:sz="0" w:space="0" w:color="auto"/>
                                                    <w:right w:val="none" w:sz="0" w:space="0" w:color="auto"/>
                                                  </w:divBdr>
                                                  <w:divsChild>
                                                    <w:div w:id="106170139">
                                                      <w:marLeft w:val="0"/>
                                                      <w:marRight w:val="0"/>
                                                      <w:marTop w:val="0"/>
                                                      <w:marBottom w:val="0"/>
                                                      <w:divBdr>
                                                        <w:top w:val="none" w:sz="0" w:space="0" w:color="auto"/>
                                                        <w:left w:val="none" w:sz="0" w:space="0" w:color="auto"/>
                                                        <w:bottom w:val="none" w:sz="0" w:space="0" w:color="auto"/>
                                                        <w:right w:val="none" w:sz="0" w:space="0" w:color="auto"/>
                                                      </w:divBdr>
                                                      <w:divsChild>
                                                        <w:div w:id="44107590">
                                                          <w:marLeft w:val="0"/>
                                                          <w:marRight w:val="0"/>
                                                          <w:marTop w:val="0"/>
                                                          <w:marBottom w:val="0"/>
                                                          <w:divBdr>
                                                            <w:top w:val="none" w:sz="0" w:space="0" w:color="auto"/>
                                                            <w:left w:val="none" w:sz="0" w:space="0" w:color="auto"/>
                                                            <w:bottom w:val="none" w:sz="0" w:space="0" w:color="auto"/>
                                                            <w:right w:val="none" w:sz="0" w:space="0" w:color="auto"/>
                                                          </w:divBdr>
                                                          <w:divsChild>
                                                            <w:div w:id="1252003374">
                                                              <w:marLeft w:val="0"/>
                                                              <w:marRight w:val="0"/>
                                                              <w:marTop w:val="0"/>
                                                              <w:marBottom w:val="0"/>
                                                              <w:divBdr>
                                                                <w:top w:val="none" w:sz="0" w:space="0" w:color="auto"/>
                                                                <w:left w:val="none" w:sz="0" w:space="0" w:color="auto"/>
                                                                <w:bottom w:val="none" w:sz="0" w:space="0" w:color="auto"/>
                                                                <w:right w:val="none" w:sz="0" w:space="0" w:color="auto"/>
                                                              </w:divBdr>
                                                              <w:divsChild>
                                                                <w:div w:id="1578902489">
                                                                  <w:marLeft w:val="0"/>
                                                                  <w:marRight w:val="0"/>
                                                                  <w:marTop w:val="0"/>
                                                                  <w:marBottom w:val="0"/>
                                                                  <w:divBdr>
                                                                    <w:top w:val="none" w:sz="0" w:space="0" w:color="auto"/>
                                                                    <w:left w:val="none" w:sz="0" w:space="0" w:color="auto"/>
                                                                    <w:bottom w:val="none" w:sz="0" w:space="0" w:color="auto"/>
                                                                    <w:right w:val="none" w:sz="0" w:space="0" w:color="auto"/>
                                                                  </w:divBdr>
                                                                  <w:divsChild>
                                                                    <w:div w:id="12796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246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3026</Characters>
  <Application>Microsoft Office Word</Application>
  <DocSecurity>0</DocSecurity>
  <Lines>25</Lines>
  <Paragraphs>7</Paragraphs>
  <ScaleCrop>false</ScaleCrop>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2024-08-11T06:43:00Z</dcterms:created>
  <dcterms:modified xsi:type="dcterms:W3CDTF">2024-08-11T06:48:00Z</dcterms:modified>
</cp:coreProperties>
</file>