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3B762" w14:textId="77777777" w:rsidR="00C327F1" w:rsidRPr="00C327F1" w:rsidRDefault="00C327F1" w:rsidP="00C327F1">
      <w:r w:rsidRPr="00C327F1">
        <w:t>Creating a safety case for a Generic Patient-Controlled Analgesia (GPCA) system involves documenting and structuring the arguments and evidence that demonstrate the system is safe for use. The Goal Structuring Notation (GSN) will help in visualizing this in a hierarchical tree format.</w:t>
      </w:r>
    </w:p>
    <w:p w14:paraId="7A3F0244" w14:textId="77777777" w:rsidR="00C327F1" w:rsidRPr="00C327F1" w:rsidRDefault="00C327F1" w:rsidP="00C327F1"/>
    <w:p w14:paraId="5E46D879" w14:textId="77777777" w:rsidR="00C327F1" w:rsidRPr="00C327F1" w:rsidRDefault="00C327F1" w:rsidP="00C327F1">
      <w:r w:rsidRPr="00C327F1">
        <w:t>Here’s an example of a safety case for a GPCA system using GSN:</w:t>
      </w:r>
    </w:p>
    <w:p w14:paraId="5EEB77D7" w14:textId="77777777" w:rsidR="00C327F1" w:rsidRPr="00C327F1" w:rsidRDefault="00C327F1" w:rsidP="00C327F1"/>
    <w:p w14:paraId="0A6163CD" w14:textId="77777777" w:rsidR="00C327F1" w:rsidRPr="00C327F1" w:rsidRDefault="00C327F1" w:rsidP="00C327F1">
      <w:r w:rsidRPr="00C327F1">
        <w:t>```</w:t>
      </w:r>
    </w:p>
    <w:p w14:paraId="553E6A24" w14:textId="77777777" w:rsidR="00C327F1" w:rsidRPr="00C327F1" w:rsidRDefault="00C327F1" w:rsidP="00C327F1">
      <w:r w:rsidRPr="00C327F1">
        <w:t>- G1: The GPCA system is acceptably safe for use in clinical settings.</w:t>
      </w:r>
    </w:p>
    <w:p w14:paraId="567AC988" w14:textId="77777777" w:rsidR="00C327F1" w:rsidRPr="00C327F1" w:rsidRDefault="00C327F1" w:rsidP="00C327F1">
      <w:r w:rsidRPr="00C327F1">
        <w:t xml:space="preserve">  - C1: Safety standards for medical devices will be followed.</w:t>
      </w:r>
    </w:p>
    <w:p w14:paraId="3F925A2C" w14:textId="77777777" w:rsidR="00C327F1" w:rsidRPr="00C327F1" w:rsidRDefault="00C327F1" w:rsidP="00C327F1">
      <w:r w:rsidRPr="00C327F1">
        <w:t xml:space="preserve">  - S1: [Context] </w:t>
      </w:r>
      <w:proofErr w:type="gramStart"/>
      <w:r w:rsidRPr="00C327F1">
        <w:t>The</w:t>
      </w:r>
      <w:proofErr w:type="gramEnd"/>
      <w:r w:rsidRPr="00C327F1">
        <w:t xml:space="preserve"> GPCA system is intended for use in hospitals by patients for pain management.</w:t>
      </w:r>
    </w:p>
    <w:p w14:paraId="6C9A15CF" w14:textId="77777777" w:rsidR="00C327F1" w:rsidRPr="00C327F1" w:rsidRDefault="00C327F1" w:rsidP="00C327F1">
      <w:r w:rsidRPr="00C327F1">
        <w:t xml:space="preserve">  - G2: All identified hazards associated with the GPCA system are acceptably controlled.</w:t>
      </w:r>
    </w:p>
    <w:p w14:paraId="6E439F81" w14:textId="77777777" w:rsidR="00C327F1" w:rsidRPr="00C327F1" w:rsidRDefault="00C327F1" w:rsidP="00C327F1">
      <w:r w:rsidRPr="00C327F1">
        <w:t xml:space="preserve">    - S2: [Strategy] Hazard analysis and risk mitigation strategy.</w:t>
      </w:r>
    </w:p>
    <w:p w14:paraId="334B1B10" w14:textId="77777777" w:rsidR="00C327F1" w:rsidRPr="00C327F1" w:rsidRDefault="00C327F1" w:rsidP="00C327F1">
      <w:r w:rsidRPr="00C327F1">
        <w:t xml:space="preserve">      - SC1: Risk Management Process</w:t>
      </w:r>
    </w:p>
    <w:p w14:paraId="635A10BF" w14:textId="77777777" w:rsidR="00C327F1" w:rsidRPr="00C327F1" w:rsidRDefault="00C327F1" w:rsidP="00C327F1">
      <w:r w:rsidRPr="00C327F1">
        <w:t xml:space="preserve">        - C2: Following ISO 14971 standard for risk management of medical devices.</w:t>
      </w:r>
    </w:p>
    <w:p w14:paraId="11416AB9" w14:textId="77777777" w:rsidR="00C327F1" w:rsidRPr="00C327F1" w:rsidRDefault="00C327F1" w:rsidP="00C327F1">
      <w:r w:rsidRPr="00C327F1">
        <w:t xml:space="preserve">        - G3: Major risks have been identified and assessed.</w:t>
      </w:r>
    </w:p>
    <w:p w14:paraId="15A7EDF0" w14:textId="77777777" w:rsidR="00C327F1" w:rsidRPr="00C327F1" w:rsidRDefault="00C327F1" w:rsidP="00C327F1">
      <w:r w:rsidRPr="00C327F1">
        <w:t xml:space="preserve">          - S3: [Strategy] Complete Hazard and Risk Analysis.</w:t>
      </w:r>
    </w:p>
    <w:p w14:paraId="665FC28A" w14:textId="77777777" w:rsidR="00C327F1" w:rsidRPr="00C327F1" w:rsidRDefault="00C327F1" w:rsidP="00C327F1">
      <w:r w:rsidRPr="00C327F1">
        <w:t xml:space="preserve">            - E1: HRA Report dated MM/DD/YYYY</w:t>
      </w:r>
    </w:p>
    <w:p w14:paraId="02B70460" w14:textId="77777777" w:rsidR="00C327F1" w:rsidRPr="00C327F1" w:rsidRDefault="00C327F1" w:rsidP="00C327F1">
      <w:r w:rsidRPr="00C327F1">
        <w:t xml:space="preserve">            - G4: The risk of overdose is controlled to an acceptable level.</w:t>
      </w:r>
    </w:p>
    <w:p w14:paraId="422F7AFE" w14:textId="77777777" w:rsidR="00C327F1" w:rsidRPr="00C327F1" w:rsidRDefault="00C327F1" w:rsidP="00C327F1">
      <w:r w:rsidRPr="00C327F1">
        <w:t xml:space="preserve">              - S4: [Strategy] Implement and verify overdose prevention mechanisms.</w:t>
      </w:r>
    </w:p>
    <w:p w14:paraId="328E2AE2" w14:textId="77777777" w:rsidR="00C327F1" w:rsidRPr="00C327F1" w:rsidRDefault="00C327F1" w:rsidP="00C327F1">
      <w:r w:rsidRPr="00C327F1">
        <w:t xml:space="preserve">                - E2: Dose limit feature verification report</w:t>
      </w:r>
    </w:p>
    <w:p w14:paraId="130FEAF5" w14:textId="77777777" w:rsidR="00C327F1" w:rsidRPr="00C327F1" w:rsidRDefault="00C327F1" w:rsidP="00C327F1">
      <w:r w:rsidRPr="00C327F1">
        <w:t xml:space="preserve">                - E3: Clinical trial results showing safe dose administration</w:t>
      </w:r>
    </w:p>
    <w:p w14:paraId="64B57E16" w14:textId="77777777" w:rsidR="00C327F1" w:rsidRPr="00C327F1" w:rsidRDefault="00C327F1" w:rsidP="00C327F1">
      <w:r w:rsidRPr="00C327F1">
        <w:t xml:space="preserve">            - G5: The risk of equipment malfunction is controlled to an acceptable level.</w:t>
      </w:r>
    </w:p>
    <w:p w14:paraId="21B2FDF7" w14:textId="77777777" w:rsidR="00C327F1" w:rsidRPr="00C327F1" w:rsidRDefault="00C327F1" w:rsidP="00C327F1">
      <w:r w:rsidRPr="00C327F1">
        <w:t xml:space="preserve">              - S5: [Strategy] Dependability and reliability analysis.</w:t>
      </w:r>
    </w:p>
    <w:p w14:paraId="6AC5BCC0" w14:textId="77777777" w:rsidR="00C327F1" w:rsidRPr="00C327F1" w:rsidRDefault="00C327F1" w:rsidP="00C327F1">
      <w:r w:rsidRPr="00C327F1">
        <w:t xml:space="preserve">                - E4: Reliability testing report</w:t>
      </w:r>
    </w:p>
    <w:p w14:paraId="3EE711A7" w14:textId="77777777" w:rsidR="00C327F1" w:rsidRPr="00C327F1" w:rsidRDefault="00C327F1" w:rsidP="00C327F1">
      <w:r w:rsidRPr="00C327F1">
        <w:t xml:space="preserve">                - E5: Maintenance and error log analysis</w:t>
      </w:r>
    </w:p>
    <w:p w14:paraId="419D0FE8" w14:textId="77777777" w:rsidR="00C327F1" w:rsidRPr="00C327F1" w:rsidRDefault="00C327F1" w:rsidP="00C327F1">
      <w:r w:rsidRPr="00C327F1">
        <w:t xml:space="preserve">            - G6: User errors are minimized through effective design and training.</w:t>
      </w:r>
    </w:p>
    <w:p w14:paraId="417801C3" w14:textId="77777777" w:rsidR="00C327F1" w:rsidRPr="00C327F1" w:rsidRDefault="00C327F1" w:rsidP="00C327F1">
      <w:r w:rsidRPr="00C327F1">
        <w:t xml:space="preserve">              - S6: [Strategy] User-Centered Design and Training Programs.</w:t>
      </w:r>
    </w:p>
    <w:p w14:paraId="33E85E72" w14:textId="77777777" w:rsidR="00C327F1" w:rsidRPr="00C327F1" w:rsidRDefault="00C327F1" w:rsidP="00C327F1">
      <w:r w:rsidRPr="00C327F1">
        <w:t xml:space="preserve">                - E6: Usability testing report</w:t>
      </w:r>
    </w:p>
    <w:p w14:paraId="747C15A0" w14:textId="77777777" w:rsidR="00C327F1" w:rsidRPr="00C327F1" w:rsidRDefault="00C327F1" w:rsidP="00C327F1">
      <w:r w:rsidRPr="00C327F1">
        <w:t xml:space="preserve">                - E7: Training program documentation</w:t>
      </w:r>
    </w:p>
    <w:p w14:paraId="57568FA3" w14:textId="77777777" w:rsidR="00C327F1" w:rsidRPr="00C327F1" w:rsidRDefault="00C327F1" w:rsidP="00C327F1">
      <w:r w:rsidRPr="00C327F1">
        <w:lastRenderedPageBreak/>
        <w:t xml:space="preserve">  - G7: The GPCA system complies with relevant regulatory requirements.</w:t>
      </w:r>
    </w:p>
    <w:p w14:paraId="2ED14B70" w14:textId="77777777" w:rsidR="00C327F1" w:rsidRPr="00C327F1" w:rsidRDefault="00C327F1" w:rsidP="00C327F1">
      <w:r w:rsidRPr="00C327F1">
        <w:t xml:space="preserve">    - S7: [Strategy] Compliance with regulatory standards.</w:t>
      </w:r>
    </w:p>
    <w:p w14:paraId="2E47DEC1" w14:textId="77777777" w:rsidR="00C327F1" w:rsidRPr="00C327F1" w:rsidRDefault="00C327F1" w:rsidP="00C327F1">
      <w:r w:rsidRPr="00C327F1">
        <w:t xml:space="preserve">      - G8: The GPCA system meets the FDA requirements for medical devices.</w:t>
      </w:r>
    </w:p>
    <w:p w14:paraId="16396E81" w14:textId="77777777" w:rsidR="00C327F1" w:rsidRPr="00C327F1" w:rsidRDefault="00C327F1" w:rsidP="00C327F1">
      <w:r w:rsidRPr="00C327F1">
        <w:t xml:space="preserve">        - C3: Adhering to FDA’s process for premarket approval.</w:t>
      </w:r>
    </w:p>
    <w:p w14:paraId="3450FCEB" w14:textId="77777777" w:rsidR="00C327F1" w:rsidRPr="00C327F1" w:rsidRDefault="00C327F1" w:rsidP="00C327F1">
      <w:r w:rsidRPr="00C327F1">
        <w:t xml:space="preserve">        - E8: FDA approval documentation</w:t>
      </w:r>
    </w:p>
    <w:p w14:paraId="220383BD" w14:textId="77777777" w:rsidR="00C327F1" w:rsidRPr="00C327F1" w:rsidRDefault="00C327F1" w:rsidP="00C327F1">
      <w:r w:rsidRPr="00C327F1">
        <w:t xml:space="preserve">      - G9: The GPCA system meets IEC 62304 software lifecycle standards.</w:t>
      </w:r>
    </w:p>
    <w:p w14:paraId="7BE19E42" w14:textId="77777777" w:rsidR="00C327F1" w:rsidRPr="00C327F1" w:rsidRDefault="00C327F1" w:rsidP="00C327F1">
      <w:r w:rsidRPr="00C327F1">
        <w:t xml:space="preserve">        - C4: Following IEC 62304 for software development and maintenance.</w:t>
      </w:r>
    </w:p>
    <w:p w14:paraId="19813773" w14:textId="77777777" w:rsidR="00C327F1" w:rsidRPr="00C327F1" w:rsidRDefault="00C327F1" w:rsidP="00C327F1">
      <w:r w:rsidRPr="00C327F1">
        <w:t xml:space="preserve">        - E9: Software development lifecycle documentation</w:t>
      </w:r>
    </w:p>
    <w:p w14:paraId="0D38F8CB" w14:textId="77777777" w:rsidR="00C327F1" w:rsidRPr="00C327F1" w:rsidRDefault="00C327F1" w:rsidP="00C327F1">
      <w:r w:rsidRPr="00C327F1">
        <w:t xml:space="preserve">        - E10: Software verification and validation reports</w:t>
      </w:r>
    </w:p>
    <w:p w14:paraId="5DAD3832" w14:textId="77777777" w:rsidR="00C327F1" w:rsidRPr="00C327F1" w:rsidRDefault="00C327F1" w:rsidP="00C327F1">
      <w:r w:rsidRPr="00C327F1">
        <w:t>```</w:t>
      </w:r>
    </w:p>
    <w:p w14:paraId="5951B5B2" w14:textId="77777777" w:rsidR="00C327F1" w:rsidRPr="00C327F1" w:rsidRDefault="00C327F1" w:rsidP="00C327F1"/>
    <w:p w14:paraId="2EB45E35" w14:textId="77777777" w:rsidR="00C327F1" w:rsidRPr="00C327F1" w:rsidRDefault="00C327F1" w:rsidP="00C327F1">
      <w:r w:rsidRPr="00C327F1">
        <w:t>Explanation of hierarchical tree levels:</w:t>
      </w:r>
    </w:p>
    <w:p w14:paraId="588EEA59" w14:textId="77777777" w:rsidR="00C327F1" w:rsidRPr="00C327F1" w:rsidRDefault="00C327F1" w:rsidP="00C327F1">
      <w:r w:rsidRPr="00C327F1">
        <w:t>- **Goal (G)** nodes represent the claims about the system.</w:t>
      </w:r>
    </w:p>
    <w:p w14:paraId="7DC14307" w14:textId="77777777" w:rsidR="00C327F1" w:rsidRPr="00C327F1" w:rsidRDefault="00C327F1" w:rsidP="00C327F1">
      <w:r w:rsidRPr="00C327F1">
        <w:t>- **Context (C)** nodes provide context in which the claims are made.</w:t>
      </w:r>
    </w:p>
    <w:p w14:paraId="7A35568E" w14:textId="77777777" w:rsidR="00C327F1" w:rsidRPr="00C327F1" w:rsidRDefault="00C327F1" w:rsidP="00C327F1">
      <w:r w:rsidRPr="00C327F1">
        <w:t>- **Strategy (S)** nodes elaborate on the approach to addressing the goals.</w:t>
      </w:r>
    </w:p>
    <w:p w14:paraId="6B467EE4" w14:textId="77777777" w:rsidR="00C327F1" w:rsidRPr="00C327F1" w:rsidRDefault="00C327F1" w:rsidP="00C327F1">
      <w:r w:rsidRPr="00C327F1">
        <w:t xml:space="preserve">- **Solution (E for </w:t>
      </w:r>
      <w:proofErr w:type="gramStart"/>
      <w:r w:rsidRPr="00C327F1">
        <w:t>Evidence)*</w:t>
      </w:r>
      <w:proofErr w:type="gramEnd"/>
      <w:r w:rsidRPr="00C327F1">
        <w:t>* nodes provide the actual evidence supporting the claims.</w:t>
      </w:r>
    </w:p>
    <w:p w14:paraId="0A7EF408" w14:textId="77777777" w:rsidR="00C327F1" w:rsidRPr="00C327F1" w:rsidRDefault="00C327F1" w:rsidP="00C327F1"/>
    <w:p w14:paraId="43648C7B" w14:textId="77777777" w:rsidR="00C327F1" w:rsidRPr="00C327F1" w:rsidRDefault="00C327F1" w:rsidP="00C327F1">
      <w:r w:rsidRPr="00C327F1">
        <w:t>Using this format, each level consolidates the argument that the GPCA system is safe, addressing specific concerns from hazard control to regulatory compliance.</w:t>
      </w:r>
    </w:p>
    <w:p w14:paraId="036E1FA8" w14:textId="34DE4BB8" w:rsidR="00C327F1" w:rsidRPr="00C327F1" w:rsidRDefault="00C327F1" w:rsidP="00C327F1"/>
    <w:p w14:paraId="22B2673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7F1"/>
    <w:rsid w:val="00204EC0"/>
    <w:rsid w:val="004C1B38"/>
    <w:rsid w:val="00C327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EEB61"/>
  <w15:chartTrackingRefBased/>
  <w15:docId w15:val="{E4BDDDB9-07B8-4884-9F87-E2771B7F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7F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327F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27F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327F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327F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327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7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7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7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7F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327F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327F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327F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327F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327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7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7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7F1"/>
    <w:rPr>
      <w:rFonts w:eastAsiaTheme="majorEastAsia" w:cstheme="majorBidi"/>
      <w:color w:val="272727" w:themeColor="text1" w:themeTint="D8"/>
    </w:rPr>
  </w:style>
  <w:style w:type="paragraph" w:styleId="Title">
    <w:name w:val="Title"/>
    <w:basedOn w:val="Normal"/>
    <w:next w:val="Normal"/>
    <w:link w:val="TitleChar"/>
    <w:uiPriority w:val="10"/>
    <w:qFormat/>
    <w:rsid w:val="00C327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7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7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7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7F1"/>
    <w:pPr>
      <w:spacing w:before="160"/>
      <w:jc w:val="center"/>
    </w:pPr>
    <w:rPr>
      <w:i/>
      <w:iCs/>
      <w:color w:val="404040" w:themeColor="text1" w:themeTint="BF"/>
    </w:rPr>
  </w:style>
  <w:style w:type="character" w:customStyle="1" w:styleId="QuoteChar">
    <w:name w:val="Quote Char"/>
    <w:basedOn w:val="DefaultParagraphFont"/>
    <w:link w:val="Quote"/>
    <w:uiPriority w:val="29"/>
    <w:rsid w:val="00C327F1"/>
    <w:rPr>
      <w:i/>
      <w:iCs/>
      <w:color w:val="404040" w:themeColor="text1" w:themeTint="BF"/>
    </w:rPr>
  </w:style>
  <w:style w:type="paragraph" w:styleId="ListParagraph">
    <w:name w:val="List Paragraph"/>
    <w:basedOn w:val="Normal"/>
    <w:uiPriority w:val="34"/>
    <w:qFormat/>
    <w:rsid w:val="00C327F1"/>
    <w:pPr>
      <w:ind w:left="720"/>
      <w:contextualSpacing/>
    </w:pPr>
  </w:style>
  <w:style w:type="character" w:styleId="IntenseEmphasis">
    <w:name w:val="Intense Emphasis"/>
    <w:basedOn w:val="DefaultParagraphFont"/>
    <w:uiPriority w:val="21"/>
    <w:qFormat/>
    <w:rsid w:val="00C327F1"/>
    <w:rPr>
      <w:i/>
      <w:iCs/>
      <w:color w:val="2F5496" w:themeColor="accent1" w:themeShade="BF"/>
    </w:rPr>
  </w:style>
  <w:style w:type="paragraph" w:styleId="IntenseQuote">
    <w:name w:val="Intense Quote"/>
    <w:basedOn w:val="Normal"/>
    <w:next w:val="Normal"/>
    <w:link w:val="IntenseQuoteChar"/>
    <w:uiPriority w:val="30"/>
    <w:qFormat/>
    <w:rsid w:val="00C327F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327F1"/>
    <w:rPr>
      <w:i/>
      <w:iCs/>
      <w:color w:val="2F5496" w:themeColor="accent1" w:themeShade="BF"/>
    </w:rPr>
  </w:style>
  <w:style w:type="character" w:styleId="IntenseReference">
    <w:name w:val="Intense Reference"/>
    <w:basedOn w:val="DefaultParagraphFont"/>
    <w:uiPriority w:val="32"/>
    <w:qFormat/>
    <w:rsid w:val="00C327F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91522">
      <w:bodyDiv w:val="1"/>
      <w:marLeft w:val="0"/>
      <w:marRight w:val="0"/>
      <w:marTop w:val="0"/>
      <w:marBottom w:val="0"/>
      <w:divBdr>
        <w:top w:val="none" w:sz="0" w:space="0" w:color="auto"/>
        <w:left w:val="none" w:sz="0" w:space="0" w:color="auto"/>
        <w:bottom w:val="none" w:sz="0" w:space="0" w:color="auto"/>
        <w:right w:val="none" w:sz="0" w:space="0" w:color="auto"/>
      </w:divBdr>
      <w:divsChild>
        <w:div w:id="1158813341">
          <w:marLeft w:val="0"/>
          <w:marRight w:val="0"/>
          <w:marTop w:val="0"/>
          <w:marBottom w:val="0"/>
          <w:divBdr>
            <w:top w:val="none" w:sz="0" w:space="0" w:color="auto"/>
            <w:left w:val="none" w:sz="0" w:space="0" w:color="auto"/>
            <w:bottom w:val="none" w:sz="0" w:space="0" w:color="auto"/>
            <w:right w:val="none" w:sz="0" w:space="0" w:color="auto"/>
          </w:divBdr>
          <w:divsChild>
            <w:div w:id="274562228">
              <w:marLeft w:val="0"/>
              <w:marRight w:val="0"/>
              <w:marTop w:val="0"/>
              <w:marBottom w:val="0"/>
              <w:divBdr>
                <w:top w:val="none" w:sz="0" w:space="0" w:color="auto"/>
                <w:left w:val="none" w:sz="0" w:space="0" w:color="auto"/>
                <w:bottom w:val="none" w:sz="0" w:space="0" w:color="auto"/>
                <w:right w:val="none" w:sz="0" w:space="0" w:color="auto"/>
              </w:divBdr>
              <w:divsChild>
                <w:div w:id="1523588765">
                  <w:marLeft w:val="45"/>
                  <w:marRight w:val="0"/>
                  <w:marTop w:val="105"/>
                  <w:marBottom w:val="75"/>
                  <w:divBdr>
                    <w:top w:val="none" w:sz="0" w:space="0" w:color="auto"/>
                    <w:left w:val="none" w:sz="0" w:space="0" w:color="auto"/>
                    <w:bottom w:val="none" w:sz="0" w:space="0" w:color="auto"/>
                    <w:right w:val="none" w:sz="0" w:space="0" w:color="auto"/>
                  </w:divBdr>
                  <w:divsChild>
                    <w:div w:id="209390088">
                      <w:marLeft w:val="0"/>
                      <w:marRight w:val="0"/>
                      <w:marTop w:val="0"/>
                      <w:marBottom w:val="0"/>
                      <w:divBdr>
                        <w:top w:val="none" w:sz="0" w:space="0" w:color="auto"/>
                        <w:left w:val="none" w:sz="0" w:space="0" w:color="auto"/>
                        <w:bottom w:val="none" w:sz="0" w:space="0" w:color="auto"/>
                        <w:right w:val="none" w:sz="0" w:space="0" w:color="auto"/>
                      </w:divBdr>
                      <w:divsChild>
                        <w:div w:id="688917291">
                          <w:marLeft w:val="0"/>
                          <w:marRight w:val="0"/>
                          <w:marTop w:val="0"/>
                          <w:marBottom w:val="0"/>
                          <w:divBdr>
                            <w:top w:val="none" w:sz="0" w:space="0" w:color="auto"/>
                            <w:left w:val="none" w:sz="0" w:space="0" w:color="auto"/>
                            <w:bottom w:val="none" w:sz="0" w:space="0" w:color="auto"/>
                            <w:right w:val="none" w:sz="0" w:space="0" w:color="auto"/>
                          </w:divBdr>
                          <w:divsChild>
                            <w:div w:id="781001630">
                              <w:marLeft w:val="0"/>
                              <w:marRight w:val="0"/>
                              <w:marTop w:val="0"/>
                              <w:marBottom w:val="0"/>
                              <w:divBdr>
                                <w:top w:val="none" w:sz="0" w:space="0" w:color="auto"/>
                                <w:left w:val="none" w:sz="0" w:space="0" w:color="auto"/>
                                <w:bottom w:val="none" w:sz="0" w:space="0" w:color="auto"/>
                                <w:right w:val="none" w:sz="0" w:space="0" w:color="auto"/>
                              </w:divBdr>
                              <w:divsChild>
                                <w:div w:id="22946606">
                                  <w:marLeft w:val="0"/>
                                  <w:marRight w:val="0"/>
                                  <w:marTop w:val="0"/>
                                  <w:marBottom w:val="0"/>
                                  <w:divBdr>
                                    <w:top w:val="none" w:sz="0" w:space="0" w:color="auto"/>
                                    <w:left w:val="none" w:sz="0" w:space="0" w:color="auto"/>
                                    <w:bottom w:val="none" w:sz="0" w:space="0" w:color="auto"/>
                                    <w:right w:val="none" w:sz="0" w:space="0" w:color="auto"/>
                                  </w:divBdr>
                                  <w:divsChild>
                                    <w:div w:id="94986320">
                                      <w:marLeft w:val="0"/>
                                      <w:marRight w:val="0"/>
                                      <w:marTop w:val="0"/>
                                      <w:marBottom w:val="0"/>
                                      <w:divBdr>
                                        <w:top w:val="none" w:sz="0" w:space="0" w:color="auto"/>
                                        <w:left w:val="none" w:sz="0" w:space="0" w:color="auto"/>
                                        <w:bottom w:val="none" w:sz="0" w:space="0" w:color="auto"/>
                                        <w:right w:val="none" w:sz="0" w:space="0" w:color="auto"/>
                                      </w:divBdr>
                                      <w:divsChild>
                                        <w:div w:id="69356733">
                                          <w:marLeft w:val="0"/>
                                          <w:marRight w:val="0"/>
                                          <w:marTop w:val="0"/>
                                          <w:marBottom w:val="0"/>
                                          <w:divBdr>
                                            <w:top w:val="none" w:sz="0" w:space="0" w:color="auto"/>
                                            <w:left w:val="none" w:sz="0" w:space="0" w:color="auto"/>
                                            <w:bottom w:val="none" w:sz="0" w:space="0" w:color="auto"/>
                                            <w:right w:val="none" w:sz="0" w:space="0" w:color="auto"/>
                                          </w:divBdr>
                                          <w:divsChild>
                                            <w:div w:id="1852839434">
                                              <w:marLeft w:val="0"/>
                                              <w:marRight w:val="0"/>
                                              <w:marTop w:val="15"/>
                                              <w:marBottom w:val="0"/>
                                              <w:divBdr>
                                                <w:top w:val="none" w:sz="0" w:space="0" w:color="auto"/>
                                                <w:left w:val="none" w:sz="0" w:space="0" w:color="auto"/>
                                                <w:bottom w:val="none" w:sz="0" w:space="0" w:color="auto"/>
                                                <w:right w:val="none" w:sz="0" w:space="0" w:color="auto"/>
                                              </w:divBdr>
                                              <w:divsChild>
                                                <w:div w:id="2023434576">
                                                  <w:marLeft w:val="0"/>
                                                  <w:marRight w:val="15"/>
                                                  <w:marTop w:val="0"/>
                                                  <w:marBottom w:val="0"/>
                                                  <w:divBdr>
                                                    <w:top w:val="none" w:sz="0" w:space="0" w:color="auto"/>
                                                    <w:left w:val="none" w:sz="0" w:space="0" w:color="auto"/>
                                                    <w:bottom w:val="none" w:sz="0" w:space="0" w:color="auto"/>
                                                    <w:right w:val="none" w:sz="0" w:space="0" w:color="auto"/>
                                                  </w:divBdr>
                                                  <w:divsChild>
                                                    <w:div w:id="497891692">
                                                      <w:marLeft w:val="0"/>
                                                      <w:marRight w:val="0"/>
                                                      <w:marTop w:val="0"/>
                                                      <w:marBottom w:val="0"/>
                                                      <w:divBdr>
                                                        <w:top w:val="none" w:sz="0" w:space="0" w:color="auto"/>
                                                        <w:left w:val="none" w:sz="0" w:space="0" w:color="auto"/>
                                                        <w:bottom w:val="none" w:sz="0" w:space="0" w:color="auto"/>
                                                        <w:right w:val="none" w:sz="0" w:space="0" w:color="auto"/>
                                                      </w:divBdr>
                                                      <w:divsChild>
                                                        <w:div w:id="1982731566">
                                                          <w:marLeft w:val="0"/>
                                                          <w:marRight w:val="0"/>
                                                          <w:marTop w:val="0"/>
                                                          <w:marBottom w:val="0"/>
                                                          <w:divBdr>
                                                            <w:top w:val="none" w:sz="0" w:space="0" w:color="auto"/>
                                                            <w:left w:val="none" w:sz="0" w:space="0" w:color="auto"/>
                                                            <w:bottom w:val="none" w:sz="0" w:space="0" w:color="auto"/>
                                                            <w:right w:val="none" w:sz="0" w:space="0" w:color="auto"/>
                                                          </w:divBdr>
                                                          <w:divsChild>
                                                            <w:div w:id="544370128">
                                                              <w:marLeft w:val="0"/>
                                                              <w:marRight w:val="0"/>
                                                              <w:marTop w:val="0"/>
                                                              <w:marBottom w:val="0"/>
                                                              <w:divBdr>
                                                                <w:top w:val="none" w:sz="0" w:space="0" w:color="auto"/>
                                                                <w:left w:val="none" w:sz="0" w:space="0" w:color="auto"/>
                                                                <w:bottom w:val="none" w:sz="0" w:space="0" w:color="auto"/>
                                                                <w:right w:val="none" w:sz="0" w:space="0" w:color="auto"/>
                                                              </w:divBdr>
                                                              <w:divsChild>
                                                                <w:div w:id="1329212970">
                                                                  <w:marLeft w:val="0"/>
                                                                  <w:marRight w:val="0"/>
                                                                  <w:marTop w:val="0"/>
                                                                  <w:marBottom w:val="0"/>
                                                                  <w:divBdr>
                                                                    <w:top w:val="none" w:sz="0" w:space="0" w:color="auto"/>
                                                                    <w:left w:val="none" w:sz="0" w:space="0" w:color="auto"/>
                                                                    <w:bottom w:val="none" w:sz="0" w:space="0" w:color="auto"/>
                                                                    <w:right w:val="none" w:sz="0" w:space="0" w:color="auto"/>
                                                                  </w:divBdr>
                                                                  <w:divsChild>
                                                                    <w:div w:id="14709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7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937993">
      <w:bodyDiv w:val="1"/>
      <w:marLeft w:val="0"/>
      <w:marRight w:val="0"/>
      <w:marTop w:val="0"/>
      <w:marBottom w:val="0"/>
      <w:divBdr>
        <w:top w:val="none" w:sz="0" w:space="0" w:color="auto"/>
        <w:left w:val="none" w:sz="0" w:space="0" w:color="auto"/>
        <w:bottom w:val="none" w:sz="0" w:space="0" w:color="auto"/>
        <w:right w:val="none" w:sz="0" w:space="0" w:color="auto"/>
      </w:divBdr>
      <w:divsChild>
        <w:div w:id="833909924">
          <w:marLeft w:val="0"/>
          <w:marRight w:val="0"/>
          <w:marTop w:val="0"/>
          <w:marBottom w:val="0"/>
          <w:divBdr>
            <w:top w:val="none" w:sz="0" w:space="0" w:color="auto"/>
            <w:left w:val="none" w:sz="0" w:space="0" w:color="auto"/>
            <w:bottom w:val="none" w:sz="0" w:space="0" w:color="auto"/>
            <w:right w:val="none" w:sz="0" w:space="0" w:color="auto"/>
          </w:divBdr>
          <w:divsChild>
            <w:div w:id="2022780839">
              <w:marLeft w:val="0"/>
              <w:marRight w:val="0"/>
              <w:marTop w:val="0"/>
              <w:marBottom w:val="0"/>
              <w:divBdr>
                <w:top w:val="none" w:sz="0" w:space="0" w:color="auto"/>
                <w:left w:val="none" w:sz="0" w:space="0" w:color="auto"/>
                <w:bottom w:val="none" w:sz="0" w:space="0" w:color="auto"/>
                <w:right w:val="none" w:sz="0" w:space="0" w:color="auto"/>
              </w:divBdr>
              <w:divsChild>
                <w:div w:id="344792699">
                  <w:marLeft w:val="45"/>
                  <w:marRight w:val="0"/>
                  <w:marTop w:val="105"/>
                  <w:marBottom w:val="75"/>
                  <w:divBdr>
                    <w:top w:val="none" w:sz="0" w:space="0" w:color="auto"/>
                    <w:left w:val="none" w:sz="0" w:space="0" w:color="auto"/>
                    <w:bottom w:val="none" w:sz="0" w:space="0" w:color="auto"/>
                    <w:right w:val="none" w:sz="0" w:space="0" w:color="auto"/>
                  </w:divBdr>
                  <w:divsChild>
                    <w:div w:id="1019744958">
                      <w:marLeft w:val="0"/>
                      <w:marRight w:val="0"/>
                      <w:marTop w:val="0"/>
                      <w:marBottom w:val="0"/>
                      <w:divBdr>
                        <w:top w:val="none" w:sz="0" w:space="0" w:color="auto"/>
                        <w:left w:val="none" w:sz="0" w:space="0" w:color="auto"/>
                        <w:bottom w:val="none" w:sz="0" w:space="0" w:color="auto"/>
                        <w:right w:val="none" w:sz="0" w:space="0" w:color="auto"/>
                      </w:divBdr>
                      <w:divsChild>
                        <w:div w:id="68894249">
                          <w:marLeft w:val="0"/>
                          <w:marRight w:val="0"/>
                          <w:marTop w:val="0"/>
                          <w:marBottom w:val="0"/>
                          <w:divBdr>
                            <w:top w:val="none" w:sz="0" w:space="0" w:color="auto"/>
                            <w:left w:val="none" w:sz="0" w:space="0" w:color="auto"/>
                            <w:bottom w:val="none" w:sz="0" w:space="0" w:color="auto"/>
                            <w:right w:val="none" w:sz="0" w:space="0" w:color="auto"/>
                          </w:divBdr>
                          <w:divsChild>
                            <w:div w:id="1300574914">
                              <w:marLeft w:val="0"/>
                              <w:marRight w:val="0"/>
                              <w:marTop w:val="0"/>
                              <w:marBottom w:val="0"/>
                              <w:divBdr>
                                <w:top w:val="none" w:sz="0" w:space="0" w:color="auto"/>
                                <w:left w:val="none" w:sz="0" w:space="0" w:color="auto"/>
                                <w:bottom w:val="none" w:sz="0" w:space="0" w:color="auto"/>
                                <w:right w:val="none" w:sz="0" w:space="0" w:color="auto"/>
                              </w:divBdr>
                              <w:divsChild>
                                <w:div w:id="1954483847">
                                  <w:marLeft w:val="0"/>
                                  <w:marRight w:val="0"/>
                                  <w:marTop w:val="0"/>
                                  <w:marBottom w:val="0"/>
                                  <w:divBdr>
                                    <w:top w:val="none" w:sz="0" w:space="0" w:color="auto"/>
                                    <w:left w:val="none" w:sz="0" w:space="0" w:color="auto"/>
                                    <w:bottom w:val="none" w:sz="0" w:space="0" w:color="auto"/>
                                    <w:right w:val="none" w:sz="0" w:space="0" w:color="auto"/>
                                  </w:divBdr>
                                  <w:divsChild>
                                    <w:div w:id="1999647087">
                                      <w:marLeft w:val="0"/>
                                      <w:marRight w:val="0"/>
                                      <w:marTop w:val="0"/>
                                      <w:marBottom w:val="0"/>
                                      <w:divBdr>
                                        <w:top w:val="none" w:sz="0" w:space="0" w:color="auto"/>
                                        <w:left w:val="none" w:sz="0" w:space="0" w:color="auto"/>
                                        <w:bottom w:val="none" w:sz="0" w:space="0" w:color="auto"/>
                                        <w:right w:val="none" w:sz="0" w:space="0" w:color="auto"/>
                                      </w:divBdr>
                                      <w:divsChild>
                                        <w:div w:id="2003004884">
                                          <w:marLeft w:val="0"/>
                                          <w:marRight w:val="0"/>
                                          <w:marTop w:val="0"/>
                                          <w:marBottom w:val="0"/>
                                          <w:divBdr>
                                            <w:top w:val="none" w:sz="0" w:space="0" w:color="auto"/>
                                            <w:left w:val="none" w:sz="0" w:space="0" w:color="auto"/>
                                            <w:bottom w:val="none" w:sz="0" w:space="0" w:color="auto"/>
                                            <w:right w:val="none" w:sz="0" w:space="0" w:color="auto"/>
                                          </w:divBdr>
                                          <w:divsChild>
                                            <w:div w:id="1656488783">
                                              <w:marLeft w:val="0"/>
                                              <w:marRight w:val="0"/>
                                              <w:marTop w:val="15"/>
                                              <w:marBottom w:val="0"/>
                                              <w:divBdr>
                                                <w:top w:val="none" w:sz="0" w:space="0" w:color="auto"/>
                                                <w:left w:val="none" w:sz="0" w:space="0" w:color="auto"/>
                                                <w:bottom w:val="none" w:sz="0" w:space="0" w:color="auto"/>
                                                <w:right w:val="none" w:sz="0" w:space="0" w:color="auto"/>
                                              </w:divBdr>
                                              <w:divsChild>
                                                <w:div w:id="791097029">
                                                  <w:marLeft w:val="0"/>
                                                  <w:marRight w:val="15"/>
                                                  <w:marTop w:val="0"/>
                                                  <w:marBottom w:val="0"/>
                                                  <w:divBdr>
                                                    <w:top w:val="none" w:sz="0" w:space="0" w:color="auto"/>
                                                    <w:left w:val="none" w:sz="0" w:space="0" w:color="auto"/>
                                                    <w:bottom w:val="none" w:sz="0" w:space="0" w:color="auto"/>
                                                    <w:right w:val="none" w:sz="0" w:space="0" w:color="auto"/>
                                                  </w:divBdr>
                                                  <w:divsChild>
                                                    <w:div w:id="1130439530">
                                                      <w:marLeft w:val="0"/>
                                                      <w:marRight w:val="0"/>
                                                      <w:marTop w:val="0"/>
                                                      <w:marBottom w:val="0"/>
                                                      <w:divBdr>
                                                        <w:top w:val="none" w:sz="0" w:space="0" w:color="auto"/>
                                                        <w:left w:val="none" w:sz="0" w:space="0" w:color="auto"/>
                                                        <w:bottom w:val="none" w:sz="0" w:space="0" w:color="auto"/>
                                                        <w:right w:val="none" w:sz="0" w:space="0" w:color="auto"/>
                                                      </w:divBdr>
                                                      <w:divsChild>
                                                        <w:div w:id="106628722">
                                                          <w:marLeft w:val="0"/>
                                                          <w:marRight w:val="0"/>
                                                          <w:marTop w:val="0"/>
                                                          <w:marBottom w:val="0"/>
                                                          <w:divBdr>
                                                            <w:top w:val="none" w:sz="0" w:space="0" w:color="auto"/>
                                                            <w:left w:val="none" w:sz="0" w:space="0" w:color="auto"/>
                                                            <w:bottom w:val="none" w:sz="0" w:space="0" w:color="auto"/>
                                                            <w:right w:val="none" w:sz="0" w:space="0" w:color="auto"/>
                                                          </w:divBdr>
                                                          <w:divsChild>
                                                            <w:div w:id="1519730689">
                                                              <w:marLeft w:val="0"/>
                                                              <w:marRight w:val="0"/>
                                                              <w:marTop w:val="0"/>
                                                              <w:marBottom w:val="0"/>
                                                              <w:divBdr>
                                                                <w:top w:val="none" w:sz="0" w:space="0" w:color="auto"/>
                                                                <w:left w:val="none" w:sz="0" w:space="0" w:color="auto"/>
                                                                <w:bottom w:val="none" w:sz="0" w:space="0" w:color="auto"/>
                                                                <w:right w:val="none" w:sz="0" w:space="0" w:color="auto"/>
                                                              </w:divBdr>
                                                              <w:divsChild>
                                                                <w:div w:id="344407080">
                                                                  <w:marLeft w:val="0"/>
                                                                  <w:marRight w:val="0"/>
                                                                  <w:marTop w:val="0"/>
                                                                  <w:marBottom w:val="0"/>
                                                                  <w:divBdr>
                                                                    <w:top w:val="none" w:sz="0" w:space="0" w:color="auto"/>
                                                                    <w:left w:val="none" w:sz="0" w:space="0" w:color="auto"/>
                                                                    <w:bottom w:val="none" w:sz="0" w:space="0" w:color="auto"/>
                                                                    <w:right w:val="none" w:sz="0" w:space="0" w:color="auto"/>
                                                                  </w:divBdr>
                                                                  <w:divsChild>
                                                                    <w:div w:id="9555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042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2024-08-10T13:59:00Z</dcterms:created>
  <dcterms:modified xsi:type="dcterms:W3CDTF">2024-08-10T14:02:00Z</dcterms:modified>
</cp:coreProperties>
</file>