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29C2D" w14:textId="77777777" w:rsidR="00C96A49" w:rsidRPr="00C96A49" w:rsidRDefault="00C96A49" w:rsidP="00C96A49">
      <w:r w:rsidRPr="00C96A49">
        <w:t>In this task, we are going to instantiate an assurance case from an assurance case pattern provided above for the BlueROV2 system, following the steps given:</w:t>
      </w:r>
    </w:p>
    <w:p w14:paraId="7FDE308D" w14:textId="77777777" w:rsidR="00C96A49" w:rsidRPr="00C96A49" w:rsidRDefault="00C96A49" w:rsidP="00C96A49"/>
    <w:p w14:paraId="09F998FF" w14:textId="77777777" w:rsidR="00C96A49" w:rsidRPr="00C96A49" w:rsidRDefault="00C96A49" w:rsidP="00C96A49">
      <w:r w:rsidRPr="00C96A49">
        <w:t>1. Remove all additional assurance case pattern decorators (e.g., Uninstantiated, Placeholders, Choice, Multiplicity, Optionality).</w:t>
      </w:r>
    </w:p>
    <w:p w14:paraId="476F2735" w14:textId="77777777" w:rsidR="00C96A49" w:rsidRPr="00C96A49" w:rsidRDefault="00C96A49" w:rsidP="00C96A49">
      <w:r w:rsidRPr="00C96A49">
        <w:t>2. Replace placeholders and generic information with specific BlueROV2 system information based on the domain.</w:t>
      </w:r>
    </w:p>
    <w:p w14:paraId="0E3FFB6B" w14:textId="77777777" w:rsidR="00C96A49" w:rsidRPr="00C96A49" w:rsidRDefault="00C96A49" w:rsidP="00C96A49"/>
    <w:p w14:paraId="479CDF35" w14:textId="77777777" w:rsidR="00C96A49" w:rsidRPr="00C96A49" w:rsidRDefault="00C96A49" w:rsidP="00C96A49">
      <w:r w:rsidRPr="00C96A49">
        <w:t>### Assurance Case for BlueROV2 System:</w:t>
      </w:r>
    </w:p>
    <w:p w14:paraId="682BDBF4" w14:textId="77777777" w:rsidR="00C96A49" w:rsidRPr="00C96A49" w:rsidRDefault="00C96A49" w:rsidP="00C96A49"/>
    <w:p w14:paraId="75A20876" w14:textId="77777777" w:rsidR="00C96A49" w:rsidRPr="00C96A49" w:rsidRDefault="00C96A49" w:rsidP="00C96A49">
      <w:r w:rsidRPr="00C96A49">
        <w:t>@Assurance_case</w:t>
      </w:r>
    </w:p>
    <w:p w14:paraId="642B9B7D" w14:textId="77777777" w:rsidR="00C96A49" w:rsidRPr="00C96A49" w:rsidRDefault="00C96A49" w:rsidP="00C96A49">
      <w:r w:rsidRPr="00C96A49">
        <w:t>- **G1**: Hazards for BlueROV2 system addressed in accordance with ALARP principle.</w:t>
      </w:r>
    </w:p>
    <w:p w14:paraId="77F8F7BA" w14:textId="77777777" w:rsidR="00C96A49" w:rsidRPr="00C96A49" w:rsidRDefault="00C96A49" w:rsidP="00C96A49">
      <w:r w:rsidRPr="00C96A49">
        <w:t xml:space="preserve">  - **S1**: Argument by risk reduction/elimination of each hazard</w:t>
      </w:r>
    </w:p>
    <w:p w14:paraId="25449B4D" w14:textId="77777777" w:rsidR="00C96A49" w:rsidRPr="00C96A49" w:rsidRDefault="00C96A49" w:rsidP="00C96A49">
      <w:r w:rsidRPr="00C96A49">
        <w:t xml:space="preserve">    - **G2**: No intolerable risks present in the system.</w:t>
      </w:r>
    </w:p>
    <w:p w14:paraId="54068ED8" w14:textId="77777777" w:rsidR="00C96A49" w:rsidRPr="00C96A49" w:rsidRDefault="00C96A49" w:rsidP="00C96A49">
      <w:r w:rsidRPr="00C96A49">
        <w:t xml:space="preserve">      - **S2**: Argue that risk posed by any remaining hazards is negligible (undeveloped)</w:t>
      </w:r>
    </w:p>
    <w:p w14:paraId="1AA2E550" w14:textId="77777777" w:rsidR="00C96A49" w:rsidRPr="00C96A49" w:rsidRDefault="00C96A49" w:rsidP="00C96A49">
      <w:r w:rsidRPr="00C96A49">
        <w:t xml:space="preserve">      - **S3**: Argue that no other risks have been identified (undeveloped)</w:t>
      </w:r>
    </w:p>
    <w:p w14:paraId="7643F6AA" w14:textId="77777777" w:rsidR="00C96A49" w:rsidRPr="00C96A49" w:rsidRDefault="00C96A49" w:rsidP="00C96A49">
      <w:r w:rsidRPr="00C96A49">
        <w:t xml:space="preserve">    - **G3**: Risk from obstacle encounter has been reduced as low as reasonably practicable.</w:t>
      </w:r>
    </w:p>
    <w:p w14:paraId="285AD856" w14:textId="77777777" w:rsidR="00C96A49" w:rsidRPr="00C96A49" w:rsidRDefault="00C96A49" w:rsidP="00C96A49">
      <w:r w:rsidRPr="00C96A49">
        <w:t xml:space="preserve">      - **S4**: Apply </w:t>
      </w:r>
      <w:proofErr w:type="spellStart"/>
      <w:r w:rsidRPr="00C96A49">
        <w:t>ReSonAte</w:t>
      </w:r>
      <w:proofErr w:type="spellEnd"/>
      <w:r w:rsidRPr="00C96A49">
        <w:t xml:space="preserve"> to estimate level of risk from hazard condition obstacle encounter.</w:t>
      </w:r>
    </w:p>
    <w:p w14:paraId="402A2965" w14:textId="77777777" w:rsidR="00C96A49" w:rsidRPr="00C96A49" w:rsidRDefault="00C96A49" w:rsidP="00C96A49">
      <w:r w:rsidRPr="00C96A49">
        <w:t xml:space="preserve">        - **G4**: Model avoidance maneuver BTD accurately describes possible propagation of hazard obstacle encounter.</w:t>
      </w:r>
    </w:p>
    <w:p w14:paraId="2C82CC7A" w14:textId="77777777" w:rsidR="00C96A49" w:rsidRPr="00C96A49" w:rsidRDefault="00C96A49" w:rsidP="00C96A49">
      <w:r w:rsidRPr="00C96A49">
        <w:t xml:space="preserve">          - **G6**: Possible hazard propagation paths correctly captured in BTD (undeveloped)</w:t>
      </w:r>
    </w:p>
    <w:p w14:paraId="30EB346B" w14:textId="77777777" w:rsidR="00C96A49" w:rsidRPr="00C96A49" w:rsidRDefault="00C96A49" w:rsidP="00C96A49">
      <w:r w:rsidRPr="00C96A49">
        <w:t xml:space="preserve">          - **G7**: Barriers in the BTD correctly describe their respective control action including any required system functions (undeveloped)</w:t>
      </w:r>
    </w:p>
    <w:p w14:paraId="4A46CD61" w14:textId="77777777" w:rsidR="00C96A49" w:rsidRPr="00C96A49" w:rsidRDefault="00C96A49" w:rsidP="00C96A49">
      <w:r w:rsidRPr="00C96A49">
        <w:t xml:space="preserve">          - **G8**: All non-negligible threats have been identified (undeveloped)</w:t>
      </w:r>
    </w:p>
    <w:p w14:paraId="1941DA48" w14:textId="77777777" w:rsidR="00C96A49" w:rsidRPr="00C96A49" w:rsidRDefault="00C96A49" w:rsidP="00C96A49">
      <w:r w:rsidRPr="00C96A49">
        <w:t xml:space="preserve">        - **G5**: Quantitative risk estimates are accurate and below acceptable threshold</w:t>
      </w:r>
    </w:p>
    <w:p w14:paraId="0E5FC00B" w14:textId="77777777" w:rsidR="00C96A49" w:rsidRPr="00C96A49" w:rsidRDefault="00C96A49" w:rsidP="00C96A49">
      <w:r w:rsidRPr="00C96A49">
        <w:t xml:space="preserve">          - **G9**: State probability distribution used for risk estimation is an accurate representation of expected system states (undeveloped)</w:t>
      </w:r>
    </w:p>
    <w:p w14:paraId="0A572F34" w14:textId="77777777" w:rsidR="00C96A49" w:rsidRPr="00C96A49" w:rsidRDefault="00C96A49" w:rsidP="00C96A49">
      <w:r w:rsidRPr="00C96A49">
        <w:t xml:space="preserve">          - **G10**: Estimated probability of collision is below allowable threshold for severity class major</w:t>
      </w:r>
    </w:p>
    <w:p w14:paraId="4DBAA320" w14:textId="77777777" w:rsidR="00C96A49" w:rsidRPr="00C96A49" w:rsidRDefault="00C96A49" w:rsidP="00C96A49">
      <w:r w:rsidRPr="00C96A49">
        <w:t xml:space="preserve">            - **Sn1**: Estimated risk level 0.001 per hour.</w:t>
      </w:r>
    </w:p>
    <w:p w14:paraId="0C10D62C" w14:textId="77777777" w:rsidR="00C96A49" w:rsidRPr="00C96A49" w:rsidRDefault="00C96A49" w:rsidP="00C96A49">
      <w:r w:rsidRPr="00C96A49">
        <w:t>- **C1**: Definition of "intolerable"</w:t>
      </w:r>
    </w:p>
    <w:p w14:paraId="7CF51DC3" w14:textId="77777777" w:rsidR="00C96A49" w:rsidRPr="00C96A49" w:rsidRDefault="00C96A49" w:rsidP="00C96A49">
      <w:r w:rsidRPr="00C96A49">
        <w:t>- **C2**: Assigned severity class is major for the hazard obstacle encounter.</w:t>
      </w:r>
    </w:p>
    <w:p w14:paraId="6283C27D" w14:textId="77777777" w:rsidR="00C96A49" w:rsidRPr="00C96A49" w:rsidRDefault="00C96A49" w:rsidP="00C96A49">
      <w:r w:rsidRPr="00C96A49">
        <w:lastRenderedPageBreak/>
        <w:t>- **A1**: Avoidance logic function required by avoidance maneuver BTD is available.</w:t>
      </w:r>
    </w:p>
    <w:p w14:paraId="73C930F7" w14:textId="77777777" w:rsidR="00C96A49" w:rsidRPr="00C96A49" w:rsidRDefault="00C96A49" w:rsidP="00C96A49"/>
    <w:p w14:paraId="086861BB" w14:textId="77777777" w:rsidR="00C96A49" w:rsidRPr="00C96A49" w:rsidRDefault="00C96A49" w:rsidP="00C96A49">
      <w:r w:rsidRPr="00C96A49">
        <w:t>@End_Assurance_case</w:t>
      </w:r>
    </w:p>
    <w:p w14:paraId="2779E8ED" w14:textId="77777777" w:rsidR="00C96A49" w:rsidRPr="00C96A49" w:rsidRDefault="00C96A49" w:rsidP="00C96A49"/>
    <w:p w14:paraId="0AE98319" w14:textId="77777777" w:rsidR="00C96A49" w:rsidRPr="00C96A49" w:rsidRDefault="00C96A49" w:rsidP="00C96A49">
      <w:r w:rsidRPr="00C96A49">
        <w:t>### Explanation:</w:t>
      </w:r>
    </w:p>
    <w:p w14:paraId="3B5715FF" w14:textId="77777777" w:rsidR="00C96A49" w:rsidRPr="00C96A49" w:rsidRDefault="00C96A49" w:rsidP="00C96A49">
      <w:r w:rsidRPr="00C96A49">
        <w:t>- **G1-G10**: Key goals addressing different safety concerns are laid out, detailing how each aspect of the system and its interactions contribute to overall system safety.</w:t>
      </w:r>
    </w:p>
    <w:p w14:paraId="16F3AF28" w14:textId="77777777" w:rsidR="00C96A49" w:rsidRPr="00C96A49" w:rsidRDefault="00C96A49" w:rsidP="00C96A49">
      <w:r w:rsidRPr="00C96A49">
        <w:t>- **S1-S4**: Strategies provide structured arguments on how safety is being assured, focusing on risk reduction, tolerability, and risk estimation accuracy.</w:t>
      </w:r>
    </w:p>
    <w:p w14:paraId="1D934B01" w14:textId="77777777" w:rsidR="00C96A49" w:rsidRPr="00C96A49" w:rsidRDefault="00C96A49" w:rsidP="00C96A49">
      <w:r w:rsidRPr="00C96A49">
        <w:t>- **Sn1**: Points to real, quantified risk estimates derived from system analysis.</w:t>
      </w:r>
    </w:p>
    <w:p w14:paraId="36B1250E" w14:textId="77777777" w:rsidR="00C96A49" w:rsidRPr="00C96A49" w:rsidRDefault="00C96A49" w:rsidP="00C96A49">
      <w:r w:rsidRPr="00C96A49">
        <w:t>- **C1-C2**: Contexts clarify definitions and classes essential for understanding the severity and tolerability of hazards in the system.</w:t>
      </w:r>
    </w:p>
    <w:p w14:paraId="44E74CB2" w14:textId="77777777" w:rsidR="00C96A49" w:rsidRPr="00C96A49" w:rsidRDefault="00C96A49" w:rsidP="00C96A49">
      <w:r w:rsidRPr="00C96A49">
        <w:t>- **A1**: An assumption states that necessary system functions for hazard control are in place.</w:t>
      </w:r>
    </w:p>
    <w:p w14:paraId="787634DB" w14:textId="77777777" w:rsidR="00C96A49" w:rsidRPr="00C96A49" w:rsidRDefault="00C96A49" w:rsidP="00C96A49"/>
    <w:p w14:paraId="69D6C0D9" w14:textId="77777777" w:rsidR="00C96A49" w:rsidRPr="00C96A49" w:rsidRDefault="00C96A49" w:rsidP="00C96A49">
      <w:r w:rsidRPr="00C96A49">
        <w:t>This instantiated assurance case represents the application of the pattern with specific and concrete information about the BlueROV2 system, showing how the system integrates multiple safeguards to manage risks associated with underwater operations while meeting safety standards guided by the ALARP principle.</w:t>
      </w:r>
    </w:p>
    <w:p w14:paraId="75A17E7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E9A"/>
    <w:rsid w:val="00204EC0"/>
    <w:rsid w:val="007C7E9A"/>
    <w:rsid w:val="00B412EB"/>
    <w:rsid w:val="00C96A4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2F69A"/>
  <w15:chartTrackingRefBased/>
  <w15:docId w15:val="{0C52B655-AA83-4BD3-8142-FBB92B098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7E9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C7E9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C7E9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C7E9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C7E9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C7E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7E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7E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7E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E9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C7E9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C7E9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C7E9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C7E9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C7E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7E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7E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7E9A"/>
    <w:rPr>
      <w:rFonts w:eastAsiaTheme="majorEastAsia" w:cstheme="majorBidi"/>
      <w:color w:val="272727" w:themeColor="text1" w:themeTint="D8"/>
    </w:rPr>
  </w:style>
  <w:style w:type="paragraph" w:styleId="Title">
    <w:name w:val="Title"/>
    <w:basedOn w:val="Normal"/>
    <w:next w:val="Normal"/>
    <w:link w:val="TitleChar"/>
    <w:uiPriority w:val="10"/>
    <w:qFormat/>
    <w:rsid w:val="007C7E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7E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7E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7E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7E9A"/>
    <w:pPr>
      <w:spacing w:before="160"/>
      <w:jc w:val="center"/>
    </w:pPr>
    <w:rPr>
      <w:i/>
      <w:iCs/>
      <w:color w:val="404040" w:themeColor="text1" w:themeTint="BF"/>
    </w:rPr>
  </w:style>
  <w:style w:type="character" w:customStyle="1" w:styleId="QuoteChar">
    <w:name w:val="Quote Char"/>
    <w:basedOn w:val="DefaultParagraphFont"/>
    <w:link w:val="Quote"/>
    <w:uiPriority w:val="29"/>
    <w:rsid w:val="007C7E9A"/>
    <w:rPr>
      <w:i/>
      <w:iCs/>
      <w:color w:val="404040" w:themeColor="text1" w:themeTint="BF"/>
    </w:rPr>
  </w:style>
  <w:style w:type="paragraph" w:styleId="ListParagraph">
    <w:name w:val="List Paragraph"/>
    <w:basedOn w:val="Normal"/>
    <w:uiPriority w:val="34"/>
    <w:qFormat/>
    <w:rsid w:val="007C7E9A"/>
    <w:pPr>
      <w:ind w:left="720"/>
      <w:contextualSpacing/>
    </w:pPr>
  </w:style>
  <w:style w:type="character" w:styleId="IntenseEmphasis">
    <w:name w:val="Intense Emphasis"/>
    <w:basedOn w:val="DefaultParagraphFont"/>
    <w:uiPriority w:val="21"/>
    <w:qFormat/>
    <w:rsid w:val="007C7E9A"/>
    <w:rPr>
      <w:i/>
      <w:iCs/>
      <w:color w:val="2F5496" w:themeColor="accent1" w:themeShade="BF"/>
    </w:rPr>
  </w:style>
  <w:style w:type="paragraph" w:styleId="IntenseQuote">
    <w:name w:val="Intense Quote"/>
    <w:basedOn w:val="Normal"/>
    <w:next w:val="Normal"/>
    <w:link w:val="IntenseQuoteChar"/>
    <w:uiPriority w:val="30"/>
    <w:qFormat/>
    <w:rsid w:val="007C7E9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C7E9A"/>
    <w:rPr>
      <w:i/>
      <w:iCs/>
      <w:color w:val="2F5496" w:themeColor="accent1" w:themeShade="BF"/>
    </w:rPr>
  </w:style>
  <w:style w:type="character" w:styleId="IntenseReference">
    <w:name w:val="Intense Reference"/>
    <w:basedOn w:val="DefaultParagraphFont"/>
    <w:uiPriority w:val="32"/>
    <w:qFormat/>
    <w:rsid w:val="007C7E9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297611">
      <w:bodyDiv w:val="1"/>
      <w:marLeft w:val="0"/>
      <w:marRight w:val="0"/>
      <w:marTop w:val="0"/>
      <w:marBottom w:val="0"/>
      <w:divBdr>
        <w:top w:val="none" w:sz="0" w:space="0" w:color="auto"/>
        <w:left w:val="none" w:sz="0" w:space="0" w:color="auto"/>
        <w:bottom w:val="none" w:sz="0" w:space="0" w:color="auto"/>
        <w:right w:val="none" w:sz="0" w:space="0" w:color="auto"/>
      </w:divBdr>
      <w:divsChild>
        <w:div w:id="1454596493">
          <w:marLeft w:val="0"/>
          <w:marRight w:val="0"/>
          <w:marTop w:val="0"/>
          <w:marBottom w:val="0"/>
          <w:divBdr>
            <w:top w:val="none" w:sz="0" w:space="0" w:color="auto"/>
            <w:left w:val="none" w:sz="0" w:space="0" w:color="auto"/>
            <w:bottom w:val="none" w:sz="0" w:space="0" w:color="auto"/>
            <w:right w:val="none" w:sz="0" w:space="0" w:color="auto"/>
          </w:divBdr>
          <w:divsChild>
            <w:div w:id="1579293610">
              <w:marLeft w:val="0"/>
              <w:marRight w:val="0"/>
              <w:marTop w:val="0"/>
              <w:marBottom w:val="0"/>
              <w:divBdr>
                <w:top w:val="none" w:sz="0" w:space="0" w:color="auto"/>
                <w:left w:val="none" w:sz="0" w:space="0" w:color="auto"/>
                <w:bottom w:val="none" w:sz="0" w:space="0" w:color="auto"/>
                <w:right w:val="none" w:sz="0" w:space="0" w:color="auto"/>
              </w:divBdr>
              <w:divsChild>
                <w:div w:id="1401248146">
                  <w:marLeft w:val="45"/>
                  <w:marRight w:val="0"/>
                  <w:marTop w:val="105"/>
                  <w:marBottom w:val="75"/>
                  <w:divBdr>
                    <w:top w:val="none" w:sz="0" w:space="0" w:color="auto"/>
                    <w:left w:val="none" w:sz="0" w:space="0" w:color="auto"/>
                    <w:bottom w:val="none" w:sz="0" w:space="0" w:color="auto"/>
                    <w:right w:val="none" w:sz="0" w:space="0" w:color="auto"/>
                  </w:divBdr>
                  <w:divsChild>
                    <w:div w:id="1586694213">
                      <w:marLeft w:val="0"/>
                      <w:marRight w:val="0"/>
                      <w:marTop w:val="0"/>
                      <w:marBottom w:val="0"/>
                      <w:divBdr>
                        <w:top w:val="none" w:sz="0" w:space="0" w:color="auto"/>
                        <w:left w:val="none" w:sz="0" w:space="0" w:color="auto"/>
                        <w:bottom w:val="none" w:sz="0" w:space="0" w:color="auto"/>
                        <w:right w:val="none" w:sz="0" w:space="0" w:color="auto"/>
                      </w:divBdr>
                      <w:divsChild>
                        <w:div w:id="1188643297">
                          <w:marLeft w:val="0"/>
                          <w:marRight w:val="0"/>
                          <w:marTop w:val="0"/>
                          <w:marBottom w:val="0"/>
                          <w:divBdr>
                            <w:top w:val="none" w:sz="0" w:space="0" w:color="auto"/>
                            <w:left w:val="none" w:sz="0" w:space="0" w:color="auto"/>
                            <w:bottom w:val="none" w:sz="0" w:space="0" w:color="auto"/>
                            <w:right w:val="none" w:sz="0" w:space="0" w:color="auto"/>
                          </w:divBdr>
                          <w:divsChild>
                            <w:div w:id="186869342">
                              <w:marLeft w:val="0"/>
                              <w:marRight w:val="0"/>
                              <w:marTop w:val="0"/>
                              <w:marBottom w:val="0"/>
                              <w:divBdr>
                                <w:top w:val="none" w:sz="0" w:space="0" w:color="auto"/>
                                <w:left w:val="none" w:sz="0" w:space="0" w:color="auto"/>
                                <w:bottom w:val="none" w:sz="0" w:space="0" w:color="auto"/>
                                <w:right w:val="none" w:sz="0" w:space="0" w:color="auto"/>
                              </w:divBdr>
                              <w:divsChild>
                                <w:div w:id="684481726">
                                  <w:marLeft w:val="0"/>
                                  <w:marRight w:val="0"/>
                                  <w:marTop w:val="0"/>
                                  <w:marBottom w:val="0"/>
                                  <w:divBdr>
                                    <w:top w:val="none" w:sz="0" w:space="0" w:color="auto"/>
                                    <w:left w:val="none" w:sz="0" w:space="0" w:color="auto"/>
                                    <w:bottom w:val="none" w:sz="0" w:space="0" w:color="auto"/>
                                    <w:right w:val="none" w:sz="0" w:space="0" w:color="auto"/>
                                  </w:divBdr>
                                  <w:divsChild>
                                    <w:div w:id="1400517830">
                                      <w:marLeft w:val="0"/>
                                      <w:marRight w:val="0"/>
                                      <w:marTop w:val="0"/>
                                      <w:marBottom w:val="0"/>
                                      <w:divBdr>
                                        <w:top w:val="none" w:sz="0" w:space="0" w:color="auto"/>
                                        <w:left w:val="none" w:sz="0" w:space="0" w:color="auto"/>
                                        <w:bottom w:val="none" w:sz="0" w:space="0" w:color="auto"/>
                                        <w:right w:val="none" w:sz="0" w:space="0" w:color="auto"/>
                                      </w:divBdr>
                                      <w:divsChild>
                                        <w:div w:id="35549564">
                                          <w:marLeft w:val="0"/>
                                          <w:marRight w:val="0"/>
                                          <w:marTop w:val="0"/>
                                          <w:marBottom w:val="0"/>
                                          <w:divBdr>
                                            <w:top w:val="none" w:sz="0" w:space="0" w:color="auto"/>
                                            <w:left w:val="none" w:sz="0" w:space="0" w:color="auto"/>
                                            <w:bottom w:val="none" w:sz="0" w:space="0" w:color="auto"/>
                                            <w:right w:val="none" w:sz="0" w:space="0" w:color="auto"/>
                                          </w:divBdr>
                                          <w:divsChild>
                                            <w:div w:id="1100953867">
                                              <w:marLeft w:val="0"/>
                                              <w:marRight w:val="0"/>
                                              <w:marTop w:val="15"/>
                                              <w:marBottom w:val="0"/>
                                              <w:divBdr>
                                                <w:top w:val="none" w:sz="0" w:space="0" w:color="auto"/>
                                                <w:left w:val="none" w:sz="0" w:space="0" w:color="auto"/>
                                                <w:bottom w:val="none" w:sz="0" w:space="0" w:color="auto"/>
                                                <w:right w:val="none" w:sz="0" w:space="0" w:color="auto"/>
                                              </w:divBdr>
                                              <w:divsChild>
                                                <w:div w:id="28992103">
                                                  <w:marLeft w:val="0"/>
                                                  <w:marRight w:val="15"/>
                                                  <w:marTop w:val="0"/>
                                                  <w:marBottom w:val="0"/>
                                                  <w:divBdr>
                                                    <w:top w:val="none" w:sz="0" w:space="0" w:color="auto"/>
                                                    <w:left w:val="none" w:sz="0" w:space="0" w:color="auto"/>
                                                    <w:bottom w:val="none" w:sz="0" w:space="0" w:color="auto"/>
                                                    <w:right w:val="none" w:sz="0" w:space="0" w:color="auto"/>
                                                  </w:divBdr>
                                                  <w:divsChild>
                                                    <w:div w:id="1984383201">
                                                      <w:marLeft w:val="0"/>
                                                      <w:marRight w:val="0"/>
                                                      <w:marTop w:val="0"/>
                                                      <w:marBottom w:val="0"/>
                                                      <w:divBdr>
                                                        <w:top w:val="none" w:sz="0" w:space="0" w:color="auto"/>
                                                        <w:left w:val="none" w:sz="0" w:space="0" w:color="auto"/>
                                                        <w:bottom w:val="none" w:sz="0" w:space="0" w:color="auto"/>
                                                        <w:right w:val="none" w:sz="0" w:space="0" w:color="auto"/>
                                                      </w:divBdr>
                                                      <w:divsChild>
                                                        <w:div w:id="1949657318">
                                                          <w:marLeft w:val="0"/>
                                                          <w:marRight w:val="0"/>
                                                          <w:marTop w:val="0"/>
                                                          <w:marBottom w:val="0"/>
                                                          <w:divBdr>
                                                            <w:top w:val="none" w:sz="0" w:space="0" w:color="auto"/>
                                                            <w:left w:val="none" w:sz="0" w:space="0" w:color="auto"/>
                                                            <w:bottom w:val="none" w:sz="0" w:space="0" w:color="auto"/>
                                                            <w:right w:val="none" w:sz="0" w:space="0" w:color="auto"/>
                                                          </w:divBdr>
                                                          <w:divsChild>
                                                            <w:div w:id="1723627531">
                                                              <w:marLeft w:val="0"/>
                                                              <w:marRight w:val="0"/>
                                                              <w:marTop w:val="0"/>
                                                              <w:marBottom w:val="0"/>
                                                              <w:divBdr>
                                                                <w:top w:val="none" w:sz="0" w:space="0" w:color="auto"/>
                                                                <w:left w:val="none" w:sz="0" w:space="0" w:color="auto"/>
                                                                <w:bottom w:val="none" w:sz="0" w:space="0" w:color="auto"/>
                                                                <w:right w:val="none" w:sz="0" w:space="0" w:color="auto"/>
                                                              </w:divBdr>
                                                              <w:divsChild>
                                                                <w:div w:id="2112817022">
                                                                  <w:marLeft w:val="0"/>
                                                                  <w:marRight w:val="0"/>
                                                                  <w:marTop w:val="0"/>
                                                                  <w:marBottom w:val="0"/>
                                                                  <w:divBdr>
                                                                    <w:top w:val="none" w:sz="0" w:space="0" w:color="auto"/>
                                                                    <w:left w:val="none" w:sz="0" w:space="0" w:color="auto"/>
                                                                    <w:bottom w:val="none" w:sz="0" w:space="0" w:color="auto"/>
                                                                    <w:right w:val="none" w:sz="0" w:space="0" w:color="auto"/>
                                                                  </w:divBdr>
                                                                  <w:divsChild>
                                                                    <w:div w:id="92414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09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756477">
      <w:bodyDiv w:val="1"/>
      <w:marLeft w:val="0"/>
      <w:marRight w:val="0"/>
      <w:marTop w:val="0"/>
      <w:marBottom w:val="0"/>
      <w:divBdr>
        <w:top w:val="none" w:sz="0" w:space="0" w:color="auto"/>
        <w:left w:val="none" w:sz="0" w:space="0" w:color="auto"/>
        <w:bottom w:val="none" w:sz="0" w:space="0" w:color="auto"/>
        <w:right w:val="none" w:sz="0" w:space="0" w:color="auto"/>
      </w:divBdr>
      <w:divsChild>
        <w:div w:id="1113285945">
          <w:marLeft w:val="0"/>
          <w:marRight w:val="0"/>
          <w:marTop w:val="0"/>
          <w:marBottom w:val="0"/>
          <w:divBdr>
            <w:top w:val="none" w:sz="0" w:space="0" w:color="auto"/>
            <w:left w:val="none" w:sz="0" w:space="0" w:color="auto"/>
            <w:bottom w:val="none" w:sz="0" w:space="0" w:color="auto"/>
            <w:right w:val="none" w:sz="0" w:space="0" w:color="auto"/>
          </w:divBdr>
          <w:divsChild>
            <w:div w:id="2066633799">
              <w:marLeft w:val="0"/>
              <w:marRight w:val="0"/>
              <w:marTop w:val="0"/>
              <w:marBottom w:val="0"/>
              <w:divBdr>
                <w:top w:val="none" w:sz="0" w:space="0" w:color="auto"/>
                <w:left w:val="none" w:sz="0" w:space="0" w:color="auto"/>
                <w:bottom w:val="none" w:sz="0" w:space="0" w:color="auto"/>
                <w:right w:val="none" w:sz="0" w:space="0" w:color="auto"/>
              </w:divBdr>
              <w:divsChild>
                <w:div w:id="1769110967">
                  <w:marLeft w:val="45"/>
                  <w:marRight w:val="0"/>
                  <w:marTop w:val="105"/>
                  <w:marBottom w:val="75"/>
                  <w:divBdr>
                    <w:top w:val="none" w:sz="0" w:space="0" w:color="auto"/>
                    <w:left w:val="none" w:sz="0" w:space="0" w:color="auto"/>
                    <w:bottom w:val="none" w:sz="0" w:space="0" w:color="auto"/>
                    <w:right w:val="none" w:sz="0" w:space="0" w:color="auto"/>
                  </w:divBdr>
                  <w:divsChild>
                    <w:div w:id="812678095">
                      <w:marLeft w:val="0"/>
                      <w:marRight w:val="0"/>
                      <w:marTop w:val="0"/>
                      <w:marBottom w:val="0"/>
                      <w:divBdr>
                        <w:top w:val="none" w:sz="0" w:space="0" w:color="auto"/>
                        <w:left w:val="none" w:sz="0" w:space="0" w:color="auto"/>
                        <w:bottom w:val="none" w:sz="0" w:space="0" w:color="auto"/>
                        <w:right w:val="none" w:sz="0" w:space="0" w:color="auto"/>
                      </w:divBdr>
                      <w:divsChild>
                        <w:div w:id="7878481">
                          <w:marLeft w:val="0"/>
                          <w:marRight w:val="0"/>
                          <w:marTop w:val="0"/>
                          <w:marBottom w:val="0"/>
                          <w:divBdr>
                            <w:top w:val="none" w:sz="0" w:space="0" w:color="auto"/>
                            <w:left w:val="none" w:sz="0" w:space="0" w:color="auto"/>
                            <w:bottom w:val="none" w:sz="0" w:space="0" w:color="auto"/>
                            <w:right w:val="none" w:sz="0" w:space="0" w:color="auto"/>
                          </w:divBdr>
                          <w:divsChild>
                            <w:div w:id="1722828617">
                              <w:marLeft w:val="0"/>
                              <w:marRight w:val="0"/>
                              <w:marTop w:val="0"/>
                              <w:marBottom w:val="0"/>
                              <w:divBdr>
                                <w:top w:val="none" w:sz="0" w:space="0" w:color="auto"/>
                                <w:left w:val="none" w:sz="0" w:space="0" w:color="auto"/>
                                <w:bottom w:val="none" w:sz="0" w:space="0" w:color="auto"/>
                                <w:right w:val="none" w:sz="0" w:space="0" w:color="auto"/>
                              </w:divBdr>
                              <w:divsChild>
                                <w:div w:id="886642492">
                                  <w:marLeft w:val="0"/>
                                  <w:marRight w:val="0"/>
                                  <w:marTop w:val="0"/>
                                  <w:marBottom w:val="0"/>
                                  <w:divBdr>
                                    <w:top w:val="none" w:sz="0" w:space="0" w:color="auto"/>
                                    <w:left w:val="none" w:sz="0" w:space="0" w:color="auto"/>
                                    <w:bottom w:val="none" w:sz="0" w:space="0" w:color="auto"/>
                                    <w:right w:val="none" w:sz="0" w:space="0" w:color="auto"/>
                                  </w:divBdr>
                                  <w:divsChild>
                                    <w:div w:id="545291401">
                                      <w:marLeft w:val="0"/>
                                      <w:marRight w:val="0"/>
                                      <w:marTop w:val="0"/>
                                      <w:marBottom w:val="0"/>
                                      <w:divBdr>
                                        <w:top w:val="none" w:sz="0" w:space="0" w:color="auto"/>
                                        <w:left w:val="none" w:sz="0" w:space="0" w:color="auto"/>
                                        <w:bottom w:val="none" w:sz="0" w:space="0" w:color="auto"/>
                                        <w:right w:val="none" w:sz="0" w:space="0" w:color="auto"/>
                                      </w:divBdr>
                                      <w:divsChild>
                                        <w:div w:id="1133867017">
                                          <w:marLeft w:val="0"/>
                                          <w:marRight w:val="0"/>
                                          <w:marTop w:val="0"/>
                                          <w:marBottom w:val="0"/>
                                          <w:divBdr>
                                            <w:top w:val="none" w:sz="0" w:space="0" w:color="auto"/>
                                            <w:left w:val="none" w:sz="0" w:space="0" w:color="auto"/>
                                            <w:bottom w:val="none" w:sz="0" w:space="0" w:color="auto"/>
                                            <w:right w:val="none" w:sz="0" w:space="0" w:color="auto"/>
                                          </w:divBdr>
                                          <w:divsChild>
                                            <w:div w:id="1485394381">
                                              <w:marLeft w:val="0"/>
                                              <w:marRight w:val="0"/>
                                              <w:marTop w:val="15"/>
                                              <w:marBottom w:val="0"/>
                                              <w:divBdr>
                                                <w:top w:val="none" w:sz="0" w:space="0" w:color="auto"/>
                                                <w:left w:val="none" w:sz="0" w:space="0" w:color="auto"/>
                                                <w:bottom w:val="none" w:sz="0" w:space="0" w:color="auto"/>
                                                <w:right w:val="none" w:sz="0" w:space="0" w:color="auto"/>
                                              </w:divBdr>
                                              <w:divsChild>
                                                <w:div w:id="248001408">
                                                  <w:marLeft w:val="0"/>
                                                  <w:marRight w:val="15"/>
                                                  <w:marTop w:val="0"/>
                                                  <w:marBottom w:val="0"/>
                                                  <w:divBdr>
                                                    <w:top w:val="none" w:sz="0" w:space="0" w:color="auto"/>
                                                    <w:left w:val="none" w:sz="0" w:space="0" w:color="auto"/>
                                                    <w:bottom w:val="none" w:sz="0" w:space="0" w:color="auto"/>
                                                    <w:right w:val="none" w:sz="0" w:space="0" w:color="auto"/>
                                                  </w:divBdr>
                                                  <w:divsChild>
                                                    <w:div w:id="289828195">
                                                      <w:marLeft w:val="0"/>
                                                      <w:marRight w:val="0"/>
                                                      <w:marTop w:val="0"/>
                                                      <w:marBottom w:val="0"/>
                                                      <w:divBdr>
                                                        <w:top w:val="none" w:sz="0" w:space="0" w:color="auto"/>
                                                        <w:left w:val="none" w:sz="0" w:space="0" w:color="auto"/>
                                                        <w:bottom w:val="none" w:sz="0" w:space="0" w:color="auto"/>
                                                        <w:right w:val="none" w:sz="0" w:space="0" w:color="auto"/>
                                                      </w:divBdr>
                                                      <w:divsChild>
                                                        <w:div w:id="1879465457">
                                                          <w:marLeft w:val="0"/>
                                                          <w:marRight w:val="0"/>
                                                          <w:marTop w:val="0"/>
                                                          <w:marBottom w:val="0"/>
                                                          <w:divBdr>
                                                            <w:top w:val="none" w:sz="0" w:space="0" w:color="auto"/>
                                                            <w:left w:val="none" w:sz="0" w:space="0" w:color="auto"/>
                                                            <w:bottom w:val="none" w:sz="0" w:space="0" w:color="auto"/>
                                                            <w:right w:val="none" w:sz="0" w:space="0" w:color="auto"/>
                                                          </w:divBdr>
                                                          <w:divsChild>
                                                            <w:div w:id="866914822">
                                                              <w:marLeft w:val="0"/>
                                                              <w:marRight w:val="0"/>
                                                              <w:marTop w:val="0"/>
                                                              <w:marBottom w:val="0"/>
                                                              <w:divBdr>
                                                                <w:top w:val="none" w:sz="0" w:space="0" w:color="auto"/>
                                                                <w:left w:val="none" w:sz="0" w:space="0" w:color="auto"/>
                                                                <w:bottom w:val="none" w:sz="0" w:space="0" w:color="auto"/>
                                                                <w:right w:val="none" w:sz="0" w:space="0" w:color="auto"/>
                                                              </w:divBdr>
                                                              <w:divsChild>
                                                                <w:div w:id="2039231506">
                                                                  <w:marLeft w:val="0"/>
                                                                  <w:marRight w:val="0"/>
                                                                  <w:marTop w:val="0"/>
                                                                  <w:marBottom w:val="0"/>
                                                                  <w:divBdr>
                                                                    <w:top w:val="none" w:sz="0" w:space="0" w:color="auto"/>
                                                                    <w:left w:val="none" w:sz="0" w:space="0" w:color="auto"/>
                                                                    <w:bottom w:val="none" w:sz="0" w:space="0" w:color="auto"/>
                                                                    <w:right w:val="none" w:sz="0" w:space="0" w:color="auto"/>
                                                                  </w:divBdr>
                                                                  <w:divsChild>
                                                                    <w:div w:id="136171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395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2616</Characters>
  <Application>Microsoft Office Word</Application>
  <DocSecurity>0</DocSecurity>
  <Lines>21</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2024-08-10T22:07:00Z</dcterms:created>
  <dcterms:modified xsi:type="dcterms:W3CDTF">2024-08-10T22:08:00Z</dcterms:modified>
</cp:coreProperties>
</file>