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2626AC" w14:textId="77777777" w:rsidR="00567BA0" w:rsidRPr="00567BA0" w:rsidRDefault="00567BA0" w:rsidP="00567BA0">
      <w:r w:rsidRPr="00567BA0">
        <w:t>To instantiate the GPCA system safety case pattern into a concrete safety case, I will replace the placeholders with specific information from the provided domain details about the Generic Patient-Controlled Analgesia (GPCA) system. Attributes of GPCA hazards, operational scenarios, and specifications associated with safety requirements will be used to develop this case.</w:t>
      </w:r>
    </w:p>
    <w:p w14:paraId="73A65B37" w14:textId="77777777" w:rsidR="00567BA0" w:rsidRPr="00567BA0" w:rsidRDefault="00567BA0" w:rsidP="00567BA0"/>
    <w:p w14:paraId="500638CD" w14:textId="77777777" w:rsidR="00567BA0" w:rsidRPr="00567BA0" w:rsidRDefault="00567BA0" w:rsidP="00567BA0">
      <w:r w:rsidRPr="00567BA0">
        <w:t>Here is the hierarchy of the instantiated safety case following the structure of the provided pattern, using specific system details for the GPCA:</w:t>
      </w:r>
    </w:p>
    <w:p w14:paraId="19BDF900" w14:textId="77777777" w:rsidR="00567BA0" w:rsidRPr="00567BA0" w:rsidRDefault="00567BA0" w:rsidP="00567BA0"/>
    <w:p w14:paraId="28063763" w14:textId="77777777" w:rsidR="00567BA0" w:rsidRPr="00567BA0" w:rsidRDefault="00567BA0" w:rsidP="00567BA0">
      <w:r w:rsidRPr="00567BA0">
        <w:t>```</w:t>
      </w:r>
    </w:p>
    <w:p w14:paraId="1187A842" w14:textId="77777777" w:rsidR="00567BA0" w:rsidRPr="00567BA0" w:rsidRDefault="00567BA0" w:rsidP="00567BA0">
      <w:r w:rsidRPr="00567BA0">
        <w:t>G1: Operational safety is verified in the GPCA system</w:t>
      </w:r>
    </w:p>
    <w:p w14:paraId="1C4EB6E8" w14:textId="77777777" w:rsidR="00567BA0" w:rsidRPr="00567BA0" w:rsidRDefault="00567BA0" w:rsidP="00567BA0">
      <w:r w:rsidRPr="00567BA0">
        <w:t>- S1: Argument over the satisfaction of all specs over the GPCA system</w:t>
      </w:r>
    </w:p>
    <w:p w14:paraId="12CBAE56" w14:textId="77777777" w:rsidR="00567BA0" w:rsidRPr="00567BA0" w:rsidRDefault="00567BA0" w:rsidP="00567BA0">
      <w:r w:rsidRPr="00567BA0">
        <w:t xml:space="preserve">  - C1: All specs are given by safety requirements SR1.1, SR1.2, SR1.4, SR1.5, SR1.10, SR3.4.6, SR6.1.3, SR6.1.4</w:t>
      </w:r>
    </w:p>
    <w:p w14:paraId="2AEBDABB" w14:textId="77777777" w:rsidR="00567BA0" w:rsidRPr="00567BA0" w:rsidRDefault="00567BA0" w:rsidP="00567BA0">
      <w:r w:rsidRPr="00567BA0">
        <w:t xml:space="preserve">    * </w:t>
      </w:r>
      <w:proofErr w:type="gramStart"/>
      <w:r w:rsidRPr="00567BA0">
        <w:t>undeveloped</w:t>
      </w:r>
      <w:proofErr w:type="gramEnd"/>
    </w:p>
    <w:p w14:paraId="35330855" w14:textId="77777777" w:rsidR="00567BA0" w:rsidRPr="00567BA0" w:rsidRDefault="00567BA0" w:rsidP="00567BA0">
      <w:r w:rsidRPr="00567BA0">
        <w:t>- G2: All operational hazards are mitigated</w:t>
      </w:r>
    </w:p>
    <w:p w14:paraId="01D37AE7" w14:textId="77777777" w:rsidR="00567BA0" w:rsidRPr="00567BA0" w:rsidRDefault="00567BA0" w:rsidP="00567BA0">
      <w:r w:rsidRPr="00567BA0">
        <w:t xml:space="preserve">  - S3: Argument over operational hazards</w:t>
      </w:r>
    </w:p>
    <w:p w14:paraId="291E911D" w14:textId="77777777" w:rsidR="00567BA0" w:rsidRPr="00567BA0" w:rsidRDefault="00567BA0" w:rsidP="00567BA0">
      <w:r w:rsidRPr="00567BA0">
        <w:t xml:space="preserve">    - C2: Operational hazards are given by "</w:t>
      </w:r>
      <w:proofErr w:type="spellStart"/>
      <w:r w:rsidRPr="00567BA0">
        <w:t>Overinfusion</w:t>
      </w:r>
      <w:proofErr w:type="spellEnd"/>
      <w:r w:rsidRPr="00567BA0">
        <w:t>" and "</w:t>
      </w:r>
      <w:proofErr w:type="spellStart"/>
      <w:r w:rsidRPr="00567BA0">
        <w:t>Underinfusion</w:t>
      </w:r>
      <w:proofErr w:type="spellEnd"/>
      <w:r w:rsidRPr="00567BA0">
        <w:t>"</w:t>
      </w:r>
    </w:p>
    <w:p w14:paraId="14B1CAED" w14:textId="77777777" w:rsidR="00567BA0" w:rsidRPr="00567BA0" w:rsidRDefault="00567BA0" w:rsidP="00567BA0">
      <w:r w:rsidRPr="00567BA0">
        <w:t xml:space="preserve">    - G3: </w:t>
      </w:r>
      <w:proofErr w:type="spellStart"/>
      <w:r w:rsidRPr="00567BA0">
        <w:t>Overinfusion</w:t>
      </w:r>
      <w:proofErr w:type="spellEnd"/>
      <w:r w:rsidRPr="00567BA0">
        <w:t xml:space="preserve"> is mitigated</w:t>
      </w:r>
    </w:p>
    <w:p w14:paraId="03C291DC" w14:textId="77777777" w:rsidR="00567BA0" w:rsidRPr="00567BA0" w:rsidRDefault="00567BA0" w:rsidP="00567BA0">
      <w:r w:rsidRPr="00567BA0">
        <w:t xml:space="preserve">      - S4: Argument over the applied scenarios of </w:t>
      </w:r>
      <w:proofErr w:type="spellStart"/>
      <w:r w:rsidRPr="00567BA0">
        <w:t>Overinfusion</w:t>
      </w:r>
      <w:proofErr w:type="spellEnd"/>
    </w:p>
    <w:p w14:paraId="5A625B65" w14:textId="77777777" w:rsidR="00567BA0" w:rsidRPr="00567BA0" w:rsidRDefault="00567BA0" w:rsidP="00567BA0">
      <w:r w:rsidRPr="00567BA0">
        <w:t xml:space="preserve">        - C3: All related scenarios are given by operational settings for </w:t>
      </w:r>
      <w:proofErr w:type="spellStart"/>
      <w:r w:rsidRPr="00567BA0">
        <w:t>Overinfusion</w:t>
      </w:r>
      <w:proofErr w:type="spellEnd"/>
    </w:p>
    <w:p w14:paraId="0A590D8F" w14:textId="77777777" w:rsidR="00567BA0" w:rsidRPr="00567BA0" w:rsidRDefault="00567BA0" w:rsidP="00567BA0">
      <w:r w:rsidRPr="00567BA0">
        <w:t xml:space="preserve">        - G4: </w:t>
      </w:r>
      <w:proofErr w:type="spellStart"/>
      <w:r w:rsidRPr="00567BA0">
        <w:t>Overinfusion</w:t>
      </w:r>
      <w:proofErr w:type="spellEnd"/>
      <w:r w:rsidRPr="00567BA0">
        <w:t xml:space="preserve"> is mitigated under high flow rate scenario</w:t>
      </w:r>
    </w:p>
    <w:p w14:paraId="1569CE97" w14:textId="77777777" w:rsidR="00567BA0" w:rsidRPr="00567BA0" w:rsidRDefault="00567BA0" w:rsidP="00567BA0">
      <w:r w:rsidRPr="00567BA0">
        <w:t xml:space="preserve">          - S5: Argument over all specs related to high flow rate scenario</w:t>
      </w:r>
    </w:p>
    <w:p w14:paraId="17272DB5" w14:textId="77777777" w:rsidR="00567BA0" w:rsidRPr="00567BA0" w:rsidRDefault="00567BA0" w:rsidP="00567BA0">
      <w:r w:rsidRPr="00567BA0">
        <w:t xml:space="preserve">            - C4: All related specs are given by safety requirement SR1.10</w:t>
      </w:r>
    </w:p>
    <w:p w14:paraId="55112ABB" w14:textId="77777777" w:rsidR="00567BA0" w:rsidRPr="00567BA0" w:rsidRDefault="00567BA0" w:rsidP="00567BA0">
      <w:r w:rsidRPr="00567BA0">
        <w:t xml:space="preserve">            - G5: Flow rate sensor is appropriate for high flow rate scenario</w:t>
      </w:r>
    </w:p>
    <w:p w14:paraId="0EA127B2" w14:textId="77777777" w:rsidR="00567BA0" w:rsidRPr="00567BA0" w:rsidRDefault="00567BA0" w:rsidP="00567BA0">
      <w:r w:rsidRPr="00567BA0">
        <w:t xml:space="preserve">              - S6: Argument the appropriateness of the flow rate sensor over properties</w:t>
      </w:r>
    </w:p>
    <w:p w14:paraId="577C9062" w14:textId="77777777" w:rsidR="00567BA0" w:rsidRPr="00567BA0" w:rsidRDefault="00567BA0" w:rsidP="00567BA0">
      <w:r w:rsidRPr="00567BA0">
        <w:t xml:space="preserve">                - C5: Properties are given by "Flow rate sensor is equipped", "Flow rate is less than 90% of the programmed rate setting"</w:t>
      </w:r>
    </w:p>
    <w:p w14:paraId="60BBECB2" w14:textId="77777777" w:rsidR="00567BA0" w:rsidRPr="00567BA0" w:rsidRDefault="00567BA0" w:rsidP="00567BA0">
      <w:r w:rsidRPr="00567BA0">
        <w:t xml:space="preserve">                - G6: Flow rate must be less than 90% of the programmed rate setting </w:t>
      </w:r>
    </w:p>
    <w:p w14:paraId="2474547D" w14:textId="77777777" w:rsidR="00567BA0" w:rsidRPr="00567BA0" w:rsidRDefault="00567BA0" w:rsidP="00567BA0">
      <w:r w:rsidRPr="00567BA0">
        <w:t xml:space="preserve">                  - S7: Argument over the source of the property definition</w:t>
      </w:r>
    </w:p>
    <w:p w14:paraId="1DDA0180" w14:textId="77777777" w:rsidR="00567BA0" w:rsidRPr="00567BA0" w:rsidRDefault="00567BA0" w:rsidP="00567BA0">
      <w:r w:rsidRPr="00567BA0">
        <w:t xml:space="preserve">                    - C6: Source is given by FDA standard</w:t>
      </w:r>
    </w:p>
    <w:p w14:paraId="4F7846EB" w14:textId="77777777" w:rsidR="00567BA0" w:rsidRPr="00567BA0" w:rsidRDefault="00567BA0" w:rsidP="00567BA0">
      <w:r w:rsidRPr="00567BA0">
        <w:t xml:space="preserve">                    - G7: FDA standard is appropriate and trustworthy</w:t>
      </w:r>
    </w:p>
    <w:p w14:paraId="544580C8" w14:textId="77777777" w:rsidR="00567BA0" w:rsidRPr="00567BA0" w:rsidRDefault="00567BA0" w:rsidP="00567BA0">
      <w:r w:rsidRPr="00567BA0">
        <w:lastRenderedPageBreak/>
        <w:t xml:space="preserve">                      - Sn1: source verification document</w:t>
      </w:r>
    </w:p>
    <w:p w14:paraId="096A6994" w14:textId="77777777" w:rsidR="00567BA0" w:rsidRPr="00567BA0" w:rsidRDefault="00567BA0" w:rsidP="00567BA0">
      <w:r w:rsidRPr="00567BA0">
        <w:t xml:space="preserve">                    - G8: Property definition is sufficiently rigorous</w:t>
      </w:r>
    </w:p>
    <w:p w14:paraId="5260FBFA" w14:textId="77777777" w:rsidR="00567BA0" w:rsidRPr="00567BA0" w:rsidRDefault="00567BA0" w:rsidP="00567BA0">
      <w:r w:rsidRPr="00567BA0">
        <w:t xml:space="preserve">                      - Sn2: flow rate property specification document</w:t>
      </w:r>
    </w:p>
    <w:p w14:paraId="6DAF7BE9" w14:textId="77777777" w:rsidR="00567BA0" w:rsidRPr="00567BA0" w:rsidRDefault="00567BA0" w:rsidP="00567BA0">
      <w:r w:rsidRPr="00567BA0">
        <w:t>```</w:t>
      </w:r>
    </w:p>
    <w:p w14:paraId="00318E89" w14:textId="77777777" w:rsidR="00567BA0" w:rsidRPr="00567BA0" w:rsidRDefault="00567BA0" w:rsidP="00567BA0"/>
    <w:p w14:paraId="0835DF09" w14:textId="77777777" w:rsidR="00567BA0" w:rsidRPr="00567BA0" w:rsidRDefault="00567BA0" w:rsidP="00567BA0">
      <w:r w:rsidRPr="00567BA0">
        <w:t>Explanation of Instantiation:</w:t>
      </w:r>
    </w:p>
    <w:p w14:paraId="15BA17C4" w14:textId="77777777" w:rsidR="00567BA0" w:rsidRPr="00567BA0" w:rsidRDefault="00567BA0" w:rsidP="00567BA0">
      <w:r w:rsidRPr="00567BA0">
        <w:t>- **GPCA system**: This refers to the Generic Patient-Controlled Analgesia system.</w:t>
      </w:r>
    </w:p>
    <w:p w14:paraId="1F2E849A" w14:textId="77777777" w:rsidR="00567BA0" w:rsidRPr="00567BA0" w:rsidRDefault="00567BA0" w:rsidP="00567BA0">
      <w:r w:rsidRPr="00567BA0">
        <w:t>- **High flow rate scenario**: Represents situations where flow rate exceeds normal operational thresholds.</w:t>
      </w:r>
    </w:p>
    <w:p w14:paraId="56A1BA55" w14:textId="77777777" w:rsidR="00567BA0" w:rsidRPr="00567BA0" w:rsidRDefault="00567BA0" w:rsidP="00567BA0">
      <w:r w:rsidRPr="00567BA0">
        <w:t>- **Safety requirements such as SR1.1, SR1.2, etc.**, are explicitly listed as they define critical safety aspects.</w:t>
      </w:r>
    </w:p>
    <w:p w14:paraId="157641C9" w14:textId="77777777" w:rsidR="00567BA0" w:rsidRPr="00567BA0" w:rsidRDefault="00567BA0" w:rsidP="00567BA0">
      <w:r w:rsidRPr="00567BA0">
        <w:t>- **Flow rate sensor and properties**: Specific safety features and requirements are considered critical and are explicitly addressed.</w:t>
      </w:r>
    </w:p>
    <w:p w14:paraId="74C67137" w14:textId="77777777" w:rsidR="00567BA0" w:rsidRPr="00567BA0" w:rsidRDefault="00567BA0" w:rsidP="00567BA0">
      <w:r w:rsidRPr="00567BA0">
        <w:t xml:space="preserve">- **FDA standard**: Used as a credible source confirming the appropriateness of the safety measures. </w:t>
      </w:r>
    </w:p>
    <w:p w14:paraId="7BF249D5" w14:textId="77777777" w:rsidR="00567BA0" w:rsidRPr="00567BA0" w:rsidRDefault="00567BA0" w:rsidP="00567BA0"/>
    <w:p w14:paraId="19075E27" w14:textId="77777777" w:rsidR="00567BA0" w:rsidRPr="00567BA0" w:rsidRDefault="00567BA0" w:rsidP="00567BA0">
      <w:r w:rsidRPr="00567BA0">
        <w:t>The placeholder information was replaced with specifics about the system, hazard scenarios, required properties, and credible sources to fully represent the context and specifics of the GPCA system. This instantiation now forms a robust safety assurance case grounded in the operational specifics of the GPCA system, addressing various operational hazards in structured arguments leveraging GSN.</w:t>
      </w:r>
    </w:p>
    <w:p w14:paraId="4ED659C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BA0"/>
    <w:rsid w:val="00204EC0"/>
    <w:rsid w:val="00567BA0"/>
    <w:rsid w:val="005768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1F7CF"/>
  <w15:chartTrackingRefBased/>
  <w15:docId w15:val="{86790D9B-2A0E-48EC-A6D5-F80AB042A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7B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67B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67BA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67BA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67BA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67B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7B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7B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7B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BA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67BA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67BA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67BA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67BA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67B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7B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7B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7BA0"/>
    <w:rPr>
      <w:rFonts w:eastAsiaTheme="majorEastAsia" w:cstheme="majorBidi"/>
      <w:color w:val="272727" w:themeColor="text1" w:themeTint="D8"/>
    </w:rPr>
  </w:style>
  <w:style w:type="paragraph" w:styleId="Title">
    <w:name w:val="Title"/>
    <w:basedOn w:val="Normal"/>
    <w:next w:val="Normal"/>
    <w:link w:val="TitleChar"/>
    <w:uiPriority w:val="10"/>
    <w:qFormat/>
    <w:rsid w:val="00567B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7B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7B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7B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7BA0"/>
    <w:pPr>
      <w:spacing w:before="160"/>
      <w:jc w:val="center"/>
    </w:pPr>
    <w:rPr>
      <w:i/>
      <w:iCs/>
      <w:color w:val="404040" w:themeColor="text1" w:themeTint="BF"/>
    </w:rPr>
  </w:style>
  <w:style w:type="character" w:customStyle="1" w:styleId="QuoteChar">
    <w:name w:val="Quote Char"/>
    <w:basedOn w:val="DefaultParagraphFont"/>
    <w:link w:val="Quote"/>
    <w:uiPriority w:val="29"/>
    <w:rsid w:val="00567BA0"/>
    <w:rPr>
      <w:i/>
      <w:iCs/>
      <w:color w:val="404040" w:themeColor="text1" w:themeTint="BF"/>
    </w:rPr>
  </w:style>
  <w:style w:type="paragraph" w:styleId="ListParagraph">
    <w:name w:val="List Paragraph"/>
    <w:basedOn w:val="Normal"/>
    <w:uiPriority w:val="34"/>
    <w:qFormat/>
    <w:rsid w:val="00567BA0"/>
    <w:pPr>
      <w:ind w:left="720"/>
      <w:contextualSpacing/>
    </w:pPr>
  </w:style>
  <w:style w:type="character" w:styleId="IntenseEmphasis">
    <w:name w:val="Intense Emphasis"/>
    <w:basedOn w:val="DefaultParagraphFont"/>
    <w:uiPriority w:val="21"/>
    <w:qFormat/>
    <w:rsid w:val="00567BA0"/>
    <w:rPr>
      <w:i/>
      <w:iCs/>
      <w:color w:val="2F5496" w:themeColor="accent1" w:themeShade="BF"/>
    </w:rPr>
  </w:style>
  <w:style w:type="paragraph" w:styleId="IntenseQuote">
    <w:name w:val="Intense Quote"/>
    <w:basedOn w:val="Normal"/>
    <w:next w:val="Normal"/>
    <w:link w:val="IntenseQuoteChar"/>
    <w:uiPriority w:val="30"/>
    <w:qFormat/>
    <w:rsid w:val="00567B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67BA0"/>
    <w:rPr>
      <w:i/>
      <w:iCs/>
      <w:color w:val="2F5496" w:themeColor="accent1" w:themeShade="BF"/>
    </w:rPr>
  </w:style>
  <w:style w:type="character" w:styleId="IntenseReference">
    <w:name w:val="Intense Reference"/>
    <w:basedOn w:val="DefaultParagraphFont"/>
    <w:uiPriority w:val="32"/>
    <w:qFormat/>
    <w:rsid w:val="00567BA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619380">
      <w:bodyDiv w:val="1"/>
      <w:marLeft w:val="0"/>
      <w:marRight w:val="0"/>
      <w:marTop w:val="0"/>
      <w:marBottom w:val="0"/>
      <w:divBdr>
        <w:top w:val="none" w:sz="0" w:space="0" w:color="auto"/>
        <w:left w:val="none" w:sz="0" w:space="0" w:color="auto"/>
        <w:bottom w:val="none" w:sz="0" w:space="0" w:color="auto"/>
        <w:right w:val="none" w:sz="0" w:space="0" w:color="auto"/>
      </w:divBdr>
      <w:divsChild>
        <w:div w:id="2049068799">
          <w:marLeft w:val="0"/>
          <w:marRight w:val="0"/>
          <w:marTop w:val="0"/>
          <w:marBottom w:val="0"/>
          <w:divBdr>
            <w:top w:val="none" w:sz="0" w:space="0" w:color="auto"/>
            <w:left w:val="none" w:sz="0" w:space="0" w:color="auto"/>
            <w:bottom w:val="none" w:sz="0" w:space="0" w:color="auto"/>
            <w:right w:val="none" w:sz="0" w:space="0" w:color="auto"/>
          </w:divBdr>
          <w:divsChild>
            <w:div w:id="639111155">
              <w:marLeft w:val="0"/>
              <w:marRight w:val="0"/>
              <w:marTop w:val="0"/>
              <w:marBottom w:val="0"/>
              <w:divBdr>
                <w:top w:val="none" w:sz="0" w:space="0" w:color="auto"/>
                <w:left w:val="none" w:sz="0" w:space="0" w:color="auto"/>
                <w:bottom w:val="none" w:sz="0" w:space="0" w:color="auto"/>
                <w:right w:val="none" w:sz="0" w:space="0" w:color="auto"/>
              </w:divBdr>
              <w:divsChild>
                <w:div w:id="1021933224">
                  <w:marLeft w:val="45"/>
                  <w:marRight w:val="0"/>
                  <w:marTop w:val="105"/>
                  <w:marBottom w:val="75"/>
                  <w:divBdr>
                    <w:top w:val="none" w:sz="0" w:space="0" w:color="auto"/>
                    <w:left w:val="none" w:sz="0" w:space="0" w:color="auto"/>
                    <w:bottom w:val="none" w:sz="0" w:space="0" w:color="auto"/>
                    <w:right w:val="none" w:sz="0" w:space="0" w:color="auto"/>
                  </w:divBdr>
                  <w:divsChild>
                    <w:div w:id="1311709871">
                      <w:marLeft w:val="0"/>
                      <w:marRight w:val="0"/>
                      <w:marTop w:val="0"/>
                      <w:marBottom w:val="0"/>
                      <w:divBdr>
                        <w:top w:val="none" w:sz="0" w:space="0" w:color="auto"/>
                        <w:left w:val="none" w:sz="0" w:space="0" w:color="auto"/>
                        <w:bottom w:val="none" w:sz="0" w:space="0" w:color="auto"/>
                        <w:right w:val="none" w:sz="0" w:space="0" w:color="auto"/>
                      </w:divBdr>
                      <w:divsChild>
                        <w:div w:id="425469356">
                          <w:marLeft w:val="0"/>
                          <w:marRight w:val="0"/>
                          <w:marTop w:val="0"/>
                          <w:marBottom w:val="0"/>
                          <w:divBdr>
                            <w:top w:val="none" w:sz="0" w:space="0" w:color="auto"/>
                            <w:left w:val="none" w:sz="0" w:space="0" w:color="auto"/>
                            <w:bottom w:val="none" w:sz="0" w:space="0" w:color="auto"/>
                            <w:right w:val="none" w:sz="0" w:space="0" w:color="auto"/>
                          </w:divBdr>
                          <w:divsChild>
                            <w:div w:id="284969970">
                              <w:marLeft w:val="0"/>
                              <w:marRight w:val="0"/>
                              <w:marTop w:val="0"/>
                              <w:marBottom w:val="0"/>
                              <w:divBdr>
                                <w:top w:val="none" w:sz="0" w:space="0" w:color="auto"/>
                                <w:left w:val="none" w:sz="0" w:space="0" w:color="auto"/>
                                <w:bottom w:val="none" w:sz="0" w:space="0" w:color="auto"/>
                                <w:right w:val="none" w:sz="0" w:space="0" w:color="auto"/>
                              </w:divBdr>
                              <w:divsChild>
                                <w:div w:id="2137873461">
                                  <w:marLeft w:val="0"/>
                                  <w:marRight w:val="0"/>
                                  <w:marTop w:val="0"/>
                                  <w:marBottom w:val="0"/>
                                  <w:divBdr>
                                    <w:top w:val="none" w:sz="0" w:space="0" w:color="auto"/>
                                    <w:left w:val="none" w:sz="0" w:space="0" w:color="auto"/>
                                    <w:bottom w:val="none" w:sz="0" w:space="0" w:color="auto"/>
                                    <w:right w:val="none" w:sz="0" w:space="0" w:color="auto"/>
                                  </w:divBdr>
                                  <w:divsChild>
                                    <w:div w:id="1300763019">
                                      <w:marLeft w:val="0"/>
                                      <w:marRight w:val="0"/>
                                      <w:marTop w:val="0"/>
                                      <w:marBottom w:val="0"/>
                                      <w:divBdr>
                                        <w:top w:val="none" w:sz="0" w:space="0" w:color="auto"/>
                                        <w:left w:val="none" w:sz="0" w:space="0" w:color="auto"/>
                                        <w:bottom w:val="none" w:sz="0" w:space="0" w:color="auto"/>
                                        <w:right w:val="none" w:sz="0" w:space="0" w:color="auto"/>
                                      </w:divBdr>
                                      <w:divsChild>
                                        <w:div w:id="309211562">
                                          <w:marLeft w:val="0"/>
                                          <w:marRight w:val="0"/>
                                          <w:marTop w:val="0"/>
                                          <w:marBottom w:val="0"/>
                                          <w:divBdr>
                                            <w:top w:val="none" w:sz="0" w:space="0" w:color="auto"/>
                                            <w:left w:val="none" w:sz="0" w:space="0" w:color="auto"/>
                                            <w:bottom w:val="none" w:sz="0" w:space="0" w:color="auto"/>
                                            <w:right w:val="none" w:sz="0" w:space="0" w:color="auto"/>
                                          </w:divBdr>
                                          <w:divsChild>
                                            <w:div w:id="1843471603">
                                              <w:marLeft w:val="0"/>
                                              <w:marRight w:val="0"/>
                                              <w:marTop w:val="15"/>
                                              <w:marBottom w:val="0"/>
                                              <w:divBdr>
                                                <w:top w:val="none" w:sz="0" w:space="0" w:color="auto"/>
                                                <w:left w:val="none" w:sz="0" w:space="0" w:color="auto"/>
                                                <w:bottom w:val="none" w:sz="0" w:space="0" w:color="auto"/>
                                                <w:right w:val="none" w:sz="0" w:space="0" w:color="auto"/>
                                              </w:divBdr>
                                              <w:divsChild>
                                                <w:div w:id="406155528">
                                                  <w:marLeft w:val="0"/>
                                                  <w:marRight w:val="15"/>
                                                  <w:marTop w:val="0"/>
                                                  <w:marBottom w:val="0"/>
                                                  <w:divBdr>
                                                    <w:top w:val="none" w:sz="0" w:space="0" w:color="auto"/>
                                                    <w:left w:val="none" w:sz="0" w:space="0" w:color="auto"/>
                                                    <w:bottom w:val="none" w:sz="0" w:space="0" w:color="auto"/>
                                                    <w:right w:val="none" w:sz="0" w:space="0" w:color="auto"/>
                                                  </w:divBdr>
                                                  <w:divsChild>
                                                    <w:div w:id="420418675">
                                                      <w:marLeft w:val="0"/>
                                                      <w:marRight w:val="0"/>
                                                      <w:marTop w:val="0"/>
                                                      <w:marBottom w:val="0"/>
                                                      <w:divBdr>
                                                        <w:top w:val="none" w:sz="0" w:space="0" w:color="auto"/>
                                                        <w:left w:val="none" w:sz="0" w:space="0" w:color="auto"/>
                                                        <w:bottom w:val="none" w:sz="0" w:space="0" w:color="auto"/>
                                                        <w:right w:val="none" w:sz="0" w:space="0" w:color="auto"/>
                                                      </w:divBdr>
                                                      <w:divsChild>
                                                        <w:div w:id="388499310">
                                                          <w:marLeft w:val="0"/>
                                                          <w:marRight w:val="0"/>
                                                          <w:marTop w:val="0"/>
                                                          <w:marBottom w:val="0"/>
                                                          <w:divBdr>
                                                            <w:top w:val="none" w:sz="0" w:space="0" w:color="auto"/>
                                                            <w:left w:val="none" w:sz="0" w:space="0" w:color="auto"/>
                                                            <w:bottom w:val="none" w:sz="0" w:space="0" w:color="auto"/>
                                                            <w:right w:val="none" w:sz="0" w:space="0" w:color="auto"/>
                                                          </w:divBdr>
                                                          <w:divsChild>
                                                            <w:div w:id="1139035135">
                                                              <w:marLeft w:val="0"/>
                                                              <w:marRight w:val="0"/>
                                                              <w:marTop w:val="0"/>
                                                              <w:marBottom w:val="0"/>
                                                              <w:divBdr>
                                                                <w:top w:val="none" w:sz="0" w:space="0" w:color="auto"/>
                                                                <w:left w:val="none" w:sz="0" w:space="0" w:color="auto"/>
                                                                <w:bottom w:val="none" w:sz="0" w:space="0" w:color="auto"/>
                                                                <w:right w:val="none" w:sz="0" w:space="0" w:color="auto"/>
                                                              </w:divBdr>
                                                              <w:divsChild>
                                                                <w:div w:id="435754367">
                                                                  <w:marLeft w:val="0"/>
                                                                  <w:marRight w:val="0"/>
                                                                  <w:marTop w:val="0"/>
                                                                  <w:marBottom w:val="0"/>
                                                                  <w:divBdr>
                                                                    <w:top w:val="none" w:sz="0" w:space="0" w:color="auto"/>
                                                                    <w:left w:val="none" w:sz="0" w:space="0" w:color="auto"/>
                                                                    <w:bottom w:val="none" w:sz="0" w:space="0" w:color="auto"/>
                                                                    <w:right w:val="none" w:sz="0" w:space="0" w:color="auto"/>
                                                                  </w:divBdr>
                                                                  <w:divsChild>
                                                                    <w:div w:id="77641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317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8521313">
      <w:bodyDiv w:val="1"/>
      <w:marLeft w:val="0"/>
      <w:marRight w:val="0"/>
      <w:marTop w:val="0"/>
      <w:marBottom w:val="0"/>
      <w:divBdr>
        <w:top w:val="none" w:sz="0" w:space="0" w:color="auto"/>
        <w:left w:val="none" w:sz="0" w:space="0" w:color="auto"/>
        <w:bottom w:val="none" w:sz="0" w:space="0" w:color="auto"/>
        <w:right w:val="none" w:sz="0" w:space="0" w:color="auto"/>
      </w:divBdr>
      <w:divsChild>
        <w:div w:id="939412597">
          <w:marLeft w:val="0"/>
          <w:marRight w:val="0"/>
          <w:marTop w:val="0"/>
          <w:marBottom w:val="0"/>
          <w:divBdr>
            <w:top w:val="none" w:sz="0" w:space="0" w:color="auto"/>
            <w:left w:val="none" w:sz="0" w:space="0" w:color="auto"/>
            <w:bottom w:val="none" w:sz="0" w:space="0" w:color="auto"/>
            <w:right w:val="none" w:sz="0" w:space="0" w:color="auto"/>
          </w:divBdr>
          <w:divsChild>
            <w:div w:id="1075469146">
              <w:marLeft w:val="0"/>
              <w:marRight w:val="0"/>
              <w:marTop w:val="0"/>
              <w:marBottom w:val="0"/>
              <w:divBdr>
                <w:top w:val="none" w:sz="0" w:space="0" w:color="auto"/>
                <w:left w:val="none" w:sz="0" w:space="0" w:color="auto"/>
                <w:bottom w:val="none" w:sz="0" w:space="0" w:color="auto"/>
                <w:right w:val="none" w:sz="0" w:space="0" w:color="auto"/>
              </w:divBdr>
              <w:divsChild>
                <w:div w:id="1578637429">
                  <w:marLeft w:val="45"/>
                  <w:marRight w:val="0"/>
                  <w:marTop w:val="105"/>
                  <w:marBottom w:val="75"/>
                  <w:divBdr>
                    <w:top w:val="none" w:sz="0" w:space="0" w:color="auto"/>
                    <w:left w:val="none" w:sz="0" w:space="0" w:color="auto"/>
                    <w:bottom w:val="none" w:sz="0" w:space="0" w:color="auto"/>
                    <w:right w:val="none" w:sz="0" w:space="0" w:color="auto"/>
                  </w:divBdr>
                  <w:divsChild>
                    <w:div w:id="2140491761">
                      <w:marLeft w:val="0"/>
                      <w:marRight w:val="0"/>
                      <w:marTop w:val="0"/>
                      <w:marBottom w:val="0"/>
                      <w:divBdr>
                        <w:top w:val="none" w:sz="0" w:space="0" w:color="auto"/>
                        <w:left w:val="none" w:sz="0" w:space="0" w:color="auto"/>
                        <w:bottom w:val="none" w:sz="0" w:space="0" w:color="auto"/>
                        <w:right w:val="none" w:sz="0" w:space="0" w:color="auto"/>
                      </w:divBdr>
                      <w:divsChild>
                        <w:div w:id="298997816">
                          <w:marLeft w:val="0"/>
                          <w:marRight w:val="0"/>
                          <w:marTop w:val="0"/>
                          <w:marBottom w:val="0"/>
                          <w:divBdr>
                            <w:top w:val="none" w:sz="0" w:space="0" w:color="auto"/>
                            <w:left w:val="none" w:sz="0" w:space="0" w:color="auto"/>
                            <w:bottom w:val="none" w:sz="0" w:space="0" w:color="auto"/>
                            <w:right w:val="none" w:sz="0" w:space="0" w:color="auto"/>
                          </w:divBdr>
                          <w:divsChild>
                            <w:div w:id="298388808">
                              <w:marLeft w:val="0"/>
                              <w:marRight w:val="0"/>
                              <w:marTop w:val="0"/>
                              <w:marBottom w:val="0"/>
                              <w:divBdr>
                                <w:top w:val="none" w:sz="0" w:space="0" w:color="auto"/>
                                <w:left w:val="none" w:sz="0" w:space="0" w:color="auto"/>
                                <w:bottom w:val="none" w:sz="0" w:space="0" w:color="auto"/>
                                <w:right w:val="none" w:sz="0" w:space="0" w:color="auto"/>
                              </w:divBdr>
                              <w:divsChild>
                                <w:div w:id="1657878762">
                                  <w:marLeft w:val="0"/>
                                  <w:marRight w:val="0"/>
                                  <w:marTop w:val="0"/>
                                  <w:marBottom w:val="0"/>
                                  <w:divBdr>
                                    <w:top w:val="none" w:sz="0" w:space="0" w:color="auto"/>
                                    <w:left w:val="none" w:sz="0" w:space="0" w:color="auto"/>
                                    <w:bottom w:val="none" w:sz="0" w:space="0" w:color="auto"/>
                                    <w:right w:val="none" w:sz="0" w:space="0" w:color="auto"/>
                                  </w:divBdr>
                                  <w:divsChild>
                                    <w:div w:id="2031490335">
                                      <w:marLeft w:val="0"/>
                                      <w:marRight w:val="0"/>
                                      <w:marTop w:val="0"/>
                                      <w:marBottom w:val="0"/>
                                      <w:divBdr>
                                        <w:top w:val="none" w:sz="0" w:space="0" w:color="auto"/>
                                        <w:left w:val="none" w:sz="0" w:space="0" w:color="auto"/>
                                        <w:bottom w:val="none" w:sz="0" w:space="0" w:color="auto"/>
                                        <w:right w:val="none" w:sz="0" w:space="0" w:color="auto"/>
                                      </w:divBdr>
                                      <w:divsChild>
                                        <w:div w:id="637105060">
                                          <w:marLeft w:val="0"/>
                                          <w:marRight w:val="0"/>
                                          <w:marTop w:val="0"/>
                                          <w:marBottom w:val="0"/>
                                          <w:divBdr>
                                            <w:top w:val="none" w:sz="0" w:space="0" w:color="auto"/>
                                            <w:left w:val="none" w:sz="0" w:space="0" w:color="auto"/>
                                            <w:bottom w:val="none" w:sz="0" w:space="0" w:color="auto"/>
                                            <w:right w:val="none" w:sz="0" w:space="0" w:color="auto"/>
                                          </w:divBdr>
                                          <w:divsChild>
                                            <w:div w:id="716975732">
                                              <w:marLeft w:val="0"/>
                                              <w:marRight w:val="0"/>
                                              <w:marTop w:val="15"/>
                                              <w:marBottom w:val="0"/>
                                              <w:divBdr>
                                                <w:top w:val="none" w:sz="0" w:space="0" w:color="auto"/>
                                                <w:left w:val="none" w:sz="0" w:space="0" w:color="auto"/>
                                                <w:bottom w:val="none" w:sz="0" w:space="0" w:color="auto"/>
                                                <w:right w:val="none" w:sz="0" w:space="0" w:color="auto"/>
                                              </w:divBdr>
                                              <w:divsChild>
                                                <w:div w:id="1414012507">
                                                  <w:marLeft w:val="0"/>
                                                  <w:marRight w:val="15"/>
                                                  <w:marTop w:val="0"/>
                                                  <w:marBottom w:val="0"/>
                                                  <w:divBdr>
                                                    <w:top w:val="none" w:sz="0" w:space="0" w:color="auto"/>
                                                    <w:left w:val="none" w:sz="0" w:space="0" w:color="auto"/>
                                                    <w:bottom w:val="none" w:sz="0" w:space="0" w:color="auto"/>
                                                    <w:right w:val="none" w:sz="0" w:space="0" w:color="auto"/>
                                                  </w:divBdr>
                                                  <w:divsChild>
                                                    <w:div w:id="1466433875">
                                                      <w:marLeft w:val="0"/>
                                                      <w:marRight w:val="0"/>
                                                      <w:marTop w:val="0"/>
                                                      <w:marBottom w:val="0"/>
                                                      <w:divBdr>
                                                        <w:top w:val="none" w:sz="0" w:space="0" w:color="auto"/>
                                                        <w:left w:val="none" w:sz="0" w:space="0" w:color="auto"/>
                                                        <w:bottom w:val="none" w:sz="0" w:space="0" w:color="auto"/>
                                                        <w:right w:val="none" w:sz="0" w:space="0" w:color="auto"/>
                                                      </w:divBdr>
                                                      <w:divsChild>
                                                        <w:div w:id="377358319">
                                                          <w:marLeft w:val="0"/>
                                                          <w:marRight w:val="0"/>
                                                          <w:marTop w:val="0"/>
                                                          <w:marBottom w:val="0"/>
                                                          <w:divBdr>
                                                            <w:top w:val="none" w:sz="0" w:space="0" w:color="auto"/>
                                                            <w:left w:val="none" w:sz="0" w:space="0" w:color="auto"/>
                                                            <w:bottom w:val="none" w:sz="0" w:space="0" w:color="auto"/>
                                                            <w:right w:val="none" w:sz="0" w:space="0" w:color="auto"/>
                                                          </w:divBdr>
                                                          <w:divsChild>
                                                            <w:div w:id="774832198">
                                                              <w:marLeft w:val="0"/>
                                                              <w:marRight w:val="0"/>
                                                              <w:marTop w:val="0"/>
                                                              <w:marBottom w:val="0"/>
                                                              <w:divBdr>
                                                                <w:top w:val="none" w:sz="0" w:space="0" w:color="auto"/>
                                                                <w:left w:val="none" w:sz="0" w:space="0" w:color="auto"/>
                                                                <w:bottom w:val="none" w:sz="0" w:space="0" w:color="auto"/>
                                                                <w:right w:val="none" w:sz="0" w:space="0" w:color="auto"/>
                                                              </w:divBdr>
                                                              <w:divsChild>
                                                                <w:div w:id="775756386">
                                                                  <w:marLeft w:val="0"/>
                                                                  <w:marRight w:val="0"/>
                                                                  <w:marTop w:val="0"/>
                                                                  <w:marBottom w:val="0"/>
                                                                  <w:divBdr>
                                                                    <w:top w:val="none" w:sz="0" w:space="0" w:color="auto"/>
                                                                    <w:left w:val="none" w:sz="0" w:space="0" w:color="auto"/>
                                                                    <w:bottom w:val="none" w:sz="0" w:space="0" w:color="auto"/>
                                                                    <w:right w:val="none" w:sz="0" w:space="0" w:color="auto"/>
                                                                  </w:divBdr>
                                                                  <w:divsChild>
                                                                    <w:div w:id="113961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432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2660</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2024-08-10T21:02:00Z</dcterms:created>
  <dcterms:modified xsi:type="dcterms:W3CDTF">2024-08-10T21:04:00Z</dcterms:modified>
</cp:coreProperties>
</file>