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BAB6F" w14:textId="77777777" w:rsidR="005344FB" w:rsidRPr="008075EF" w:rsidRDefault="005344FB" w:rsidP="005344FB">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You are an assistant who assist in developing an assurance case in a tree structure using Goal Structuring Notation (GSN) based on an existing assurance case pattern. Your role is to instantiate an assurance case pattern to create an assurance case. I will provide you with context information on assurance case and assurance case pattern. The context information for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context information for assurance case pattern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Context_ACP</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End_Context_ACP</w:t>
      </w:r>
      <w:proofErr w:type="spellEnd"/>
      <w:r w:rsidRPr="008075EF">
        <w:rPr>
          <w:rFonts w:ascii="Times New Roman" w:hAnsi="Times New Roman" w:cs="Times New Roman"/>
          <w:i/>
          <w:iCs/>
          <w:sz w:val="24"/>
          <w:szCs w:val="24"/>
        </w:rPr>
        <w:t>”</w:t>
      </w:r>
    </w:p>
    <w:p w14:paraId="3D1E6B23" w14:textId="77777777" w:rsidR="00E32E02" w:rsidRPr="008075EF" w:rsidRDefault="00E32E02" w:rsidP="00E32E02">
      <w:pPr>
        <w:spacing w:after="0" w:line="240" w:lineRule="auto"/>
        <w:jc w:val="both"/>
        <w:rPr>
          <w:rFonts w:ascii="Times New Roman" w:hAnsi="Times New Roman" w:cs="Times New Roman"/>
          <w:sz w:val="24"/>
          <w:szCs w:val="24"/>
        </w:rPr>
      </w:pPr>
    </w:p>
    <w:p w14:paraId="5300E62B" w14:textId="77777777"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w:t>
      </w:r>
    </w:p>
    <w:p w14:paraId="648AF242"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An assurance case, such as a safety case or security case, can be represented using Goal Structuring Notation (GSN), a visual representation that presents the elements of an assurance case in a tree structure. The main elements of a GSN assurance case include Goals, Strategies, Solutions (evidence), Contexts, Assumptions, and Justifications. </w:t>
      </w:r>
    </w:p>
    <w:p w14:paraId="417CCABB" w14:textId="77777777" w:rsidR="00E32E02" w:rsidRPr="008075EF" w:rsidRDefault="00E32E02" w:rsidP="00E32E02">
      <w:pPr>
        <w:spacing w:after="0" w:line="240" w:lineRule="auto"/>
        <w:jc w:val="both"/>
        <w:rPr>
          <w:rFonts w:ascii="Times New Roman" w:hAnsi="Times New Roman" w:cs="Times New Roman"/>
          <w:sz w:val="24"/>
          <w:szCs w:val="24"/>
        </w:rPr>
      </w:pPr>
    </w:p>
    <w:p w14:paraId="6B7A5254"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Additionally, an assurance case in GSN may include an undeveloped element decorator, represented as a hollow diamond placed at the bottom center of a goal or strategy element. This indicates that a particular line of argument for the goal or strategy has not been fully developed and needs to be further developed.</w:t>
      </w:r>
    </w:p>
    <w:p w14:paraId="4EB55E05" w14:textId="77777777" w:rsidR="00E32E02" w:rsidRPr="008075EF" w:rsidRDefault="00E32E02" w:rsidP="00E32E02">
      <w:pPr>
        <w:spacing w:after="0" w:line="240" w:lineRule="auto"/>
        <w:jc w:val="both"/>
        <w:rPr>
          <w:rFonts w:ascii="Times New Roman" w:hAnsi="Times New Roman" w:cs="Times New Roman"/>
          <w:sz w:val="24"/>
          <w:szCs w:val="24"/>
        </w:rPr>
      </w:pPr>
    </w:p>
    <w:p w14:paraId="1EE4C940"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 will explain each element of an assurance case in GSN so you can generate it efficiently.</w:t>
      </w:r>
    </w:p>
    <w:p w14:paraId="4A095126" w14:textId="77777777" w:rsidR="00E32E02" w:rsidRPr="008075EF" w:rsidRDefault="00E32E02" w:rsidP="00E32E02">
      <w:pPr>
        <w:spacing w:after="0" w:line="240" w:lineRule="auto"/>
        <w:jc w:val="both"/>
        <w:rPr>
          <w:rFonts w:ascii="Times New Roman" w:hAnsi="Times New Roman" w:cs="Times New Roman"/>
          <w:sz w:val="24"/>
          <w:szCs w:val="24"/>
        </w:rPr>
      </w:pPr>
    </w:p>
    <w:p w14:paraId="627B01C8" w14:textId="77777777" w:rsidR="00E32E02" w:rsidRPr="008075EF" w:rsidRDefault="00E32E02" w:rsidP="00E32E02">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 – A goal is represented by a rectangle and denoted as G. It represents the claims made in the argument. Goals should contain only claims. For the top-level claim, it should contain the most fundamental objective of the entire assurance case.</w:t>
      </w:r>
    </w:p>
    <w:p w14:paraId="240053D6"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3B9D0E16" w14:textId="77777777" w:rsidR="00E32E02" w:rsidRPr="008075EF" w:rsidRDefault="00E32E02" w:rsidP="00E32E02">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 – A strategy is represented by a parallelogram and denoted as S. It describes the reasoning that connects the parent goals and their supporting goals. A Strategy should only summarize the argument approach. The text in a strategy element is usually preceded by phrases such as “Argument by appeal to…”, “Argument by …”, “Argument across …” etc.</w:t>
      </w:r>
    </w:p>
    <w:p w14:paraId="13323790"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088A536D" w14:textId="28B445B6" w:rsidR="00E32E02" w:rsidRPr="008075EF" w:rsidRDefault="00E32E02" w:rsidP="00E32E02">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 A solution is represented by a circle and denoted as Sn. A solution element makes no claims but are simply references to evidence that provides support to a claim.</w:t>
      </w:r>
    </w:p>
    <w:p w14:paraId="3DAF3458"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0577F335" w14:textId="3E1721C3" w:rsidR="00E32E02" w:rsidRPr="008075EF" w:rsidRDefault="00E32E02" w:rsidP="00E32E02">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 (Rounded rectangles) – In GSN, context is represented by a rounded rectangle and denoted as C. The context element provides additional background information for an argument and the scope for a goal or strategy within an assurance case.</w:t>
      </w:r>
    </w:p>
    <w:p w14:paraId="65B9E68F"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27CEDF88" w14:textId="76B780FE" w:rsidR="00E32E02" w:rsidRPr="008075EF" w:rsidRDefault="00E32E02" w:rsidP="00E32E02">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 An assumption element is represented by an oval with the letter ‘A’ at the top- or bottom-right. It presents an intentionally unsubstantiated statement accepted as true within an assurance case. It is denoted by A</w:t>
      </w:r>
    </w:p>
    <w:p w14:paraId="4662273E"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3E885043" w14:textId="09471233" w:rsidR="00E32E02" w:rsidRPr="008075EF" w:rsidRDefault="00E32E02" w:rsidP="00E32E02">
      <w:pPr>
        <w:pStyle w:val="ListParagraph"/>
        <w:numPr>
          <w:ilvl w:val="0"/>
          <w:numId w:val="1"/>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Justification (Ovals) – A justification element is represented by an oval with the letter ‘J’ at the top- or bottom-right. It presents a statement of reasoning or rationale within an assurance case. It is denoted by J. </w:t>
      </w:r>
    </w:p>
    <w:p w14:paraId="295FDF54" w14:textId="77777777" w:rsidR="009E39C6" w:rsidRPr="008075EF" w:rsidRDefault="009E39C6" w:rsidP="009E39C6">
      <w:pPr>
        <w:spacing w:after="0"/>
        <w:ind w:left="360"/>
        <w:rPr>
          <w:rFonts w:ascii="Times New Roman" w:hAnsi="Times New Roman" w:cs="Times New Roman"/>
          <w:sz w:val="24"/>
          <w:szCs w:val="24"/>
        </w:rPr>
      </w:pPr>
    </w:p>
    <w:p w14:paraId="4910ECF9" w14:textId="6612B5CE" w:rsidR="009E39C6" w:rsidRPr="008075EF" w:rsidRDefault="009E39C6" w:rsidP="009E39C6">
      <w:pPr>
        <w:spacing w:after="0"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t>@End_Context_AC</w:t>
      </w:r>
    </w:p>
    <w:p w14:paraId="0E7BF2E9" w14:textId="77777777" w:rsidR="00E32E02" w:rsidRPr="008075EF" w:rsidRDefault="00E32E02" w:rsidP="00E32E02">
      <w:pPr>
        <w:spacing w:after="0" w:line="240" w:lineRule="auto"/>
        <w:jc w:val="both"/>
        <w:rPr>
          <w:rFonts w:ascii="Times New Roman" w:hAnsi="Times New Roman" w:cs="Times New Roman"/>
          <w:sz w:val="24"/>
          <w:szCs w:val="24"/>
        </w:rPr>
      </w:pPr>
    </w:p>
    <w:p w14:paraId="44227C95" w14:textId="77777777"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@Context_ACP</w:t>
      </w:r>
    </w:p>
    <w:p w14:paraId="7A1232D9"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Assurance case patterns in GSN (Goal Structuring Notation) are templates that can be re-used to create an assurance case. Assurance case patterns encapsulate common structures of argumentation that have been found effective for addressing recurrent safety, reliability, or security concerns. An assurance case pattern can be instantiated to develop an assurance case by replacing generic information in placeholder decorator with concrete or system specific information.</w:t>
      </w:r>
    </w:p>
    <w:p w14:paraId="27359D0E" w14:textId="77777777" w:rsidR="00E32E02" w:rsidRPr="008075EF" w:rsidRDefault="00E32E02" w:rsidP="00E32E02">
      <w:pPr>
        <w:spacing w:after="0" w:line="240" w:lineRule="auto"/>
        <w:jc w:val="both"/>
        <w:rPr>
          <w:rFonts w:ascii="Times New Roman" w:hAnsi="Times New Roman" w:cs="Times New Roman"/>
          <w:sz w:val="24"/>
          <w:szCs w:val="24"/>
        </w:rPr>
      </w:pPr>
    </w:p>
    <w:p w14:paraId="4ED6DD0E"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represent assurance case patterns in GSN format, additional decorators have been provided to support assurance case patterns. These additional decorators are used together with the elements of an assurance case to represent assurance case pattern. I will explain each additional decorator below to support assurance case pattern in GSN.</w:t>
      </w:r>
    </w:p>
    <w:p w14:paraId="23EB3A0E" w14:textId="77777777" w:rsidR="00E32E02" w:rsidRPr="008075EF" w:rsidRDefault="00E32E02" w:rsidP="00E32E02">
      <w:pPr>
        <w:spacing w:after="0" w:line="240" w:lineRule="auto"/>
        <w:jc w:val="both"/>
        <w:rPr>
          <w:rFonts w:ascii="Times New Roman" w:hAnsi="Times New Roman" w:cs="Times New Roman"/>
          <w:sz w:val="24"/>
          <w:szCs w:val="24"/>
        </w:rPr>
      </w:pPr>
    </w:p>
    <w:p w14:paraId="121EE801" w14:textId="77777777" w:rsidR="00E32E02" w:rsidRPr="008075EF" w:rsidRDefault="00E32E02" w:rsidP="00E32E02">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 This decorator denotes that a GSN element remains to be instantiated, i.e. at some later stage, the generic information in placeholders within a GSN element needs to be replaced (instantiated) with a more concrete or system specific information. This decorator can be applied to any GSN element.</w:t>
      </w:r>
    </w:p>
    <w:p w14:paraId="46B73BB0"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7E79BA28" w14:textId="77777777" w:rsidR="00E32E02" w:rsidRPr="008075EF" w:rsidRDefault="00E32E02" w:rsidP="00E32E02">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Uninstantiated and Undeveloped – Both decorators of undeveloped and uninstantiated are overlaid to form this decorator. This decorator denotes that a GSN element requires both further development and instantiation. </w:t>
      </w:r>
    </w:p>
    <w:p w14:paraId="1EE78DF7"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343DF2E8" w14:textId="77777777" w:rsidR="00E32E02" w:rsidRPr="008075EF" w:rsidRDefault="00E32E02" w:rsidP="00E32E02">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Placeholders – This is represented as curly brackets “{}” within the description of an element to allow for customization. The placeholder "{}" should be directly inserted within the description of elements for which the predicate "</w:t>
      </w: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returns true. The placeholder "{}" can sometimes be empty or contain generic information that will need to be replaced when an assurance case pattern is instantiated. </w:t>
      </w:r>
    </w:p>
    <w:p w14:paraId="479C6E45"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573F2B8D" w14:textId="77777777" w:rsidR="00E32E02" w:rsidRPr="008075EF" w:rsidRDefault="00E32E02" w:rsidP="00E32E02">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Choice - A solid diamond is the symbol for Choice. A GSN choice can be used to denote alternatives in satisfying a relationship or represent alternative lines of argument used to support a particular goal.</w:t>
      </w:r>
    </w:p>
    <w:p w14:paraId="2D769BF0"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3A490640" w14:textId="77777777" w:rsidR="00E32E02" w:rsidRPr="008075EF" w:rsidRDefault="00E32E02" w:rsidP="00E32E02">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Multiplicity - A solid ball is the symbol for multiple instantiations. It represents generalized n-</w:t>
      </w:r>
      <w:proofErr w:type="spellStart"/>
      <w:r w:rsidRPr="008075EF">
        <w:rPr>
          <w:rFonts w:ascii="Times New Roman" w:hAnsi="Times New Roman" w:cs="Times New Roman"/>
          <w:sz w:val="24"/>
          <w:szCs w:val="24"/>
        </w:rPr>
        <w:t>ary</w:t>
      </w:r>
      <w:proofErr w:type="spellEnd"/>
      <w:r w:rsidRPr="008075EF">
        <w:rPr>
          <w:rFonts w:ascii="Times New Roman" w:hAnsi="Times New Roman" w:cs="Times New Roman"/>
          <w:sz w:val="24"/>
          <w:szCs w:val="24"/>
        </w:rPr>
        <w:t xml:space="preserve"> relationships between GSN elements. Multiplicity symbols can be used to describe how many instances of one element-type relate to another element.</w:t>
      </w:r>
    </w:p>
    <w:p w14:paraId="1E81AAB5"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6F7E92FB" w14:textId="77777777" w:rsidR="00E32E02" w:rsidRPr="008075EF" w:rsidRDefault="00E32E02" w:rsidP="00E32E02">
      <w:pPr>
        <w:pStyle w:val="ListParagraph"/>
        <w:numPr>
          <w:ilvl w:val="0"/>
          <w:numId w:val="2"/>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Optionality - A hollow ball indicates ‘optional’ instantiation. Optionality represents optional and alternative relationships between GSN elements.</w:t>
      </w:r>
    </w:p>
    <w:p w14:paraId="65D98DFC" w14:textId="77777777" w:rsidR="00E32E02" w:rsidRPr="008075EF" w:rsidRDefault="00E32E02" w:rsidP="00E32E02">
      <w:pPr>
        <w:spacing w:after="0" w:line="240" w:lineRule="auto"/>
        <w:jc w:val="both"/>
        <w:rPr>
          <w:rFonts w:ascii="Times New Roman" w:hAnsi="Times New Roman" w:cs="Times New Roman"/>
          <w:sz w:val="24"/>
          <w:szCs w:val="24"/>
        </w:rPr>
      </w:pPr>
    </w:p>
    <w:p w14:paraId="6628DE7A" w14:textId="77777777" w:rsidR="00E32E02" w:rsidRPr="008075EF" w:rsidRDefault="00E32E02" w:rsidP="00E32E02">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The following steps is used to create an assurance case from an Assurance cases pattern.</w:t>
      </w:r>
    </w:p>
    <w:p w14:paraId="48EBD7AB" w14:textId="77777777" w:rsidR="00E32E02" w:rsidRPr="008075EF" w:rsidRDefault="00E32E02" w:rsidP="00E32E02">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Create the assurance case using only elements and decorators defined for assurance cases.</w:t>
      </w:r>
    </w:p>
    <w:p w14:paraId="1ABDA3CC" w14:textId="77777777" w:rsidR="00E32E02" w:rsidRPr="008075EF" w:rsidRDefault="00E32E02" w:rsidP="00E32E02">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all additional assurance case pattern decorators such as (Uninstantiated, Placeholders, Choice, Multiplicity, Optionality, and the combined Uninstantiated and Undeveloped decorator)</w:t>
      </w:r>
    </w:p>
    <w:p w14:paraId="7841996E" w14:textId="77777777" w:rsidR="00E32E02" w:rsidRPr="008075EF" w:rsidRDefault="00E32E02" w:rsidP="00E32E02">
      <w:pPr>
        <w:pStyle w:val="ListParagraph"/>
        <w:numPr>
          <w:ilvl w:val="0"/>
          <w:numId w:val="3"/>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Remove the placeholder symbol "{}" and replace all generic information in placeholders “{}” with system specific or concrete information.</w:t>
      </w:r>
    </w:p>
    <w:p w14:paraId="2472CB52" w14:textId="6674FA2D" w:rsidR="009E39C6" w:rsidRPr="008075EF" w:rsidRDefault="009E39C6" w:rsidP="009E39C6">
      <w:pPr>
        <w:spacing w:line="240" w:lineRule="auto"/>
        <w:jc w:val="both"/>
        <w:rPr>
          <w:rFonts w:ascii="Times New Roman" w:hAnsi="Times New Roman" w:cs="Times New Roman"/>
          <w:sz w:val="24"/>
          <w:szCs w:val="24"/>
        </w:rPr>
      </w:pPr>
      <w:r w:rsidRPr="008075EF">
        <w:rPr>
          <w:rFonts w:ascii="Times New Roman" w:hAnsi="Times New Roman" w:cs="Times New Roman"/>
          <w:i/>
          <w:iCs/>
          <w:sz w:val="24"/>
          <w:szCs w:val="24"/>
        </w:rPr>
        <w:lastRenderedPageBreak/>
        <w:t>@End_Context_ACP</w:t>
      </w:r>
    </w:p>
    <w:p w14:paraId="07A80661" w14:textId="1CDD2791"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sz w:val="24"/>
          <w:szCs w:val="24"/>
        </w:rPr>
        <w:t>We have defined the following predicate rules for the elements and decorator used in an assurance case to ease understanding of an assurance case. The predicate rules for the elements and decorator of an assurance case begins with</w:t>
      </w:r>
      <w:r w:rsidR="009E39C6" w:rsidRPr="008075EF">
        <w:rPr>
          <w:rFonts w:ascii="Times New Roman" w:hAnsi="Times New Roman" w:cs="Times New Roman"/>
          <w:sz w:val="24"/>
          <w:szCs w:val="24"/>
        </w:rPr>
        <w:t xml:space="preserve"> the </w:t>
      </w:r>
      <w:r w:rsidR="000A3657" w:rsidRPr="008075EF">
        <w:rPr>
          <w:rFonts w:ascii="Times New Roman" w:hAnsi="Times New Roman" w:cs="Times New Roman"/>
          <w:sz w:val="24"/>
          <w:szCs w:val="24"/>
        </w:rPr>
        <w:t>delimiter</w:t>
      </w:r>
      <w:r w:rsidRPr="008075EF">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w:t>
      </w:r>
      <w:r w:rsidR="000A3657" w:rsidRPr="008075EF">
        <w:rPr>
          <w:rFonts w:ascii="Times New Roman" w:hAnsi="Times New Roman" w:cs="Times New Roman"/>
          <w:sz w:val="24"/>
          <w:szCs w:val="24"/>
        </w:rPr>
        <w:t xml:space="preserve"> the delimiter</w:t>
      </w:r>
      <w:r w:rsidRPr="008075EF">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w:t>
      </w:r>
      <w:proofErr w:type="spellEnd"/>
      <w:r w:rsidRPr="008075EF">
        <w:rPr>
          <w:rFonts w:ascii="Times New Roman" w:hAnsi="Times New Roman" w:cs="Times New Roman"/>
          <w:i/>
          <w:iCs/>
          <w:sz w:val="24"/>
          <w:szCs w:val="24"/>
        </w:rPr>
        <w:t>”</w:t>
      </w:r>
    </w:p>
    <w:p w14:paraId="54095CA0" w14:textId="77777777" w:rsidR="00E32E02" w:rsidRPr="008075EF" w:rsidRDefault="00E32E02" w:rsidP="00E32E02">
      <w:pPr>
        <w:spacing w:after="0" w:line="240" w:lineRule="auto"/>
        <w:jc w:val="both"/>
        <w:rPr>
          <w:rFonts w:ascii="Times New Roman" w:hAnsi="Times New Roman" w:cs="Times New Roman"/>
          <w:sz w:val="24"/>
          <w:szCs w:val="24"/>
        </w:rPr>
      </w:pPr>
    </w:p>
    <w:p w14:paraId="06335878" w14:textId="77777777"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w:t>
      </w:r>
    </w:p>
    <w:p w14:paraId="7AD5AE1C"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Goal(G): True if G is a goal within the assurance case. This predicate is represented as Goal (ID, Description) where ID is the unique identifier for the goal, and description is the textual information of the goal.</w:t>
      </w:r>
    </w:p>
    <w:p w14:paraId="7285630D"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0235E5BC"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Strategy(S): True if S is a strategy within the assurance case. This predicate is represented as Strategy (ID, Description) where ID is the unique identifier for the strategy and description is the textual information of the Strategy.</w:t>
      </w:r>
    </w:p>
    <w:p w14:paraId="68BB0216"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694BE6F3"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Solution (Sn): True if Sn is evidence within the assurance case. This predicate is represented as Solution (ID, Description) where ID is the unique identifier for the evidence or solution and description is the textual information of the evidence.</w:t>
      </w:r>
    </w:p>
    <w:p w14:paraId="1FE7EAC5"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1F265006"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Context(C): True if C is a context within the assurance case. This predicate is represented as Context (ID, Description) where ID is the unique identifier for the context and description is the textual information of the context.</w:t>
      </w:r>
    </w:p>
    <w:p w14:paraId="1BD8C276"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65A8D8E5"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Assumption (A): True if A is an assumption within the assurance case. This predicate is represented as Assumption (ID, Description) where ID is the unique identifier for the assumption and description is the textual information of the assumption.</w:t>
      </w:r>
    </w:p>
    <w:p w14:paraId="1995B398"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1F177F00"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Justification (J): True if J is a justification within the assurance case. This predicate is represented as Justification (ID, Description) where ID is the unique identifier for the justification and description is the textual information of the justification.</w:t>
      </w:r>
    </w:p>
    <w:p w14:paraId="636FDFFD"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55F0E791" w14:textId="77777777" w:rsidR="00E32E02" w:rsidRPr="008075EF" w:rsidRDefault="00E32E02" w:rsidP="00E32E02">
      <w:pPr>
        <w:pStyle w:val="ListParagraph"/>
        <w:numPr>
          <w:ilvl w:val="0"/>
          <w:numId w:val="4"/>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Undeveloped(X): True if X is either a Goal(G) or Strategy(S) marked as undeveloped. This predicate is represented as Undeveloped(X), where X can be either a goal or strategy.</w:t>
      </w:r>
    </w:p>
    <w:p w14:paraId="15F08CC8" w14:textId="77777777" w:rsidR="00E32E02" w:rsidRPr="008075EF" w:rsidRDefault="00E32E02" w:rsidP="00E32E02">
      <w:pPr>
        <w:spacing w:after="0" w:line="240" w:lineRule="auto"/>
        <w:jc w:val="both"/>
        <w:rPr>
          <w:rFonts w:ascii="Times New Roman" w:hAnsi="Times New Roman" w:cs="Times New Roman"/>
          <w:sz w:val="24"/>
          <w:szCs w:val="24"/>
        </w:rPr>
      </w:pPr>
    </w:p>
    <w:p w14:paraId="485585BC" w14:textId="77777777"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w:t>
      </w:r>
    </w:p>
    <w:p w14:paraId="13F8562A" w14:textId="77777777" w:rsidR="00E32E02" w:rsidRPr="008075EF" w:rsidRDefault="00E32E02" w:rsidP="00E32E02">
      <w:pPr>
        <w:spacing w:after="0" w:line="240" w:lineRule="auto"/>
        <w:jc w:val="both"/>
        <w:rPr>
          <w:rFonts w:ascii="Times New Roman" w:hAnsi="Times New Roman" w:cs="Times New Roman"/>
          <w:sz w:val="24"/>
          <w:szCs w:val="24"/>
        </w:rPr>
      </w:pPr>
    </w:p>
    <w:p w14:paraId="390E4D12" w14:textId="3C98B363"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We have defined the following predicate rules for the additional decorators used to support assurance case patterns to ease understanding. The predicate rules for the additional decorators to support assurance case pattern begins with</w:t>
      </w:r>
      <w:r w:rsidR="000A3657" w:rsidRPr="008075EF">
        <w:rPr>
          <w:rFonts w:ascii="Times New Roman" w:hAnsi="Times New Roman" w:cs="Times New Roman"/>
          <w:sz w:val="24"/>
          <w:szCs w:val="24"/>
        </w:rPr>
        <w:t xml:space="preserve"> the </w:t>
      </w:r>
      <w:r w:rsidR="00891E8A" w:rsidRPr="008075EF">
        <w:rPr>
          <w:rFonts w:ascii="Times New Roman" w:hAnsi="Times New Roman" w:cs="Times New Roman"/>
          <w:sz w:val="24"/>
          <w:szCs w:val="24"/>
        </w:rPr>
        <w:t>delimiter</w:t>
      </w:r>
      <w:r w:rsidRPr="008075EF">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Predicate_ACP</w:t>
      </w:r>
      <w:proofErr w:type="spellEnd"/>
      <w:r w:rsidRPr="008075EF">
        <w:rPr>
          <w:rFonts w:ascii="Times New Roman" w:hAnsi="Times New Roman" w:cs="Times New Roman"/>
          <w:sz w:val="24"/>
          <w:szCs w:val="24"/>
        </w:rPr>
        <w:t xml:space="preserve">” and ends with </w:t>
      </w:r>
      <w:r w:rsidR="00891E8A" w:rsidRPr="008075EF">
        <w:rPr>
          <w:rFonts w:ascii="Times New Roman" w:hAnsi="Times New Roman" w:cs="Times New Roman"/>
          <w:sz w:val="24"/>
          <w:szCs w:val="24"/>
        </w:rPr>
        <w:t xml:space="preserve">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End_Predicate_ACP</w:t>
      </w:r>
      <w:proofErr w:type="spellEnd"/>
      <w:r w:rsidRPr="008075EF">
        <w:rPr>
          <w:rFonts w:ascii="Times New Roman" w:hAnsi="Times New Roman" w:cs="Times New Roman"/>
          <w:i/>
          <w:iCs/>
          <w:sz w:val="24"/>
          <w:szCs w:val="24"/>
        </w:rPr>
        <w:t>”</w:t>
      </w:r>
    </w:p>
    <w:p w14:paraId="74AF6DC6" w14:textId="77777777" w:rsidR="00E32E02" w:rsidRPr="008075EF" w:rsidRDefault="00E32E02" w:rsidP="00E32E02">
      <w:pPr>
        <w:spacing w:after="0" w:line="240" w:lineRule="auto"/>
        <w:jc w:val="both"/>
        <w:rPr>
          <w:rFonts w:ascii="Times New Roman" w:hAnsi="Times New Roman" w:cs="Times New Roman"/>
          <w:sz w:val="24"/>
          <w:szCs w:val="24"/>
        </w:rPr>
      </w:pPr>
    </w:p>
    <w:p w14:paraId="091334A7" w14:textId="77777777"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@Predicate_ACP</w:t>
      </w:r>
    </w:p>
    <w:p w14:paraId="40D7978D" w14:textId="77777777" w:rsidR="00E32E02" w:rsidRPr="008075EF" w:rsidRDefault="00E32E02" w:rsidP="00E32E02">
      <w:pPr>
        <w:spacing w:after="0" w:line="240" w:lineRule="auto"/>
        <w:jc w:val="both"/>
        <w:rPr>
          <w:rFonts w:ascii="Times New Roman" w:hAnsi="Times New Roman" w:cs="Times New Roman"/>
          <w:sz w:val="24"/>
          <w:szCs w:val="24"/>
        </w:rPr>
      </w:pPr>
    </w:p>
    <w:p w14:paraId="29DDCE7F" w14:textId="77777777" w:rsidR="00E32E02" w:rsidRPr="008075EF" w:rsidRDefault="00E32E02" w:rsidP="00E32E02">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Uninstantiated (X): True if element X (can be any GSN element) is marked as uninstantiated.</w:t>
      </w:r>
    </w:p>
    <w:p w14:paraId="3D47A28C"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0033A87C" w14:textId="77777777" w:rsidR="00E32E02" w:rsidRPr="008075EF" w:rsidRDefault="00E32E02" w:rsidP="00E32E02">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lastRenderedPageBreak/>
        <w:t>UndevelopStantiated</w:t>
      </w:r>
      <w:proofErr w:type="spellEnd"/>
      <w:r w:rsidRPr="008075EF">
        <w:rPr>
          <w:rFonts w:ascii="Times New Roman" w:hAnsi="Times New Roman" w:cs="Times New Roman"/>
          <w:sz w:val="24"/>
          <w:szCs w:val="24"/>
        </w:rPr>
        <w:t xml:space="preserve"> (X): True if element X is either a Goal(G) or Strategy(S) and is marked both as uninstantiated and undeveloped.</w:t>
      </w:r>
    </w:p>
    <w:p w14:paraId="58D3456F" w14:textId="77777777" w:rsidR="00E32E02" w:rsidRPr="008075EF" w:rsidRDefault="00E32E02" w:rsidP="00E32E02">
      <w:pPr>
        <w:spacing w:after="0" w:line="240" w:lineRule="auto"/>
        <w:jc w:val="both"/>
        <w:rPr>
          <w:rFonts w:ascii="Times New Roman" w:hAnsi="Times New Roman" w:cs="Times New Roman"/>
          <w:sz w:val="24"/>
          <w:szCs w:val="24"/>
        </w:rPr>
      </w:pPr>
    </w:p>
    <w:p w14:paraId="3C1B897E" w14:textId="77777777" w:rsidR="00E32E02" w:rsidRPr="008075EF" w:rsidRDefault="00E32E02" w:rsidP="00E32E02">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(X): True if element ‘X’ (can be any GSN element) contains a placeholder ‘{}’ within its description that needs instantiation.</w:t>
      </w:r>
    </w:p>
    <w:p w14:paraId="07768AA8"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69B20760" w14:textId="77777777" w:rsidR="00E32E02" w:rsidRPr="008075EF" w:rsidRDefault="00E32E02" w:rsidP="00E32E02">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HasChoice</w:t>
      </w:r>
      <w:proofErr w:type="spellEnd"/>
      <w:r w:rsidRPr="008075EF">
        <w:rPr>
          <w:rFonts w:ascii="Times New Roman" w:hAnsi="Times New Roman" w:cs="Times New Roman"/>
          <w:sz w:val="24"/>
          <w:szCs w:val="24"/>
        </w:rPr>
        <w:t xml:space="preserve"> (X, [Y], Label): True if an element ‘X’ (either a Goal(G) or Strategy(S)) can be supported by selecting among any number of elements in [Y] (where Y can be any GSN element) according to the cardinality specified by an optional Label. The label specifies the cardinality of the relationship between ‘X’ and ‘Y’. A label is of the general form “m of n” (e.g. a label given as “1 of 3” implies an element ‘X’ can be supported by any one of three possible supporting elements in [Y])</w:t>
      </w:r>
    </w:p>
    <w:p w14:paraId="6DD1DE7D"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275161D7" w14:textId="77777777" w:rsidR="00E32E02" w:rsidRPr="008075EF" w:rsidRDefault="00E32E02" w:rsidP="00E32E02">
      <w:pPr>
        <w:pStyle w:val="ListParagraph"/>
        <w:numPr>
          <w:ilvl w:val="0"/>
          <w:numId w:val="5"/>
        </w:numPr>
        <w:spacing w:after="0"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HasMultiplicity</w:t>
      </w:r>
      <w:proofErr w:type="spellEnd"/>
      <w:r w:rsidRPr="008075EF">
        <w:rPr>
          <w:rFonts w:ascii="Times New Roman" w:hAnsi="Times New Roman" w:cs="Times New Roman"/>
          <w:sz w:val="24"/>
          <w:szCs w:val="24"/>
        </w:rPr>
        <w:t xml:space="preserve"> (X, [Y], Label): True if multiple instances of an element X (either a Goal(G) or Strategy(S)) relate to multiple instances of another element [Y] (where Y can be any GSN element) according to the cardinality specified by an optional Label. The label specifies the cardinality of the relationship between X and Y. (i.e., how many instances of an element in X relates with how many instances of an element in [Y]. e.g. m of n implies m instances of an element in X must be supported by n instances of an element in Y)</w:t>
      </w:r>
    </w:p>
    <w:p w14:paraId="78233577" w14:textId="77777777" w:rsidR="00E32E02" w:rsidRPr="008075EF" w:rsidRDefault="00E32E02" w:rsidP="00E32E02">
      <w:pPr>
        <w:pStyle w:val="ListParagraph"/>
        <w:spacing w:after="0" w:line="240" w:lineRule="auto"/>
        <w:jc w:val="both"/>
        <w:rPr>
          <w:rFonts w:ascii="Times New Roman" w:hAnsi="Times New Roman" w:cs="Times New Roman"/>
          <w:sz w:val="24"/>
          <w:szCs w:val="24"/>
        </w:rPr>
      </w:pPr>
    </w:p>
    <w:p w14:paraId="79C7178E" w14:textId="77777777" w:rsidR="00E32E02" w:rsidRPr="008075EF" w:rsidRDefault="00E32E02" w:rsidP="00E32E02">
      <w:pPr>
        <w:pStyle w:val="ListParagraph"/>
        <w:numPr>
          <w:ilvl w:val="0"/>
          <w:numId w:val="5"/>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 </w:t>
      </w:r>
      <w:proofErr w:type="spellStart"/>
      <w:r w:rsidRPr="008075EF">
        <w:rPr>
          <w:rFonts w:ascii="Times New Roman" w:hAnsi="Times New Roman" w:cs="Times New Roman"/>
          <w:sz w:val="24"/>
          <w:szCs w:val="24"/>
        </w:rPr>
        <w:t>IsOptional</w:t>
      </w:r>
      <w:proofErr w:type="spellEnd"/>
      <w:r w:rsidRPr="008075EF">
        <w:rPr>
          <w:rFonts w:ascii="Times New Roman" w:hAnsi="Times New Roman" w:cs="Times New Roman"/>
          <w:sz w:val="24"/>
          <w:szCs w:val="24"/>
        </w:rPr>
        <w:t xml:space="preserve"> (X, [Y], Label): True if an element X (either a Goal(G) or Strategy(S)) can be optionally supported by another element [Y] (where Y can be any GSN element) according to the cardinality specified by an optional Label. The label specifies the cardinality of the relationship between X and Y. (i.e. an instance of an element in X may be supported by another instance of an element in [Y], but it is not required)</w:t>
      </w:r>
    </w:p>
    <w:p w14:paraId="65DF9034" w14:textId="77777777" w:rsidR="00E32E02" w:rsidRPr="008075EF" w:rsidRDefault="00E32E02" w:rsidP="00E32E02">
      <w:pPr>
        <w:spacing w:after="0" w:line="240" w:lineRule="auto"/>
        <w:jc w:val="both"/>
        <w:rPr>
          <w:rFonts w:ascii="Times New Roman" w:hAnsi="Times New Roman" w:cs="Times New Roman"/>
          <w:sz w:val="24"/>
          <w:szCs w:val="24"/>
        </w:rPr>
      </w:pPr>
    </w:p>
    <w:p w14:paraId="4CAC1134" w14:textId="77777777"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@End_Predicate_ACP</w:t>
      </w:r>
    </w:p>
    <w:p w14:paraId="001CCA77" w14:textId="77777777" w:rsidR="00E32E02" w:rsidRPr="008075EF" w:rsidRDefault="00E32E02" w:rsidP="00E32E02">
      <w:pPr>
        <w:spacing w:after="0" w:line="240" w:lineRule="auto"/>
        <w:jc w:val="both"/>
        <w:rPr>
          <w:rFonts w:ascii="Times New Roman" w:hAnsi="Times New Roman" w:cs="Times New Roman"/>
          <w:sz w:val="24"/>
          <w:szCs w:val="24"/>
        </w:rPr>
      </w:pPr>
    </w:p>
    <w:p w14:paraId="6B8FF126" w14:textId="0F870450" w:rsidR="00E32E02" w:rsidRPr="008075EF" w:rsidRDefault="00E32E02" w:rsidP="00E32E02">
      <w:p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To represent an assurance case or assurance case pattern in GSN is equivalent to depicting in a hierarchical tree structure. To achieve this hierarchical tree structure, the below predicates have been defined to ease understanding of this structure. The predicate rules to support the structure of an assurance case or assurance case pattern begins with the delimiter </w:t>
      </w:r>
      <w:r w:rsidR="002A769E" w:rsidRPr="008075EF">
        <w:rPr>
          <w:rFonts w:ascii="Times New Roman" w:hAnsi="Times New Roman" w:cs="Times New Roman"/>
          <w:i/>
          <w:iCs/>
          <w:sz w:val="24"/>
          <w:szCs w:val="24"/>
        </w:rPr>
        <w:t>“</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Predicate_Structure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End_Predicate_Structure</w:t>
      </w:r>
      <w:proofErr w:type="spellEnd"/>
      <w:r w:rsidRPr="008075EF">
        <w:rPr>
          <w:rFonts w:ascii="Times New Roman" w:hAnsi="Times New Roman" w:cs="Times New Roman"/>
          <w:i/>
          <w:iCs/>
          <w:sz w:val="24"/>
          <w:szCs w:val="24"/>
        </w:rPr>
        <w:t>”</w:t>
      </w:r>
    </w:p>
    <w:p w14:paraId="0C23284F" w14:textId="77777777" w:rsidR="00E32E02" w:rsidRPr="008075EF" w:rsidRDefault="00E32E02" w:rsidP="00E32E02">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@Predicate_Structure</w:t>
      </w:r>
    </w:p>
    <w:p w14:paraId="3BCE16F9" w14:textId="77777777" w:rsidR="00E32E02" w:rsidRPr="008075EF" w:rsidRDefault="00E32E02" w:rsidP="00E32E02">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(X, [N], D): True if element X at depth D has a neighbour [N] to the left or right at depth D, where ‘[N]’ can be an Assumption (A), Justification (J), or Context (C), ‘X’ can be a Goal (G), or Strategy (S) and ‘D’ represents the height or depth of the goal or strategy element and its neighbours in the GSN hierarchical structure.</w:t>
      </w:r>
    </w:p>
    <w:p w14:paraId="6C5411BE" w14:textId="77777777" w:rsidR="00E32E02" w:rsidRPr="008075EF" w:rsidRDefault="00E32E02" w:rsidP="00E32E02">
      <w:pPr>
        <w:pStyle w:val="ListParagraph"/>
        <w:spacing w:line="240" w:lineRule="auto"/>
        <w:jc w:val="both"/>
        <w:rPr>
          <w:rFonts w:ascii="Times New Roman" w:hAnsi="Times New Roman" w:cs="Times New Roman"/>
          <w:sz w:val="24"/>
          <w:szCs w:val="24"/>
        </w:rPr>
      </w:pPr>
    </w:p>
    <w:p w14:paraId="70398435" w14:textId="77777777" w:rsidR="00E32E02" w:rsidRPr="008075EF" w:rsidRDefault="00E32E02" w:rsidP="00E32E02">
      <w:pPr>
        <w:pStyle w:val="ListParagraph"/>
        <w:numPr>
          <w:ilvl w:val="0"/>
          <w:numId w:val="6"/>
        </w:numPr>
        <w:spacing w:line="240" w:lineRule="auto"/>
        <w:jc w:val="both"/>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(X, [C], D): True if element X at depth D has children [C] directly below it, where [C] can include Goal (G), Strategy (S), or Solution (Sn) and ‘X’ can be a Goal (G), or Strategy (S).</w:t>
      </w:r>
    </w:p>
    <w:p w14:paraId="6991CB87" w14:textId="77777777" w:rsidR="00E32E02" w:rsidRPr="008075EF" w:rsidRDefault="00E32E02" w:rsidP="00E32E02">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Strategy (S), [C] can only be Goal (G).</w:t>
      </w:r>
    </w:p>
    <w:p w14:paraId="1939F800" w14:textId="77777777" w:rsidR="00E32E02" w:rsidRPr="008075EF" w:rsidRDefault="00E32E02" w:rsidP="00E32E02">
      <w:pPr>
        <w:pStyle w:val="ListParagraph"/>
        <w:numPr>
          <w:ilvl w:val="0"/>
          <w:numId w:val="7"/>
        </w:numPr>
        <w:spacing w:line="240" w:lineRule="auto"/>
        <w:jc w:val="both"/>
        <w:rPr>
          <w:rFonts w:ascii="Times New Roman" w:hAnsi="Times New Roman" w:cs="Times New Roman"/>
          <w:sz w:val="24"/>
          <w:szCs w:val="24"/>
        </w:rPr>
      </w:pPr>
      <w:r w:rsidRPr="008075EF">
        <w:rPr>
          <w:rFonts w:ascii="Times New Roman" w:hAnsi="Times New Roman" w:cs="Times New Roman"/>
          <w:sz w:val="24"/>
          <w:szCs w:val="24"/>
        </w:rPr>
        <w:t>If X is Goal (G), [C] can be either Goal (G), Strategy(S), or Solution (Sn).</w:t>
      </w:r>
    </w:p>
    <w:p w14:paraId="5FEBD870" w14:textId="77777777" w:rsidR="00E32E02" w:rsidRPr="008075EF" w:rsidRDefault="00E32E02" w:rsidP="00E32E02">
      <w:pPr>
        <w:spacing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@End_Predicate_Structure</w:t>
      </w:r>
    </w:p>
    <w:p w14:paraId="51D0AE05"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lastRenderedPageBreak/>
        <w:t>Now, I will provide you with an example of an assurance case pattern in its predicate form and the corresponding assurance case derived from this pattern so that you can understand the process of instantiating an assurance case pattern to create an assurance case.</w:t>
      </w:r>
    </w:p>
    <w:p w14:paraId="4DB0E4C9" w14:textId="0DA14F40"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 xml:space="preserve">For example, an Assurance Case Pattern for the Interpretability of a Machine Learning system and the derived assurance case is given below.  The assurance case pattern begins with the delimiter </w:t>
      </w:r>
      <w:r w:rsidRPr="008075EF">
        <w:rPr>
          <w:rFonts w:ascii="Times New Roman" w:hAnsi="Times New Roman" w:cs="Times New Roman"/>
          <w:i/>
          <w:iCs/>
          <w:sz w:val="24"/>
          <w:szCs w:val="24"/>
        </w:rPr>
        <w:t>"@Pattern"</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End_Pattern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while the derived assurance case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Assurance_case</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w:t>
      </w:r>
      <w:r w:rsidR="001E6118">
        <w:rPr>
          <w:rFonts w:ascii="Times New Roman" w:hAnsi="Times New Roman" w:cs="Times New Roman"/>
          <w:sz w:val="24"/>
          <w:szCs w:val="24"/>
        </w:rPr>
        <w:t xml:space="preserve">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End_Assurance_case</w:t>
      </w:r>
      <w:proofErr w:type="spellEnd"/>
      <w:r w:rsidRPr="008075EF">
        <w:rPr>
          <w:rFonts w:ascii="Times New Roman" w:hAnsi="Times New Roman" w:cs="Times New Roman"/>
          <w:i/>
          <w:iCs/>
          <w:sz w:val="24"/>
          <w:szCs w:val="24"/>
        </w:rPr>
        <w:t>"</w:t>
      </w:r>
    </w:p>
    <w:p w14:paraId="1645CD3C" w14:textId="77777777" w:rsidR="00E32E02" w:rsidRPr="008075EF" w:rsidRDefault="00E32E02" w:rsidP="00E32E02">
      <w:pPr>
        <w:rPr>
          <w:rFonts w:ascii="Times New Roman" w:hAnsi="Times New Roman" w:cs="Times New Roman"/>
          <w:i/>
          <w:iCs/>
          <w:sz w:val="24"/>
          <w:szCs w:val="24"/>
        </w:rPr>
      </w:pPr>
      <w:r w:rsidRPr="008075EF">
        <w:rPr>
          <w:rFonts w:ascii="Times New Roman" w:hAnsi="Times New Roman" w:cs="Times New Roman"/>
          <w:i/>
          <w:iCs/>
          <w:sz w:val="24"/>
          <w:szCs w:val="24"/>
        </w:rPr>
        <w:t>@Pattern</w:t>
      </w:r>
    </w:p>
    <w:p w14:paraId="0EDF44F3"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(G1, Interpretability Claim. The {ML Model} is sufficiently {interpretable} in the intended {context})</w:t>
      </w:r>
    </w:p>
    <w:p w14:paraId="2664E310"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(G2, Right Method. The right {interpretability methods} are implemented, i.e. the correct information is faithfully being explained)</w:t>
      </w:r>
    </w:p>
    <w:p w14:paraId="0767ACEA"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(G3, Right Context. {Interpretations} produced in the {intended context})</w:t>
      </w:r>
    </w:p>
    <w:p w14:paraId="2F614727"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(G4, Right Format {Interpretability methods} are presented in the right {format} for the {audience})</w:t>
      </w:r>
    </w:p>
    <w:p w14:paraId="41F37B35"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(G5, Right Time {Interpretations) produced at the {appropriate time})</w:t>
      </w:r>
    </w:p>
    <w:p w14:paraId="34CA8A81" w14:textId="49BD34A6"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(G6, Right Setting {Interpretations) are available in the (right setting))</w:t>
      </w:r>
    </w:p>
    <w:p w14:paraId="59304011" w14:textId="7A9997FF"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(G7,</w:t>
      </w:r>
      <w:r w:rsidR="002A769E" w:rsidRPr="008075EF">
        <w:rPr>
          <w:rFonts w:ascii="Times New Roman" w:hAnsi="Times New Roman" w:cs="Times New Roman"/>
          <w:sz w:val="24"/>
          <w:szCs w:val="24"/>
        </w:rPr>
        <w:t xml:space="preserve"> </w:t>
      </w:r>
      <w:r w:rsidRPr="008075EF">
        <w:rPr>
          <w:rFonts w:ascii="Times New Roman" w:hAnsi="Times New Roman" w:cs="Times New Roman"/>
          <w:sz w:val="24"/>
          <w:szCs w:val="24"/>
        </w:rPr>
        <w:t>Right Audience {Interpretations} produced for the {right audience})</w:t>
      </w:r>
    </w:p>
    <w:p w14:paraId="2B16B7C6" w14:textId="71690DB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(G8, {Interpretability method} is right type e.g. local/global (i.e. the correct thing is being explained).)</w:t>
      </w:r>
    </w:p>
    <w:p w14:paraId="2194FA7A" w14:textId="66401DE3"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Goal (G9, {Interpretability method} is suitably faithful to {ML model} process)</w:t>
      </w:r>
    </w:p>
    <w:p w14:paraId="6B59E219"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Strategy (S1, Argument based on the {essential aspects of interpretability})</w:t>
      </w:r>
    </w:p>
    <w:p w14:paraId="7243D9BB"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Strategy (S2, Argument over {interpretability methods})</w:t>
      </w:r>
    </w:p>
    <w:p w14:paraId="3004D67E" w14:textId="77777777" w:rsidR="00E32E02" w:rsidRPr="008075EF" w:rsidRDefault="00E32E02" w:rsidP="00E32E02">
      <w:pPr>
        <w:rPr>
          <w:rFonts w:ascii="Times New Roman" w:hAnsi="Times New Roman" w:cs="Times New Roman"/>
          <w:sz w:val="24"/>
          <w:szCs w:val="24"/>
          <w:lang w:val="fr-CA"/>
        </w:rPr>
      </w:pPr>
      <w:proofErr w:type="spellStart"/>
      <w:r w:rsidRPr="008075EF">
        <w:rPr>
          <w:rFonts w:ascii="Times New Roman" w:hAnsi="Times New Roman" w:cs="Times New Roman"/>
          <w:sz w:val="24"/>
          <w:szCs w:val="24"/>
          <w:lang w:val="fr-CA"/>
        </w:rPr>
        <w:t>Context</w:t>
      </w:r>
      <w:proofErr w:type="spellEnd"/>
      <w:r w:rsidRPr="008075EF">
        <w:rPr>
          <w:rFonts w:ascii="Times New Roman" w:hAnsi="Times New Roman" w:cs="Times New Roman"/>
          <w:sz w:val="24"/>
          <w:szCs w:val="24"/>
          <w:lang w:val="fr-CA"/>
        </w:rPr>
        <w:t xml:space="preserve"> (C1, {ML Model})</w:t>
      </w:r>
    </w:p>
    <w:p w14:paraId="44A5677B" w14:textId="77777777" w:rsidR="00E32E02" w:rsidRPr="008075EF" w:rsidRDefault="00E32E02" w:rsidP="00E32E02">
      <w:pPr>
        <w:rPr>
          <w:rFonts w:ascii="Times New Roman" w:hAnsi="Times New Roman" w:cs="Times New Roman"/>
          <w:sz w:val="24"/>
          <w:szCs w:val="24"/>
          <w:lang w:val="fr-CA"/>
        </w:rPr>
      </w:pPr>
      <w:proofErr w:type="spellStart"/>
      <w:r w:rsidRPr="008075EF">
        <w:rPr>
          <w:rFonts w:ascii="Times New Roman" w:hAnsi="Times New Roman" w:cs="Times New Roman"/>
          <w:sz w:val="24"/>
          <w:szCs w:val="24"/>
          <w:lang w:val="fr-CA"/>
        </w:rPr>
        <w:t>Context</w:t>
      </w:r>
      <w:proofErr w:type="spellEnd"/>
      <w:r w:rsidRPr="008075EF">
        <w:rPr>
          <w:rFonts w:ascii="Times New Roman" w:hAnsi="Times New Roman" w:cs="Times New Roman"/>
          <w:sz w:val="24"/>
          <w:szCs w:val="24"/>
          <w:lang w:val="fr-CA"/>
        </w:rPr>
        <w:t xml:space="preserve"> (C2, {</w:t>
      </w:r>
      <w:proofErr w:type="spellStart"/>
      <w:r w:rsidRPr="008075EF">
        <w:rPr>
          <w:rFonts w:ascii="Times New Roman" w:hAnsi="Times New Roman" w:cs="Times New Roman"/>
          <w:sz w:val="24"/>
          <w:szCs w:val="24"/>
          <w:lang w:val="fr-CA"/>
        </w:rPr>
        <w:t>Interpretable</w:t>
      </w:r>
      <w:proofErr w:type="spellEnd"/>
      <w:r w:rsidRPr="008075EF">
        <w:rPr>
          <w:rFonts w:ascii="Times New Roman" w:hAnsi="Times New Roman" w:cs="Times New Roman"/>
          <w:sz w:val="24"/>
          <w:szCs w:val="24"/>
          <w:lang w:val="fr-CA"/>
        </w:rPr>
        <w:t>})</w:t>
      </w:r>
    </w:p>
    <w:p w14:paraId="187FAD02"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Context (C3, (Context: setting time and audience})</w:t>
      </w:r>
    </w:p>
    <w:p w14:paraId="751CD89A"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Context (C4, (Essential aspects of interpretability})</w:t>
      </w:r>
    </w:p>
    <w:p w14:paraId="6EAE7298"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Context (C5, {Interpretability methods})</w:t>
      </w:r>
    </w:p>
    <w:p w14:paraId="356F2BBA"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Context (C6, {Format of interpretations})</w:t>
      </w:r>
    </w:p>
    <w:p w14:paraId="04ED57D0"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(G1, S1, 1)</w:t>
      </w:r>
    </w:p>
    <w:p w14:paraId="204E86DA"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(S1, [G2, G3, G4], 2)</w:t>
      </w:r>
    </w:p>
    <w:p w14:paraId="7F982D30"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lastRenderedPageBreak/>
        <w:t>SupportedBy</w:t>
      </w:r>
      <w:proofErr w:type="spellEnd"/>
      <w:r w:rsidRPr="008075EF">
        <w:rPr>
          <w:rFonts w:ascii="Times New Roman" w:hAnsi="Times New Roman" w:cs="Times New Roman"/>
          <w:sz w:val="24"/>
          <w:szCs w:val="24"/>
        </w:rPr>
        <w:t xml:space="preserve"> (G2, S2, 3)</w:t>
      </w:r>
    </w:p>
    <w:p w14:paraId="0C0A7C08"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(G3, [G5, G6, G7], 3)</w:t>
      </w:r>
    </w:p>
    <w:p w14:paraId="09450079"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SupportedBy</w:t>
      </w:r>
      <w:proofErr w:type="spellEnd"/>
      <w:r w:rsidRPr="008075EF">
        <w:rPr>
          <w:rFonts w:ascii="Times New Roman" w:hAnsi="Times New Roman" w:cs="Times New Roman"/>
          <w:sz w:val="24"/>
          <w:szCs w:val="24"/>
        </w:rPr>
        <w:t xml:space="preserve"> (S2, [G8, G9], 4)</w:t>
      </w:r>
    </w:p>
    <w:p w14:paraId="372FD2F6"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(G1, [C1, C2, C3], 1)</w:t>
      </w:r>
    </w:p>
    <w:p w14:paraId="40BCF944"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(S1, C4, 2)</w:t>
      </w:r>
    </w:p>
    <w:p w14:paraId="2CB36DA3"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(G2, C5, 3)</w:t>
      </w:r>
    </w:p>
    <w:p w14:paraId="7A81C813"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(G3, C6, 3)</w:t>
      </w:r>
    </w:p>
    <w:p w14:paraId="5FE57424"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IncontextOf</w:t>
      </w:r>
      <w:proofErr w:type="spellEnd"/>
      <w:r w:rsidRPr="008075EF">
        <w:rPr>
          <w:rFonts w:ascii="Times New Roman" w:hAnsi="Times New Roman" w:cs="Times New Roman"/>
          <w:sz w:val="24"/>
          <w:szCs w:val="24"/>
        </w:rPr>
        <w:t xml:space="preserve"> (G4, C6, 3)</w:t>
      </w:r>
    </w:p>
    <w:p w14:paraId="00A57102"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(G1)</w:t>
      </w:r>
    </w:p>
    <w:p w14:paraId="65ED0ABA"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(C1)</w:t>
      </w:r>
    </w:p>
    <w:p w14:paraId="51C179D5"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(C2)</w:t>
      </w:r>
    </w:p>
    <w:p w14:paraId="066BB3C7"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(C3)</w:t>
      </w:r>
    </w:p>
    <w:p w14:paraId="6CDC9323"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(C4)</w:t>
      </w:r>
    </w:p>
    <w:p w14:paraId="6505883E"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(G2)</w:t>
      </w:r>
    </w:p>
    <w:p w14:paraId="2048AD55"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(G3)</w:t>
      </w:r>
    </w:p>
    <w:p w14:paraId="1F2E648E"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(G4)</w:t>
      </w:r>
    </w:p>
    <w:p w14:paraId="51D46AC9"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(C5)</w:t>
      </w:r>
    </w:p>
    <w:p w14:paraId="5D117AA2"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(C6)</w:t>
      </w:r>
    </w:p>
    <w:p w14:paraId="029A7BFC"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(S2)</w:t>
      </w:r>
    </w:p>
    <w:p w14:paraId="7B9331EF"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(G5)</w:t>
      </w:r>
    </w:p>
    <w:p w14:paraId="58EF914A"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(G6)</w:t>
      </w:r>
    </w:p>
    <w:p w14:paraId="79A5B133"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(G7)</w:t>
      </w:r>
    </w:p>
    <w:p w14:paraId="648BF241"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(G8)</w:t>
      </w:r>
    </w:p>
    <w:p w14:paraId="1EA40CAD" w14:textId="65AEEFA9"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HasPlaceholder</w:t>
      </w:r>
      <w:proofErr w:type="spellEnd"/>
      <w:r w:rsidRPr="008075EF">
        <w:rPr>
          <w:rFonts w:ascii="Times New Roman" w:hAnsi="Times New Roman" w:cs="Times New Roman"/>
          <w:sz w:val="24"/>
          <w:szCs w:val="24"/>
        </w:rPr>
        <w:t xml:space="preserve"> (G9)</w:t>
      </w:r>
    </w:p>
    <w:p w14:paraId="16871175"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(C1)</w:t>
      </w:r>
    </w:p>
    <w:p w14:paraId="56B5695A"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(C2)</w:t>
      </w:r>
    </w:p>
    <w:p w14:paraId="08979636"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(C3)</w:t>
      </w:r>
    </w:p>
    <w:p w14:paraId="3A6A5A67"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(C4)</w:t>
      </w:r>
    </w:p>
    <w:p w14:paraId="1D1AF185"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lastRenderedPageBreak/>
        <w:t>Uninstantiated (S1)</w:t>
      </w:r>
    </w:p>
    <w:p w14:paraId="2DB03576"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(G2)</w:t>
      </w:r>
    </w:p>
    <w:p w14:paraId="5BFFC7E8"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(C5)</w:t>
      </w:r>
    </w:p>
    <w:p w14:paraId="7EA4F987"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(C6)</w:t>
      </w:r>
    </w:p>
    <w:p w14:paraId="1A059F9D"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(G3)</w:t>
      </w:r>
    </w:p>
    <w:p w14:paraId="64C90F58"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Uninstantiated (S2)</w:t>
      </w:r>
    </w:p>
    <w:p w14:paraId="105E7D7C"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UndevelopStantiated</w:t>
      </w:r>
      <w:proofErr w:type="spellEnd"/>
      <w:r w:rsidRPr="008075EF">
        <w:rPr>
          <w:rFonts w:ascii="Times New Roman" w:hAnsi="Times New Roman" w:cs="Times New Roman"/>
          <w:sz w:val="24"/>
          <w:szCs w:val="24"/>
        </w:rPr>
        <w:t xml:space="preserve"> (G4)</w:t>
      </w:r>
    </w:p>
    <w:p w14:paraId="1400C1B6"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UndevelopStantiated</w:t>
      </w:r>
      <w:proofErr w:type="spellEnd"/>
      <w:r w:rsidRPr="008075EF">
        <w:rPr>
          <w:rFonts w:ascii="Times New Roman" w:hAnsi="Times New Roman" w:cs="Times New Roman"/>
          <w:sz w:val="24"/>
          <w:szCs w:val="24"/>
        </w:rPr>
        <w:t xml:space="preserve"> (G5)</w:t>
      </w:r>
    </w:p>
    <w:p w14:paraId="7C14176A"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UndevelopStantiated</w:t>
      </w:r>
      <w:proofErr w:type="spellEnd"/>
      <w:r w:rsidRPr="008075EF">
        <w:rPr>
          <w:rFonts w:ascii="Times New Roman" w:hAnsi="Times New Roman" w:cs="Times New Roman"/>
          <w:sz w:val="24"/>
          <w:szCs w:val="24"/>
        </w:rPr>
        <w:t xml:space="preserve"> (G6)</w:t>
      </w:r>
    </w:p>
    <w:p w14:paraId="29D33578"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UndevelopStantiated</w:t>
      </w:r>
      <w:proofErr w:type="spellEnd"/>
      <w:r w:rsidRPr="008075EF">
        <w:rPr>
          <w:rFonts w:ascii="Times New Roman" w:hAnsi="Times New Roman" w:cs="Times New Roman"/>
          <w:sz w:val="24"/>
          <w:szCs w:val="24"/>
        </w:rPr>
        <w:t xml:space="preserve"> (G7)</w:t>
      </w:r>
    </w:p>
    <w:p w14:paraId="26B70F17"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UndevelopStantiated</w:t>
      </w:r>
      <w:proofErr w:type="spellEnd"/>
      <w:r w:rsidRPr="008075EF">
        <w:rPr>
          <w:rFonts w:ascii="Times New Roman" w:hAnsi="Times New Roman" w:cs="Times New Roman"/>
          <w:sz w:val="24"/>
          <w:szCs w:val="24"/>
        </w:rPr>
        <w:t xml:space="preserve"> (G8)</w:t>
      </w:r>
    </w:p>
    <w:p w14:paraId="57CABEAB" w14:textId="77777777" w:rsidR="00E32E02" w:rsidRPr="008075EF" w:rsidRDefault="00E32E02" w:rsidP="00E32E02">
      <w:pPr>
        <w:rPr>
          <w:rFonts w:ascii="Times New Roman" w:hAnsi="Times New Roman" w:cs="Times New Roman"/>
          <w:sz w:val="24"/>
          <w:szCs w:val="24"/>
        </w:rPr>
      </w:pPr>
      <w:proofErr w:type="spellStart"/>
      <w:r w:rsidRPr="008075EF">
        <w:rPr>
          <w:rFonts w:ascii="Times New Roman" w:hAnsi="Times New Roman" w:cs="Times New Roman"/>
          <w:sz w:val="24"/>
          <w:szCs w:val="24"/>
        </w:rPr>
        <w:t>UndevelopStantiated</w:t>
      </w:r>
      <w:proofErr w:type="spellEnd"/>
      <w:r w:rsidRPr="008075EF">
        <w:rPr>
          <w:rFonts w:ascii="Times New Roman" w:hAnsi="Times New Roman" w:cs="Times New Roman"/>
          <w:sz w:val="24"/>
          <w:szCs w:val="24"/>
        </w:rPr>
        <w:t xml:space="preserve"> (G9)</w:t>
      </w:r>
    </w:p>
    <w:p w14:paraId="180193BE" w14:textId="77777777" w:rsidR="00E32E02" w:rsidRPr="008075EF" w:rsidRDefault="00E32E02" w:rsidP="00E32E02">
      <w:pPr>
        <w:rPr>
          <w:rFonts w:ascii="Times New Roman" w:hAnsi="Times New Roman" w:cs="Times New Roman"/>
          <w:i/>
          <w:iCs/>
          <w:sz w:val="24"/>
          <w:szCs w:val="24"/>
        </w:rPr>
      </w:pPr>
      <w:r w:rsidRPr="008075EF">
        <w:rPr>
          <w:rFonts w:ascii="Times New Roman" w:hAnsi="Times New Roman" w:cs="Times New Roman"/>
          <w:i/>
          <w:iCs/>
          <w:sz w:val="24"/>
          <w:szCs w:val="24"/>
        </w:rPr>
        <w:t>@End_Pattern</w:t>
      </w:r>
    </w:p>
    <w:p w14:paraId="0F8DAFE6" w14:textId="77777777" w:rsidR="00E32E02" w:rsidRPr="008075EF" w:rsidRDefault="00E32E02" w:rsidP="00E32E02">
      <w:pPr>
        <w:rPr>
          <w:rFonts w:ascii="Times New Roman" w:hAnsi="Times New Roman" w:cs="Times New Roman"/>
          <w:i/>
          <w:iCs/>
          <w:sz w:val="24"/>
          <w:szCs w:val="24"/>
        </w:rPr>
      </w:pPr>
      <w:r w:rsidRPr="008075EF">
        <w:rPr>
          <w:rFonts w:ascii="Times New Roman" w:hAnsi="Times New Roman" w:cs="Times New Roman"/>
          <w:i/>
          <w:iCs/>
          <w:sz w:val="24"/>
          <w:szCs w:val="24"/>
        </w:rPr>
        <w:t>@Assurance_case</w:t>
      </w:r>
    </w:p>
    <w:p w14:paraId="49A1D628"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G1: Interpretability Claim - The ML system is sufficiently interpretable in the intended context.</w:t>
      </w:r>
    </w:p>
    <w:p w14:paraId="60A1A0EF"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C1: Dual NN system</w:t>
      </w:r>
    </w:p>
    <w:p w14:paraId="33A7D9F3"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C2: Interpretable = transparency of system logic</w:t>
      </w:r>
    </w:p>
    <w:p w14:paraId="4961130C"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C3: Context: setting - retinal diagnosis pathway; time- alongside diagnosis predictions; audience - retinal/ clinicians.</w:t>
      </w:r>
    </w:p>
    <w:p w14:paraId="2C24900C"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t>S1: Argument based on the essential aspects of interpretability.</w:t>
      </w:r>
    </w:p>
    <w:p w14:paraId="11B6EA4A"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t>C4: Essential aspects of interpretability: method, context &amp; format</w:t>
      </w:r>
    </w:p>
    <w:p w14:paraId="3146C8C3"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t>G2: Right Method - The system structure and segmentation map provide transparency of the system logic and allow clinicians to understand decisions.</w:t>
      </w:r>
    </w:p>
    <w:p w14:paraId="0390BD4E"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t>C5: System structure and segmentation map</w:t>
      </w:r>
    </w:p>
    <w:p w14:paraId="62BB125B"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S2: Argument over interpretability methods</w:t>
      </w:r>
    </w:p>
    <w:p w14:paraId="3DBC0FAA"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G8: Interpretability method is right type (the correct thing is being explained).</w:t>
      </w:r>
    </w:p>
    <w:p w14:paraId="72B1C818"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G14: The system structure closely resembles the normal decision-process taken by clinicians (first producing the segmentation map then the diagnosis) (undeveloped)</w:t>
      </w:r>
    </w:p>
    <w:p w14:paraId="29562AAB"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lastRenderedPageBreak/>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G9: Interpretability method is suitably faithful to the system process.</w:t>
      </w:r>
    </w:p>
    <w:p w14:paraId="69AFB5F7"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G15: The interpretability method is the comprehensible structure of the system and the production of the segmentation map. (undeveloped)</w:t>
      </w:r>
    </w:p>
    <w:p w14:paraId="14E4A863"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p>
    <w:p w14:paraId="231CA7C5"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t>G3: Right Context - Segmentation map produced in the retinal diagnosis pathway.</w:t>
      </w:r>
    </w:p>
    <w:p w14:paraId="1D5D0730"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t>C6: Segmentation map</w:t>
      </w:r>
    </w:p>
    <w:p w14:paraId="14E96F04"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G5: Right Time - Segmentation map is produced alongside diagnosis prediction.</w:t>
      </w:r>
    </w:p>
    <w:p w14:paraId="5A54B73B"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G11: Clinicians need an explanation alongside every diagnosis prediction. (undeveloped)</w:t>
      </w:r>
    </w:p>
    <w:p w14:paraId="7F0636E9"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G6: Right Setting - Explanations are available in the clinical setting.</w:t>
      </w:r>
    </w:p>
    <w:p w14:paraId="2C7578BD"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G12: Clearly clinicians need to be able to access these explanations within the clinical setting. (undeveloped)</w:t>
      </w:r>
    </w:p>
    <w:p w14:paraId="31A5BA4F"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G7: Right Audience - Explanations produced for the retinal clinicians.</w:t>
      </w:r>
    </w:p>
    <w:p w14:paraId="3DE945C3"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G13: The clinicians need an explanation to understand and trust system predictions. (undeveloped)</w:t>
      </w:r>
    </w:p>
    <w:p w14:paraId="3926143F"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t>G4: Right Format - The format of the interpretation is the transparent system logic, including the segmentation map</w:t>
      </w:r>
    </w:p>
    <w:p w14:paraId="04E37687"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t>C6: Segmentation map</w:t>
      </w:r>
    </w:p>
    <w:p w14:paraId="2546D104" w14:textId="77777777" w:rsidR="00E32E02" w:rsidRPr="008075EF" w:rsidRDefault="00E32E02" w:rsidP="00E32E02">
      <w:pPr>
        <w:rPr>
          <w:rFonts w:ascii="Times New Roman" w:hAnsi="Times New Roman" w:cs="Times New Roman"/>
          <w:sz w:val="24"/>
          <w:szCs w:val="24"/>
        </w:rPr>
      </w:pPr>
      <w:r w:rsidRPr="008075EF">
        <w:rPr>
          <w:rFonts w:ascii="Times New Roman" w:hAnsi="Times New Roman" w:cs="Times New Roman"/>
          <w:sz w:val="24"/>
          <w:szCs w:val="24"/>
        </w:rPr>
        <w:tab/>
      </w:r>
      <w:r w:rsidRPr="008075EF">
        <w:rPr>
          <w:rFonts w:ascii="Times New Roman" w:hAnsi="Times New Roman" w:cs="Times New Roman"/>
          <w:sz w:val="24"/>
          <w:szCs w:val="24"/>
        </w:rPr>
        <w:tab/>
      </w:r>
      <w:r w:rsidRPr="008075EF">
        <w:rPr>
          <w:rFonts w:ascii="Times New Roman" w:hAnsi="Times New Roman" w:cs="Times New Roman"/>
          <w:sz w:val="24"/>
          <w:szCs w:val="24"/>
        </w:rPr>
        <w:tab/>
        <w:t>G10: The system structure, including production of the segmentation map, closely resembles the normal clinical decision-making process &amp; offers comprehensible insight into system logic. (undeveloped)</w:t>
      </w:r>
    </w:p>
    <w:p w14:paraId="6FE8D217" w14:textId="047A9ABB" w:rsidR="00E32E02" w:rsidRPr="008075EF" w:rsidRDefault="00E32E02" w:rsidP="00DF1975">
      <w:pPr>
        <w:rPr>
          <w:rFonts w:ascii="Times New Roman" w:hAnsi="Times New Roman" w:cs="Times New Roman"/>
          <w:i/>
          <w:iCs/>
          <w:sz w:val="24"/>
          <w:szCs w:val="24"/>
        </w:rPr>
      </w:pPr>
      <w:r w:rsidRPr="008075EF">
        <w:rPr>
          <w:rFonts w:ascii="Times New Roman" w:hAnsi="Times New Roman" w:cs="Times New Roman"/>
          <w:i/>
          <w:iCs/>
          <w:sz w:val="24"/>
          <w:szCs w:val="24"/>
        </w:rPr>
        <w:t>@End_Assurance_case</w:t>
      </w:r>
    </w:p>
    <w:p w14:paraId="75DB229E"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Now, I would provide you with domain information about the Instant messaging (IM) software for which you would create a security case from a given security case pattern. The domain information begins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Domain_Information</w:t>
      </w:r>
      <w:proofErr w:type="spellEnd"/>
      <w:r w:rsidRPr="008075EF">
        <w:rPr>
          <w:rFonts w:ascii="Times New Roman" w:hAnsi="Times New Roman" w:cs="Times New Roman"/>
          <w:i/>
          <w:iCs/>
          <w:sz w:val="24"/>
          <w:szCs w:val="24"/>
        </w:rPr>
        <w:t>”</w:t>
      </w:r>
      <w:r w:rsidRPr="008075EF">
        <w:rPr>
          <w:rFonts w:ascii="Times New Roman" w:hAnsi="Times New Roman" w:cs="Times New Roman"/>
          <w:sz w:val="24"/>
          <w:szCs w:val="24"/>
        </w:rPr>
        <w:t xml:space="preserve"> and ends with the delimiter </w:t>
      </w:r>
      <w:r w:rsidRPr="008075EF">
        <w:rPr>
          <w:rFonts w:ascii="Times New Roman" w:hAnsi="Times New Roman" w:cs="Times New Roman"/>
          <w:i/>
          <w:iCs/>
          <w:sz w:val="24"/>
          <w:szCs w:val="24"/>
        </w:rPr>
        <w:t>“@</w:t>
      </w:r>
      <w:proofErr w:type="spellStart"/>
      <w:r w:rsidRPr="008075EF">
        <w:rPr>
          <w:rFonts w:ascii="Times New Roman" w:hAnsi="Times New Roman" w:cs="Times New Roman"/>
          <w:i/>
          <w:iCs/>
          <w:sz w:val="24"/>
          <w:szCs w:val="24"/>
        </w:rPr>
        <w:t>End_Domain_Information</w:t>
      </w:r>
      <w:proofErr w:type="spellEnd"/>
      <w:r w:rsidRPr="008075EF">
        <w:rPr>
          <w:rFonts w:ascii="Times New Roman" w:hAnsi="Times New Roman" w:cs="Times New Roman"/>
          <w:i/>
          <w:iCs/>
          <w:sz w:val="24"/>
          <w:szCs w:val="24"/>
        </w:rPr>
        <w:t>”.</w:t>
      </w:r>
    </w:p>
    <w:p w14:paraId="72CBF0BF" w14:textId="77777777" w:rsidR="00E32E02" w:rsidRPr="008075EF" w:rsidRDefault="00E32E02" w:rsidP="00E32E02">
      <w:pPr>
        <w:spacing w:after="0" w:line="240" w:lineRule="auto"/>
        <w:jc w:val="both"/>
        <w:rPr>
          <w:rFonts w:ascii="Times New Roman" w:hAnsi="Times New Roman" w:cs="Times New Roman"/>
          <w:sz w:val="24"/>
          <w:szCs w:val="24"/>
        </w:rPr>
      </w:pPr>
    </w:p>
    <w:p w14:paraId="14DFB837" w14:textId="6E8EB346" w:rsidR="00E32E02" w:rsidRPr="008075EF" w:rsidRDefault="00E32E02" w:rsidP="00E32E02">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@Domain_Information</w:t>
      </w:r>
    </w:p>
    <w:p w14:paraId="65AACDF3" w14:textId="77777777" w:rsidR="00E32E02" w:rsidRPr="008075EF" w:rsidRDefault="00E32E02" w:rsidP="00E32E02">
      <w:pPr>
        <w:spacing w:after="0" w:line="240" w:lineRule="auto"/>
        <w:jc w:val="both"/>
        <w:rPr>
          <w:rFonts w:ascii="Times New Roman" w:hAnsi="Times New Roman" w:cs="Times New Roman"/>
          <w:sz w:val="24"/>
          <w:szCs w:val="24"/>
        </w:rPr>
      </w:pPr>
    </w:p>
    <w:p w14:paraId="64ABD76A"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Instant messaging (IM) software is typically used for information exchange, with the data within the software forming the basis of user interaction.</w:t>
      </w:r>
    </w:p>
    <w:p w14:paraId="2F73EC2E" w14:textId="77777777" w:rsidR="00E32E02" w:rsidRPr="008075EF" w:rsidRDefault="00E32E02" w:rsidP="00E32E02">
      <w:pPr>
        <w:spacing w:after="0" w:line="240" w:lineRule="auto"/>
        <w:jc w:val="both"/>
        <w:rPr>
          <w:rFonts w:ascii="Times New Roman" w:hAnsi="Times New Roman" w:cs="Times New Roman"/>
          <w:sz w:val="24"/>
          <w:szCs w:val="24"/>
        </w:rPr>
      </w:pPr>
    </w:p>
    <w:p w14:paraId="0D385F0E"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 xml:space="preserve">Software can be characterized by its independent behavioral features, known as its internal structure, as well as by its interactive relationships with external components, referred to as the </w:t>
      </w:r>
      <w:r w:rsidRPr="008075EF">
        <w:rPr>
          <w:rFonts w:ascii="Times New Roman" w:hAnsi="Times New Roman" w:cs="Times New Roman"/>
          <w:sz w:val="24"/>
          <w:szCs w:val="24"/>
        </w:rPr>
        <w:lastRenderedPageBreak/>
        <w:t>external manifestation (EM). The EM encompasses the overall interaction of software with the outside world, including the set of external environment entities, the interaction set between these entities and the software, and the direction of these interactions.</w:t>
      </w:r>
    </w:p>
    <w:p w14:paraId="46A3545B" w14:textId="77777777" w:rsidR="00E32E02" w:rsidRPr="008075EF" w:rsidRDefault="00E32E02" w:rsidP="00E32E02">
      <w:pPr>
        <w:spacing w:after="0" w:line="240" w:lineRule="auto"/>
        <w:jc w:val="both"/>
        <w:rPr>
          <w:rFonts w:ascii="Times New Roman" w:hAnsi="Times New Roman" w:cs="Times New Roman"/>
          <w:sz w:val="24"/>
          <w:szCs w:val="24"/>
        </w:rPr>
      </w:pPr>
    </w:p>
    <w:p w14:paraId="02E810B6"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The internal structure (IS) of software focuses on the internal functional processes and data transmission within the software. This includes the set of software functional processes, data storage, and internal interaction sets.</w:t>
      </w:r>
    </w:p>
    <w:p w14:paraId="1BD5CDF1" w14:textId="77777777" w:rsidR="00E32E02" w:rsidRPr="008075EF" w:rsidRDefault="00E32E02" w:rsidP="00E32E02">
      <w:pPr>
        <w:spacing w:after="0" w:line="240" w:lineRule="auto"/>
        <w:jc w:val="both"/>
        <w:rPr>
          <w:rFonts w:ascii="Times New Roman" w:hAnsi="Times New Roman" w:cs="Times New Roman"/>
          <w:sz w:val="24"/>
          <w:szCs w:val="24"/>
        </w:rPr>
      </w:pPr>
    </w:p>
    <w:p w14:paraId="744A5664"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Software can be considered a unification of the external manifestation and the internal structure. When attacking software, an attacker can target either the EM or the IS. Therefore, ensuring software security requires full protection of the core elements of both aspects. These core elements are summarized in the PEDD classification, which includes four types of assets: Process, Environment Entity, Data Exchange, and Data Storage. The Process, Data Storage, and Data Exchange are associated with the internal structure of the software, while the Environment Entity and Data Exchange are linked to the external manifestation of the software.</w:t>
      </w:r>
    </w:p>
    <w:p w14:paraId="62E121E1" w14:textId="77777777" w:rsidR="00E32E02" w:rsidRPr="008075EF" w:rsidRDefault="00E32E02" w:rsidP="00E32E02">
      <w:pPr>
        <w:spacing w:after="0" w:line="240" w:lineRule="auto"/>
        <w:jc w:val="both"/>
        <w:rPr>
          <w:rFonts w:ascii="Times New Roman" w:hAnsi="Times New Roman" w:cs="Times New Roman"/>
          <w:sz w:val="24"/>
          <w:szCs w:val="24"/>
        </w:rPr>
      </w:pPr>
    </w:p>
    <w:p w14:paraId="71DD8FC6"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In IM software, the critical assets are:</w:t>
      </w:r>
    </w:p>
    <w:p w14:paraId="5BE1935E" w14:textId="77777777" w:rsidR="00E32E02" w:rsidRPr="008075EF" w:rsidRDefault="00E32E02" w:rsidP="00E32E02">
      <w:pPr>
        <w:spacing w:after="0" w:line="240" w:lineRule="auto"/>
        <w:jc w:val="both"/>
        <w:rPr>
          <w:rFonts w:ascii="Times New Roman" w:hAnsi="Times New Roman" w:cs="Times New Roman"/>
          <w:sz w:val="24"/>
          <w:szCs w:val="24"/>
        </w:rPr>
      </w:pPr>
    </w:p>
    <w:p w14:paraId="77DF6179" w14:textId="77777777" w:rsidR="00E32E02" w:rsidRPr="008075EF" w:rsidRDefault="00E32E02" w:rsidP="00E32E02">
      <w:pPr>
        <w:pStyle w:val="ListParagraph"/>
        <w:numPr>
          <w:ilvl w:val="0"/>
          <w:numId w:val="8"/>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information</w:t>
      </w:r>
    </w:p>
    <w:p w14:paraId="4FAB677A" w14:textId="77777777" w:rsidR="00E32E02" w:rsidRPr="008075EF" w:rsidRDefault="00E32E02" w:rsidP="00E32E02">
      <w:pPr>
        <w:pStyle w:val="ListParagraph"/>
        <w:numPr>
          <w:ilvl w:val="0"/>
          <w:numId w:val="8"/>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Registration process</w:t>
      </w:r>
    </w:p>
    <w:p w14:paraId="7DAD8B5C" w14:textId="77777777" w:rsidR="00E32E02" w:rsidRPr="008075EF" w:rsidRDefault="00E32E02" w:rsidP="00E32E02">
      <w:pPr>
        <w:pStyle w:val="ListParagraph"/>
        <w:numPr>
          <w:ilvl w:val="0"/>
          <w:numId w:val="8"/>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User account information</w:t>
      </w:r>
    </w:p>
    <w:p w14:paraId="05C832AD" w14:textId="77777777" w:rsidR="00E32E02" w:rsidRPr="008075EF" w:rsidRDefault="00E32E02" w:rsidP="00E32E02">
      <w:pPr>
        <w:pStyle w:val="ListParagraph"/>
        <w:numPr>
          <w:ilvl w:val="0"/>
          <w:numId w:val="8"/>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Authentication information</w:t>
      </w:r>
    </w:p>
    <w:p w14:paraId="6C4CB9D6" w14:textId="77777777" w:rsidR="00E32E02" w:rsidRPr="008075EF" w:rsidRDefault="00E32E02" w:rsidP="00E32E02">
      <w:pPr>
        <w:pStyle w:val="ListParagraph"/>
        <w:numPr>
          <w:ilvl w:val="0"/>
          <w:numId w:val="8"/>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Login process</w:t>
      </w:r>
    </w:p>
    <w:p w14:paraId="56824046" w14:textId="77777777" w:rsidR="00E32E02" w:rsidRPr="008075EF" w:rsidRDefault="00E32E02" w:rsidP="00E32E02">
      <w:pPr>
        <w:pStyle w:val="ListParagraph"/>
        <w:numPr>
          <w:ilvl w:val="0"/>
          <w:numId w:val="8"/>
        </w:num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Chat logs.</w:t>
      </w:r>
    </w:p>
    <w:p w14:paraId="5DE8AF3F" w14:textId="77777777" w:rsidR="00E32E02" w:rsidRPr="008075EF" w:rsidRDefault="00E32E02" w:rsidP="00E32E02">
      <w:pPr>
        <w:spacing w:after="0" w:line="240" w:lineRule="auto"/>
        <w:jc w:val="both"/>
        <w:rPr>
          <w:rFonts w:ascii="Times New Roman" w:hAnsi="Times New Roman" w:cs="Times New Roman"/>
          <w:sz w:val="24"/>
          <w:szCs w:val="24"/>
        </w:rPr>
      </w:pPr>
    </w:p>
    <w:p w14:paraId="4297DA5B" w14:textId="77777777" w:rsidR="00E32E02" w:rsidRPr="008075EF" w:rsidRDefault="00E32E02" w:rsidP="00E32E02">
      <w:pPr>
        <w:spacing w:after="0" w:line="240" w:lineRule="auto"/>
        <w:jc w:val="both"/>
        <w:rPr>
          <w:rFonts w:ascii="Times New Roman" w:hAnsi="Times New Roman" w:cs="Times New Roman"/>
          <w:sz w:val="24"/>
          <w:szCs w:val="24"/>
        </w:rPr>
      </w:pPr>
      <w:r w:rsidRPr="008075EF">
        <w:rPr>
          <w:rFonts w:ascii="Times New Roman" w:hAnsi="Times New Roman" w:cs="Times New Roman"/>
          <w:sz w:val="24"/>
          <w:szCs w:val="24"/>
        </w:rPr>
        <w:t>To ensure that IM software is acceptably secure, it is essential to protect all critical assets by establishing a security goal for each one.</w:t>
      </w:r>
    </w:p>
    <w:p w14:paraId="56A0A010" w14:textId="77777777" w:rsidR="00E32E02" w:rsidRPr="008075EF" w:rsidRDefault="00E32E02" w:rsidP="00E32E02">
      <w:pPr>
        <w:spacing w:after="0" w:line="240" w:lineRule="auto"/>
        <w:jc w:val="both"/>
        <w:rPr>
          <w:rFonts w:ascii="Times New Roman" w:hAnsi="Times New Roman" w:cs="Times New Roman"/>
          <w:sz w:val="24"/>
          <w:szCs w:val="24"/>
        </w:rPr>
      </w:pPr>
    </w:p>
    <w:p w14:paraId="585772B4" w14:textId="7801B7D0" w:rsidR="00204EC0" w:rsidRPr="001E6118" w:rsidRDefault="00E32E02" w:rsidP="001E6118">
      <w:pPr>
        <w:spacing w:after="0" w:line="240" w:lineRule="auto"/>
        <w:jc w:val="both"/>
        <w:rPr>
          <w:rFonts w:ascii="Times New Roman" w:hAnsi="Times New Roman" w:cs="Times New Roman"/>
          <w:i/>
          <w:iCs/>
          <w:sz w:val="24"/>
          <w:szCs w:val="24"/>
        </w:rPr>
      </w:pPr>
      <w:r w:rsidRPr="008075EF">
        <w:rPr>
          <w:rFonts w:ascii="Times New Roman" w:hAnsi="Times New Roman" w:cs="Times New Roman"/>
          <w:i/>
          <w:iCs/>
          <w:sz w:val="24"/>
          <w:szCs w:val="24"/>
        </w:rPr>
        <w:t>@End_Domain_Information</w:t>
      </w:r>
    </w:p>
    <w:sectPr w:rsidR="00204EC0" w:rsidRPr="001E6118" w:rsidSect="00E32E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9488D"/>
    <w:multiLevelType w:val="hybridMultilevel"/>
    <w:tmpl w:val="2B0CEF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1507016"/>
    <w:multiLevelType w:val="hybridMultilevel"/>
    <w:tmpl w:val="8E00F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245A3881"/>
    <w:multiLevelType w:val="hybridMultilevel"/>
    <w:tmpl w:val="FC3C4BC8"/>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A6F29A7"/>
    <w:multiLevelType w:val="hybridMultilevel"/>
    <w:tmpl w:val="E2B85B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C6B4805"/>
    <w:multiLevelType w:val="hybridMultilevel"/>
    <w:tmpl w:val="665C6B4A"/>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D46841"/>
    <w:multiLevelType w:val="hybridMultilevel"/>
    <w:tmpl w:val="C50032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8FB112B"/>
    <w:multiLevelType w:val="hybridMultilevel"/>
    <w:tmpl w:val="A838DA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F9F3A94"/>
    <w:multiLevelType w:val="hybridMultilevel"/>
    <w:tmpl w:val="F4502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78961479">
    <w:abstractNumId w:val="3"/>
  </w:num>
  <w:num w:numId="2" w16cid:durableId="1365059372">
    <w:abstractNumId w:val="0"/>
  </w:num>
  <w:num w:numId="3" w16cid:durableId="873806992">
    <w:abstractNumId w:val="4"/>
  </w:num>
  <w:num w:numId="4" w16cid:durableId="44567133">
    <w:abstractNumId w:val="6"/>
  </w:num>
  <w:num w:numId="5" w16cid:durableId="1358193666">
    <w:abstractNumId w:val="7"/>
  </w:num>
  <w:num w:numId="6" w16cid:durableId="1222525009">
    <w:abstractNumId w:val="2"/>
  </w:num>
  <w:num w:numId="7" w16cid:durableId="968052197">
    <w:abstractNumId w:val="1"/>
  </w:num>
  <w:num w:numId="8" w16cid:durableId="14509755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E02"/>
    <w:rsid w:val="000A3657"/>
    <w:rsid w:val="001E6118"/>
    <w:rsid w:val="00204EC0"/>
    <w:rsid w:val="00286D6D"/>
    <w:rsid w:val="002A769E"/>
    <w:rsid w:val="003D75A0"/>
    <w:rsid w:val="005344FB"/>
    <w:rsid w:val="0070250C"/>
    <w:rsid w:val="008075EF"/>
    <w:rsid w:val="00891E8A"/>
    <w:rsid w:val="009E39C6"/>
    <w:rsid w:val="00BB4849"/>
    <w:rsid w:val="00DF1975"/>
    <w:rsid w:val="00E32E02"/>
    <w:rsid w:val="00F52D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348CB"/>
  <w15:chartTrackingRefBased/>
  <w15:docId w15:val="{FC21E7EE-CD7B-4AEC-BEE6-163D1F2C3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E02"/>
  </w:style>
  <w:style w:type="paragraph" w:styleId="Heading1">
    <w:name w:val="heading 1"/>
    <w:basedOn w:val="Normal"/>
    <w:next w:val="Normal"/>
    <w:link w:val="Heading1Char"/>
    <w:uiPriority w:val="9"/>
    <w:qFormat/>
    <w:rsid w:val="00E32E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32E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32E0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32E0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32E0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32E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2E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2E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2E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2E0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32E0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32E0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32E0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32E0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32E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2E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2E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2E02"/>
    <w:rPr>
      <w:rFonts w:eastAsiaTheme="majorEastAsia" w:cstheme="majorBidi"/>
      <w:color w:val="272727" w:themeColor="text1" w:themeTint="D8"/>
    </w:rPr>
  </w:style>
  <w:style w:type="paragraph" w:styleId="Title">
    <w:name w:val="Title"/>
    <w:basedOn w:val="Normal"/>
    <w:next w:val="Normal"/>
    <w:link w:val="TitleChar"/>
    <w:uiPriority w:val="10"/>
    <w:qFormat/>
    <w:rsid w:val="00E32E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2E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2E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2E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2E02"/>
    <w:pPr>
      <w:spacing w:before="160"/>
      <w:jc w:val="center"/>
    </w:pPr>
    <w:rPr>
      <w:i/>
      <w:iCs/>
      <w:color w:val="404040" w:themeColor="text1" w:themeTint="BF"/>
    </w:rPr>
  </w:style>
  <w:style w:type="character" w:customStyle="1" w:styleId="QuoteChar">
    <w:name w:val="Quote Char"/>
    <w:basedOn w:val="DefaultParagraphFont"/>
    <w:link w:val="Quote"/>
    <w:uiPriority w:val="29"/>
    <w:rsid w:val="00E32E02"/>
    <w:rPr>
      <w:i/>
      <w:iCs/>
      <w:color w:val="404040" w:themeColor="text1" w:themeTint="BF"/>
    </w:rPr>
  </w:style>
  <w:style w:type="paragraph" w:styleId="ListParagraph">
    <w:name w:val="List Paragraph"/>
    <w:basedOn w:val="Normal"/>
    <w:uiPriority w:val="34"/>
    <w:qFormat/>
    <w:rsid w:val="00E32E02"/>
    <w:pPr>
      <w:ind w:left="720"/>
      <w:contextualSpacing/>
    </w:pPr>
  </w:style>
  <w:style w:type="character" w:styleId="IntenseEmphasis">
    <w:name w:val="Intense Emphasis"/>
    <w:basedOn w:val="DefaultParagraphFont"/>
    <w:uiPriority w:val="21"/>
    <w:qFormat/>
    <w:rsid w:val="00E32E02"/>
    <w:rPr>
      <w:i/>
      <w:iCs/>
      <w:color w:val="2F5496" w:themeColor="accent1" w:themeShade="BF"/>
    </w:rPr>
  </w:style>
  <w:style w:type="paragraph" w:styleId="IntenseQuote">
    <w:name w:val="Intense Quote"/>
    <w:basedOn w:val="Normal"/>
    <w:next w:val="Normal"/>
    <w:link w:val="IntenseQuoteChar"/>
    <w:uiPriority w:val="30"/>
    <w:qFormat/>
    <w:rsid w:val="00E32E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32E02"/>
    <w:rPr>
      <w:i/>
      <w:iCs/>
      <w:color w:val="2F5496" w:themeColor="accent1" w:themeShade="BF"/>
    </w:rPr>
  </w:style>
  <w:style w:type="character" w:styleId="IntenseReference">
    <w:name w:val="Intense Reference"/>
    <w:basedOn w:val="DefaultParagraphFont"/>
    <w:uiPriority w:val="32"/>
    <w:qFormat/>
    <w:rsid w:val="00E32E0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2717</Words>
  <Characters>15490</Characters>
  <Application>Microsoft Office Word</Application>
  <DocSecurity>0</DocSecurity>
  <Lines>129</Lines>
  <Paragraphs>36</Paragraphs>
  <ScaleCrop>false</ScaleCrop>
  <Company/>
  <LinksUpToDate>false</LinksUpToDate>
  <CharactersWithSpaces>18171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11</cp:revision>
  <dcterms:created xsi:type="dcterms:W3CDTF">2024-05-22T17:58:00Z</dcterms:created>
  <dcterms:modified xsi:type="dcterms:W3CDTF">2024-08-07T03:13:00Z</dcterms:modified>
</cp:coreProperties>
</file>