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lastRenderedPageBreak/>
        <w:t>In questo contesto, il racconto della Torre di Babele potrebbe essere interpretato come un ricordo 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P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3846A028" w14:textId="77777777"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lastRenderedPageBreak/>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xml:space="preserve">: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w:t>
      </w:r>
      <w:r w:rsidRPr="009A2466">
        <w:lastRenderedPageBreak/>
        <w:t>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l'Europa e il Mediterraneo. Questa nuova prospettiva potrebbe portare a una revisione significativa 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lastRenderedPageBreak/>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[Inserire qui le fonti bibliografiche rilevanti, incluse le ricerche archeologiche sulla Sardegna 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2"/>
  </w:num>
  <w:num w:numId="3" w16cid:durableId="1499693006">
    <w:abstractNumId w:val="1"/>
  </w:num>
  <w:num w:numId="4" w16cid:durableId="2098599212">
    <w:abstractNumId w:val="4"/>
  </w:num>
  <w:num w:numId="5" w16cid:durableId="900404573">
    <w:abstractNumId w:val="5"/>
  </w:num>
  <w:num w:numId="6" w16cid:durableId="1970014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273DCD"/>
    <w:rsid w:val="00375ABE"/>
    <w:rsid w:val="003C6DBD"/>
    <w:rsid w:val="004716BB"/>
    <w:rsid w:val="004C555F"/>
    <w:rsid w:val="004F0D0C"/>
    <w:rsid w:val="00536044"/>
    <w:rsid w:val="00593186"/>
    <w:rsid w:val="006F3A66"/>
    <w:rsid w:val="0072248A"/>
    <w:rsid w:val="00772DC2"/>
    <w:rsid w:val="00783DEC"/>
    <w:rsid w:val="008F7195"/>
    <w:rsid w:val="009042CC"/>
    <w:rsid w:val="009A2466"/>
    <w:rsid w:val="00AC060A"/>
    <w:rsid w:val="00AE7697"/>
    <w:rsid w:val="00B15D5B"/>
    <w:rsid w:val="00BA28FE"/>
    <w:rsid w:val="00BE0D2B"/>
    <w:rsid w:val="00C0336D"/>
    <w:rsid w:val="00C94660"/>
    <w:rsid w:val="00CF0107"/>
    <w:rsid w:val="00D546B6"/>
    <w:rsid w:val="00D569A6"/>
    <w:rsid w:val="00D93998"/>
    <w:rsid w:val="00DC0C1D"/>
    <w:rsid w:val="00E33F6A"/>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1416</Words>
  <Characters>8074</Characters>
  <Application>Microsoft Office Word</Application>
  <DocSecurity>0</DocSecurity>
  <Lines>67</Lines>
  <Paragraphs>18</Paragraphs>
  <ScaleCrop>false</ScaleCrop>
  <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24</cp:revision>
  <dcterms:created xsi:type="dcterms:W3CDTF">2024-09-02T23:05:00Z</dcterms:created>
  <dcterms:modified xsi:type="dcterms:W3CDTF">2024-09-03T15:45:00Z</dcterms:modified>
</cp:coreProperties>
</file>