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395" w:rsidRPr="00B16BE8" w:rsidRDefault="00383395" w:rsidP="00383395">
      <w:pPr>
        <w:spacing w:line="360" w:lineRule="auto"/>
        <w:ind w:right="-46"/>
        <w:jc w:val="both"/>
        <w:rPr>
          <w:rFonts w:eastAsia="Calibri" w:cs="Arial"/>
          <w:b/>
          <w:iCs/>
          <w:sz w:val="22"/>
          <w:szCs w:val="22"/>
          <w:lang w:val="en-GB"/>
        </w:rPr>
      </w:pPr>
      <w:r w:rsidRPr="00B16BE8">
        <w:rPr>
          <w:rFonts w:eastAsia="Calibri" w:cs="Arial"/>
          <w:b/>
          <w:iCs/>
          <w:sz w:val="22"/>
          <w:szCs w:val="22"/>
          <w:lang w:val="en-GB"/>
        </w:rPr>
        <w:t xml:space="preserve">Table </w:t>
      </w:r>
      <w:r w:rsidRPr="00B16BE8">
        <w:rPr>
          <w:rFonts w:eastAsia="Calibri" w:cs="Arial"/>
          <w:b/>
          <w:iCs/>
          <w:sz w:val="22"/>
          <w:szCs w:val="22"/>
          <w:lang w:val="en-GB"/>
        </w:rPr>
        <w:fldChar w:fldCharType="begin"/>
      </w:r>
      <w:r w:rsidRPr="00B16BE8">
        <w:rPr>
          <w:rFonts w:eastAsia="Calibri" w:cs="Arial"/>
          <w:b/>
          <w:iCs/>
          <w:sz w:val="22"/>
          <w:szCs w:val="22"/>
          <w:lang w:val="en-GB"/>
        </w:rPr>
        <w:instrText xml:space="preserve"> SEQ Table \* ARABIC </w:instrText>
      </w:r>
      <w:r w:rsidRPr="00B16BE8">
        <w:rPr>
          <w:rFonts w:eastAsia="Calibri" w:cs="Arial"/>
          <w:b/>
          <w:iCs/>
          <w:sz w:val="22"/>
          <w:szCs w:val="22"/>
          <w:lang w:val="en-GB"/>
        </w:rPr>
        <w:fldChar w:fldCharType="separate"/>
      </w:r>
      <w:r w:rsidRPr="00B16BE8">
        <w:rPr>
          <w:rFonts w:eastAsia="Calibri" w:cs="Arial"/>
          <w:b/>
          <w:iCs/>
          <w:noProof/>
          <w:sz w:val="22"/>
          <w:szCs w:val="22"/>
          <w:lang w:val="en-GB"/>
        </w:rPr>
        <w:t>1</w:t>
      </w:r>
      <w:r w:rsidRPr="00B16BE8">
        <w:rPr>
          <w:rFonts w:eastAsia="Calibri" w:cs="Arial"/>
          <w:sz w:val="22"/>
          <w:szCs w:val="22"/>
        </w:rPr>
        <w:fldChar w:fldCharType="end"/>
      </w:r>
      <w:r w:rsidRPr="00B16BE8">
        <w:rPr>
          <w:rFonts w:eastAsia="Calibri" w:cs="Arial"/>
          <w:b/>
          <w:iCs/>
          <w:sz w:val="22"/>
          <w:szCs w:val="22"/>
          <w:lang w:val="en-GB"/>
        </w:rPr>
        <w:t>.1 Research design and methodology</w:t>
      </w:r>
    </w:p>
    <w:tbl>
      <w:tblPr>
        <w:tblStyle w:val="LightList1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281"/>
      </w:tblGrid>
      <w:tr w:rsidR="00383395" w:rsidRPr="00B16BE8" w:rsidTr="007D50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rsidR="00383395" w:rsidRPr="00B16BE8" w:rsidRDefault="00383395" w:rsidP="007D5089">
            <w:pPr>
              <w:spacing w:line="360" w:lineRule="auto"/>
              <w:ind w:right="-46"/>
              <w:jc w:val="both"/>
              <w:rPr>
                <w:rFonts w:eastAsia="Calibri" w:cs="Arial"/>
                <w:color w:val="auto"/>
                <w:sz w:val="22"/>
                <w:szCs w:val="22"/>
                <w:lang w:val="en-GB"/>
              </w:rPr>
            </w:pPr>
            <w:r w:rsidRPr="00B16BE8">
              <w:rPr>
                <w:rFonts w:eastAsia="Calibri" w:cs="Arial"/>
                <w:color w:val="auto"/>
                <w:sz w:val="22"/>
                <w:szCs w:val="22"/>
                <w:lang w:val="en-GB"/>
              </w:rPr>
              <w:t>Aspect</w:t>
            </w:r>
          </w:p>
        </w:tc>
        <w:tc>
          <w:tcPr>
            <w:tcW w:w="7371" w:type="dxa"/>
            <w:shd w:val="clear" w:color="auto" w:fill="auto"/>
          </w:tcPr>
          <w:p w:rsidR="00383395" w:rsidRPr="00B16BE8" w:rsidRDefault="00383395" w:rsidP="007D5089">
            <w:pPr>
              <w:spacing w:line="360" w:lineRule="auto"/>
              <w:ind w:right="-46"/>
              <w:jc w:val="both"/>
              <w:cnfStyle w:val="100000000000" w:firstRow="1" w:lastRow="0" w:firstColumn="0" w:lastColumn="0" w:oddVBand="0" w:evenVBand="0" w:oddHBand="0" w:evenHBand="0" w:firstRowFirstColumn="0" w:firstRowLastColumn="0" w:lastRowFirstColumn="0" w:lastRowLastColumn="0"/>
              <w:rPr>
                <w:rFonts w:eastAsia="Calibri" w:cs="Arial"/>
                <w:color w:val="auto"/>
                <w:sz w:val="22"/>
                <w:szCs w:val="22"/>
                <w:lang w:val="en-GB"/>
              </w:rPr>
            </w:pPr>
            <w:r w:rsidRPr="00B16BE8">
              <w:rPr>
                <w:rFonts w:eastAsia="Calibri" w:cs="Arial"/>
                <w:color w:val="auto"/>
                <w:sz w:val="22"/>
                <w:szCs w:val="22"/>
                <w:lang w:val="en-GB"/>
              </w:rPr>
              <w:t>Description</w:t>
            </w:r>
          </w:p>
        </w:tc>
      </w:tr>
      <w:tr w:rsidR="00383395" w:rsidRPr="00B16BE8" w:rsidTr="007D5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Research design</w:t>
            </w:r>
          </w:p>
        </w:tc>
        <w:tc>
          <w:tcPr>
            <w:tcW w:w="7371" w:type="dxa"/>
          </w:tcPr>
          <w:p w:rsidR="00383395" w:rsidRPr="00B16BE8" w:rsidRDefault="00383395" w:rsidP="007D5089">
            <w:pPr>
              <w:spacing w:line="360" w:lineRule="auto"/>
              <w:ind w:right="-46"/>
              <w:cnfStyle w:val="000000100000" w:firstRow="0" w:lastRow="0" w:firstColumn="0" w:lastColumn="0" w:oddVBand="0" w:evenVBand="0" w:oddHBand="1" w:evenHBand="0" w:firstRowFirstColumn="0" w:firstRowLastColumn="0" w:lastRowFirstColumn="0" w:lastRowLastColumn="0"/>
              <w:rPr>
                <w:rFonts w:eastAsia="Calibri" w:cs="Arial"/>
                <w:i/>
                <w:sz w:val="22"/>
                <w:szCs w:val="22"/>
                <w:lang w:val="en-GB"/>
              </w:rPr>
            </w:pPr>
            <w:r w:rsidRPr="00B16BE8">
              <w:rPr>
                <w:rFonts w:eastAsia="Calibri" w:cs="Arial"/>
                <w:sz w:val="22"/>
                <w:szCs w:val="22"/>
                <w:lang w:val="en-GB"/>
              </w:rPr>
              <w:t>The study utilized an exploratory research design to explore the challenges faced by midwives in a standard labour ward at a selected public hospital and make recommendations to overcome the challenges (see Chapter 3.2.1).</w:t>
            </w:r>
          </w:p>
          <w:p w:rsidR="00383395" w:rsidRPr="00B16BE8" w:rsidRDefault="00383395" w:rsidP="007D5089">
            <w:pPr>
              <w:spacing w:line="360" w:lineRule="auto"/>
              <w:ind w:right="-46"/>
              <w:cnfStyle w:val="000000100000" w:firstRow="0" w:lastRow="0" w:firstColumn="0" w:lastColumn="0" w:oddVBand="0" w:evenVBand="0" w:oddHBand="1" w:evenHBand="0" w:firstRowFirstColumn="0" w:firstRowLastColumn="0" w:lastRowFirstColumn="0" w:lastRowLastColumn="0"/>
              <w:rPr>
                <w:rFonts w:eastAsia="Calibri" w:cs="Arial"/>
                <w:i/>
                <w:sz w:val="22"/>
                <w:szCs w:val="22"/>
                <w:lang w:val="en-GB"/>
              </w:rPr>
            </w:pPr>
            <w:r w:rsidRPr="00B16BE8">
              <w:rPr>
                <w:rFonts w:eastAsia="Calibri" w:cs="Arial"/>
                <w:sz w:val="22"/>
                <w:szCs w:val="22"/>
                <w:lang w:val="en-GB"/>
              </w:rPr>
              <w:t>The researcher used a descriptive research approach to give a thorough account of the challenges midwives experience when caring for mechanically ventilated women in a labour ward of a public tertiary hospital (see Chapter 3.2.2).</w:t>
            </w:r>
          </w:p>
        </w:tc>
      </w:tr>
      <w:tr w:rsidR="00383395" w:rsidRPr="00B16BE8" w:rsidTr="007D5089">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Context</w:t>
            </w:r>
          </w:p>
        </w:tc>
        <w:tc>
          <w:tcPr>
            <w:tcW w:w="7371" w:type="dxa"/>
          </w:tcPr>
          <w:p w:rsidR="00383395" w:rsidRPr="00B16BE8" w:rsidRDefault="00383395" w:rsidP="007D5089">
            <w:p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One maternity/labour ward in a selected public provincial tertiary hospital in Ekurhuleni, Gauteng (see Chapter 3.3.3)</w:t>
            </w:r>
          </w:p>
        </w:tc>
      </w:tr>
      <w:tr w:rsidR="00383395" w:rsidRPr="00B16BE8" w:rsidTr="007D5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Population</w:t>
            </w:r>
          </w:p>
        </w:tc>
        <w:tc>
          <w:tcPr>
            <w:tcW w:w="7371" w:type="dxa"/>
          </w:tcPr>
          <w:p w:rsidR="00383395" w:rsidRPr="00B16BE8" w:rsidRDefault="00383395" w:rsidP="007D5089">
            <w:pPr>
              <w:spacing w:line="360" w:lineRule="auto"/>
              <w:ind w:right="-46"/>
              <w:cnfStyle w:val="000000100000" w:firstRow="0" w:lastRow="0" w:firstColumn="0" w:lastColumn="0" w:oddVBand="0" w:evenVBand="0" w:oddHBand="1"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Midwives working in the maternity unit of a selected public hospital in Ekurhuleni (see Chapter 3.4)</w:t>
            </w:r>
            <w:r w:rsidRPr="00B16BE8">
              <w:rPr>
                <w:rFonts w:eastAsia="Calibri" w:cs="Arial"/>
                <w:i/>
                <w:sz w:val="22"/>
                <w:szCs w:val="22"/>
                <w:lang w:val="en-GB"/>
              </w:rPr>
              <w:t xml:space="preserve"> </w:t>
            </w:r>
          </w:p>
        </w:tc>
      </w:tr>
      <w:tr w:rsidR="00383395" w:rsidRPr="00B16BE8" w:rsidTr="007D5089">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Sampling</w:t>
            </w:r>
          </w:p>
        </w:tc>
        <w:tc>
          <w:tcPr>
            <w:tcW w:w="7371" w:type="dxa"/>
          </w:tcPr>
          <w:p w:rsidR="00383395" w:rsidRPr="00B16BE8" w:rsidRDefault="00383395" w:rsidP="007D5089">
            <w:pPr>
              <w:numPr>
                <w:ilvl w:val="0"/>
                <w:numId w:val="1"/>
              </w:num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Non-probability purposive sampling</w:t>
            </w:r>
          </w:p>
          <w:p w:rsidR="00383395" w:rsidRPr="00B16BE8" w:rsidRDefault="00383395" w:rsidP="007D5089">
            <w:pPr>
              <w:numPr>
                <w:ilvl w:val="0"/>
                <w:numId w:val="1"/>
              </w:num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Participants were midwives working in the maternity unit of the selected hospital with at least two years’ experience, had nursed one or two ventilated women and encountered challenges in nursing critically ill ventilated women.</w:t>
            </w:r>
          </w:p>
          <w:p w:rsidR="00383395" w:rsidRPr="00B16BE8" w:rsidRDefault="00383395" w:rsidP="007D5089">
            <w:pPr>
              <w:numPr>
                <w:ilvl w:val="0"/>
                <w:numId w:val="1"/>
              </w:num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The sample consisted of 13 midwives.</w:t>
            </w:r>
          </w:p>
          <w:p w:rsidR="00383395" w:rsidRPr="00B16BE8" w:rsidRDefault="00383395" w:rsidP="007D5089">
            <w:pPr>
              <w:numPr>
                <w:ilvl w:val="0"/>
                <w:numId w:val="1"/>
              </w:num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Data saturation was reached after 8 interviews (see Chapter 3.5)</w:t>
            </w:r>
          </w:p>
        </w:tc>
      </w:tr>
      <w:tr w:rsidR="00383395" w:rsidRPr="00B16BE8" w:rsidTr="007D5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Data collection</w:t>
            </w:r>
          </w:p>
        </w:tc>
        <w:tc>
          <w:tcPr>
            <w:tcW w:w="7371" w:type="dxa"/>
          </w:tcPr>
          <w:p w:rsidR="00383395" w:rsidRPr="00B16BE8" w:rsidRDefault="00383395" w:rsidP="007D5089">
            <w:pPr>
              <w:spacing w:line="360" w:lineRule="auto"/>
              <w:ind w:right="-46"/>
              <w:jc w:val="both"/>
              <w:cnfStyle w:val="000000100000" w:firstRow="0" w:lastRow="0" w:firstColumn="0" w:lastColumn="0" w:oddVBand="0" w:evenVBand="0" w:oddHBand="1"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One-on-one interviews (see Chapter 3.6)</w:t>
            </w:r>
          </w:p>
        </w:tc>
      </w:tr>
      <w:tr w:rsidR="00383395" w:rsidRPr="00B16BE8" w:rsidTr="007D5089">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Data analysis</w:t>
            </w:r>
          </w:p>
        </w:tc>
        <w:tc>
          <w:tcPr>
            <w:tcW w:w="7371" w:type="dxa"/>
          </w:tcPr>
          <w:p w:rsidR="00383395" w:rsidRPr="00B16BE8" w:rsidRDefault="00383395" w:rsidP="007D5089">
            <w:pPr>
              <w:spacing w:line="360" w:lineRule="auto"/>
              <w:ind w:right="-46"/>
              <w:jc w:val="both"/>
              <w:cnfStyle w:val="000000000000" w:firstRow="0" w:lastRow="0" w:firstColumn="0" w:lastColumn="0" w:oddVBand="0" w:evenVBand="0" w:oddHBand="0"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A qualitative content analysis approach was used (see Chapter 3.8)</w:t>
            </w:r>
          </w:p>
        </w:tc>
      </w:tr>
      <w:tr w:rsidR="00383395" w:rsidRPr="00B16BE8" w:rsidTr="007D5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383395" w:rsidRPr="00B16BE8" w:rsidRDefault="00383395" w:rsidP="007D5089">
            <w:pPr>
              <w:spacing w:line="360" w:lineRule="auto"/>
              <w:ind w:right="-46"/>
              <w:jc w:val="both"/>
              <w:rPr>
                <w:rFonts w:eastAsia="Calibri" w:cs="Arial"/>
                <w:sz w:val="22"/>
                <w:szCs w:val="22"/>
                <w:lang w:val="en-GB"/>
              </w:rPr>
            </w:pPr>
            <w:r w:rsidRPr="00B16BE8">
              <w:rPr>
                <w:rFonts w:eastAsia="Calibri" w:cs="Arial"/>
                <w:sz w:val="22"/>
                <w:szCs w:val="22"/>
                <w:lang w:val="en-GB"/>
              </w:rPr>
              <w:t>Trustworthiness</w:t>
            </w:r>
          </w:p>
        </w:tc>
        <w:tc>
          <w:tcPr>
            <w:tcW w:w="7371" w:type="dxa"/>
          </w:tcPr>
          <w:p w:rsidR="00383395" w:rsidRPr="00B16BE8" w:rsidRDefault="00383395" w:rsidP="007D5089">
            <w:pPr>
              <w:spacing w:line="360" w:lineRule="auto"/>
              <w:ind w:right="-46"/>
              <w:cnfStyle w:val="000000100000" w:firstRow="0" w:lastRow="0" w:firstColumn="0" w:lastColumn="0" w:oddVBand="0" w:evenVBand="0" w:oddHBand="1" w:evenHBand="0" w:firstRowFirstColumn="0" w:firstRowLastColumn="0" w:lastRowFirstColumn="0" w:lastRowLastColumn="0"/>
              <w:rPr>
                <w:rFonts w:eastAsia="Calibri" w:cs="Arial"/>
                <w:sz w:val="22"/>
                <w:szCs w:val="22"/>
                <w:lang w:val="en-GB"/>
              </w:rPr>
            </w:pPr>
            <w:r w:rsidRPr="00B16BE8">
              <w:rPr>
                <w:rFonts w:eastAsia="Calibri" w:cs="Arial"/>
                <w:sz w:val="22"/>
                <w:szCs w:val="22"/>
                <w:lang w:val="en-GB"/>
              </w:rPr>
              <w:t>Strategies to enhance trustworthiness included: credibility, dependability, confirmability, transferability and authenticity (see Chapter 3.9)</w:t>
            </w:r>
          </w:p>
        </w:tc>
      </w:tr>
    </w:tbl>
    <w:p w:rsidR="0038133F" w:rsidRDefault="0038133F"/>
    <w:p w:rsidR="00383395" w:rsidRDefault="00383395">
      <w:bookmarkStart w:id="0" w:name="_GoBack"/>
      <w:bookmarkEnd w:id="0"/>
    </w:p>
    <w:sectPr w:rsidR="003833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B82BF7"/>
    <w:multiLevelType w:val="hybridMultilevel"/>
    <w:tmpl w:val="967CA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395"/>
    <w:rsid w:val="0038133F"/>
    <w:rsid w:val="003833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FD676C-EBA7-42DF-8FF5-9E2C27151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395"/>
    <w:rPr>
      <w:rFonts w:ascii="Arial" w:eastAsia="Times New Roman" w:hAnsi="Arial"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11">
    <w:name w:val="Light List11"/>
    <w:basedOn w:val="TableNormal"/>
    <w:next w:val="LightList"/>
    <w:uiPriority w:val="61"/>
    <w:rsid w:val="00383395"/>
    <w:pPr>
      <w:spacing w:after="0" w:line="240" w:lineRule="auto"/>
    </w:pPr>
    <w:rPr>
      <w:kern w:val="0"/>
      <w14:ligatures w14:val="non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
    <w:name w:val="Light List"/>
    <w:basedOn w:val="TableNormal"/>
    <w:uiPriority w:val="61"/>
    <w:semiHidden/>
    <w:unhideWhenUsed/>
    <w:rsid w:val="003833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2024-06-20T21:29:00Z</dcterms:created>
  <dcterms:modified xsi:type="dcterms:W3CDTF">2024-06-20T21:31:00Z</dcterms:modified>
</cp:coreProperties>
</file>