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F6AA9" w14:textId="77777777" w:rsidR="006200A5" w:rsidRPr="00AC2720" w:rsidRDefault="00434EF3" w:rsidP="00DD0858">
      <w:pPr>
        <w:spacing w:before="160" w:line="240" w:lineRule="auto"/>
        <w:jc w:val="center"/>
        <w:rPr>
          <w:rFonts w:asciiTheme="minorHAnsi" w:hAnsiTheme="minorHAnsi" w:cstheme="minorHAnsi"/>
          <w:b/>
          <w:bCs/>
          <w:lang w:val="en-US"/>
        </w:rPr>
      </w:pPr>
      <w:r w:rsidRPr="00AC2720">
        <w:rPr>
          <w:rFonts w:asciiTheme="minorHAnsi" w:hAnsiTheme="minorHAnsi" w:cstheme="minorHAnsi"/>
          <w:b/>
          <w:bCs/>
          <w:lang w:val="en-US"/>
        </w:rPr>
        <w:t>D</w:t>
      </w:r>
      <w:r w:rsidR="008D0DDA" w:rsidRPr="00AC2720">
        <w:rPr>
          <w:rFonts w:asciiTheme="minorHAnsi" w:hAnsiTheme="minorHAnsi" w:cstheme="minorHAnsi"/>
          <w:b/>
          <w:bCs/>
          <w:lang w:val="en-US"/>
        </w:rPr>
        <w:t>O</w:t>
      </w:r>
      <w:r w:rsidR="00412B9F" w:rsidRPr="00AC2720">
        <w:rPr>
          <w:rFonts w:asciiTheme="minorHAnsi" w:hAnsiTheme="minorHAnsi" w:cstheme="minorHAnsi"/>
          <w:b/>
          <w:bCs/>
          <w:lang w:val="en-US"/>
        </w:rPr>
        <w:t xml:space="preserve"> </w:t>
      </w:r>
      <w:r w:rsidR="008D0DDA" w:rsidRPr="00AC2720">
        <w:rPr>
          <w:rFonts w:asciiTheme="minorHAnsi" w:hAnsiTheme="minorHAnsi" w:cstheme="minorHAnsi"/>
          <w:b/>
          <w:bCs/>
          <w:lang w:val="en-US"/>
        </w:rPr>
        <w:t>PERCE</w:t>
      </w:r>
      <w:r w:rsidR="008A50F4" w:rsidRPr="00AC2720">
        <w:rPr>
          <w:rFonts w:asciiTheme="minorHAnsi" w:hAnsiTheme="minorHAnsi" w:cstheme="minorHAnsi"/>
          <w:b/>
          <w:bCs/>
          <w:lang w:val="en-US"/>
        </w:rPr>
        <w:t>I</w:t>
      </w:r>
      <w:r w:rsidR="008D0DDA" w:rsidRPr="00AC2720">
        <w:rPr>
          <w:rFonts w:asciiTheme="minorHAnsi" w:hAnsiTheme="minorHAnsi" w:cstheme="minorHAnsi"/>
          <w:b/>
          <w:bCs/>
          <w:lang w:val="en-US"/>
        </w:rPr>
        <w:t>VED</w:t>
      </w:r>
      <w:r w:rsidR="00412B9F" w:rsidRPr="00AC2720">
        <w:rPr>
          <w:rFonts w:asciiTheme="minorHAnsi" w:hAnsiTheme="minorHAnsi" w:cstheme="minorHAnsi"/>
          <w:b/>
          <w:bCs/>
          <w:lang w:val="en-US"/>
        </w:rPr>
        <w:t xml:space="preserve"> </w:t>
      </w:r>
      <w:r w:rsidR="008D0DDA" w:rsidRPr="00AC2720">
        <w:rPr>
          <w:rFonts w:asciiTheme="minorHAnsi" w:hAnsiTheme="minorHAnsi" w:cstheme="minorHAnsi"/>
          <w:b/>
          <w:bCs/>
          <w:lang w:val="en-US"/>
        </w:rPr>
        <w:t>SWITCHING</w:t>
      </w:r>
      <w:r w:rsidR="00412B9F" w:rsidRPr="00AC2720">
        <w:rPr>
          <w:rFonts w:asciiTheme="minorHAnsi" w:hAnsiTheme="minorHAnsi" w:cstheme="minorHAnsi"/>
          <w:b/>
          <w:bCs/>
          <w:lang w:val="en-US"/>
        </w:rPr>
        <w:t xml:space="preserve"> </w:t>
      </w:r>
      <w:r w:rsidR="008D0DDA" w:rsidRPr="00AC2720">
        <w:rPr>
          <w:rFonts w:asciiTheme="minorHAnsi" w:hAnsiTheme="minorHAnsi" w:cstheme="minorHAnsi"/>
          <w:b/>
          <w:bCs/>
          <w:lang w:val="en-US"/>
        </w:rPr>
        <w:t>COSTS</w:t>
      </w:r>
      <w:r w:rsidR="00412B9F" w:rsidRPr="00AC2720">
        <w:rPr>
          <w:rFonts w:asciiTheme="minorHAnsi" w:hAnsiTheme="minorHAnsi" w:cstheme="minorHAnsi"/>
          <w:b/>
          <w:bCs/>
          <w:lang w:val="en-US"/>
        </w:rPr>
        <w:t xml:space="preserve"> </w:t>
      </w:r>
      <w:r w:rsidR="008D0DDA" w:rsidRPr="00AC2720">
        <w:rPr>
          <w:rFonts w:asciiTheme="minorHAnsi" w:hAnsiTheme="minorHAnsi" w:cstheme="minorHAnsi"/>
          <w:b/>
          <w:bCs/>
          <w:lang w:val="en-US"/>
        </w:rPr>
        <w:t>INFLUENCE</w:t>
      </w:r>
      <w:r w:rsidRPr="00AC2720">
        <w:rPr>
          <w:rFonts w:asciiTheme="minorHAnsi" w:hAnsiTheme="minorHAnsi" w:cstheme="minorHAnsi"/>
          <w:b/>
          <w:bCs/>
          <w:lang w:val="en-US"/>
        </w:rPr>
        <w:t xml:space="preserve"> </w:t>
      </w:r>
      <w:r w:rsidR="008D0DDA" w:rsidRPr="00AC2720">
        <w:rPr>
          <w:rFonts w:asciiTheme="minorHAnsi" w:hAnsiTheme="minorHAnsi" w:cstheme="minorHAnsi"/>
          <w:b/>
          <w:bCs/>
          <w:lang w:val="en-US"/>
        </w:rPr>
        <w:t>CUSTOMER</w:t>
      </w:r>
      <w:r w:rsidR="00412B9F" w:rsidRPr="00AC2720">
        <w:rPr>
          <w:rFonts w:asciiTheme="minorHAnsi" w:hAnsiTheme="minorHAnsi" w:cstheme="minorHAnsi"/>
          <w:b/>
          <w:bCs/>
          <w:lang w:val="en-US"/>
        </w:rPr>
        <w:t xml:space="preserve"> </w:t>
      </w:r>
      <w:r w:rsidR="008D0DDA" w:rsidRPr="00AC2720">
        <w:rPr>
          <w:rFonts w:asciiTheme="minorHAnsi" w:hAnsiTheme="minorHAnsi" w:cstheme="minorHAnsi"/>
          <w:b/>
          <w:bCs/>
          <w:lang w:val="en-US"/>
        </w:rPr>
        <w:t>DYSFUNCTIONAL</w:t>
      </w:r>
      <w:r w:rsidR="00412B9F" w:rsidRPr="00AC2720">
        <w:rPr>
          <w:rFonts w:asciiTheme="minorHAnsi" w:hAnsiTheme="minorHAnsi" w:cstheme="minorHAnsi"/>
          <w:b/>
          <w:bCs/>
          <w:lang w:val="en-US"/>
        </w:rPr>
        <w:t xml:space="preserve"> </w:t>
      </w:r>
      <w:r w:rsidR="008D0DDA" w:rsidRPr="00AC2720">
        <w:rPr>
          <w:rFonts w:asciiTheme="minorHAnsi" w:hAnsiTheme="minorHAnsi" w:cstheme="minorHAnsi"/>
          <w:b/>
          <w:bCs/>
          <w:lang w:val="en-US"/>
        </w:rPr>
        <w:t>BEHAVIOR</w:t>
      </w:r>
      <w:r w:rsidR="00412B9F" w:rsidRPr="00AC2720">
        <w:rPr>
          <w:rFonts w:asciiTheme="minorHAnsi" w:hAnsiTheme="minorHAnsi" w:cstheme="minorHAnsi"/>
          <w:b/>
          <w:bCs/>
          <w:lang w:val="en-US"/>
        </w:rPr>
        <w:t>?</w:t>
      </w:r>
    </w:p>
    <w:p w14:paraId="17BB9430" w14:textId="77777777" w:rsidR="008935ED" w:rsidRPr="00AC2720" w:rsidRDefault="008935ED" w:rsidP="00DD0858">
      <w:pPr>
        <w:spacing w:before="160" w:line="240" w:lineRule="auto"/>
        <w:jc w:val="center"/>
        <w:rPr>
          <w:rFonts w:asciiTheme="minorHAnsi" w:hAnsiTheme="minorHAnsi" w:cstheme="minorHAnsi"/>
          <w:b/>
          <w:bCs/>
          <w:lang w:val="en-US"/>
        </w:rPr>
      </w:pPr>
    </w:p>
    <w:p w14:paraId="1230B129" w14:textId="451B250C" w:rsidR="008935ED" w:rsidRPr="00AC2720" w:rsidRDefault="00225ED8" w:rsidP="00DD0858">
      <w:pPr>
        <w:spacing w:before="160" w:line="240" w:lineRule="auto"/>
        <w:jc w:val="center"/>
        <w:rPr>
          <w:rFonts w:asciiTheme="minorHAnsi" w:hAnsiTheme="minorHAnsi" w:cstheme="minorHAnsi"/>
        </w:rPr>
      </w:pPr>
      <w:r w:rsidRPr="00AC2720">
        <w:rPr>
          <w:rFonts w:asciiTheme="minorHAnsi" w:hAnsiTheme="minorHAnsi" w:cstheme="minorHAnsi"/>
        </w:rPr>
        <w:t>Lucy</w:t>
      </w:r>
      <w:r w:rsidR="008935ED" w:rsidRPr="00AC2720">
        <w:rPr>
          <w:rFonts w:asciiTheme="minorHAnsi" w:hAnsiTheme="minorHAnsi" w:cstheme="minorHAnsi"/>
        </w:rPr>
        <w:t xml:space="preserve"> Lu</w:t>
      </w:r>
      <w:r w:rsidR="008935ED" w:rsidRPr="00AC2720">
        <w:rPr>
          <w:rFonts w:asciiTheme="minorHAnsi" w:hAnsiTheme="minorHAnsi" w:cstheme="minorHAnsi"/>
          <w:vertAlign w:val="superscript"/>
        </w:rPr>
        <w:t>a</w:t>
      </w:r>
      <w:r w:rsidR="008935ED" w:rsidRPr="00AC2720">
        <w:rPr>
          <w:rFonts w:asciiTheme="minorHAnsi" w:hAnsiTheme="minorHAnsi" w:cstheme="minorHAnsi"/>
        </w:rPr>
        <w:t xml:space="preserve"> and Markus </w:t>
      </w:r>
      <w:proofErr w:type="spellStart"/>
      <w:r w:rsidR="008935ED" w:rsidRPr="00AC2720">
        <w:rPr>
          <w:rFonts w:asciiTheme="minorHAnsi" w:hAnsiTheme="minorHAnsi" w:cstheme="minorHAnsi"/>
        </w:rPr>
        <w:t>Blut</w:t>
      </w:r>
      <w:r w:rsidR="008935ED" w:rsidRPr="00AC2720">
        <w:rPr>
          <w:rFonts w:asciiTheme="minorHAnsi" w:hAnsiTheme="minorHAnsi" w:cstheme="minorHAnsi"/>
          <w:vertAlign w:val="superscript"/>
        </w:rPr>
        <w:t>b</w:t>
      </w:r>
      <w:proofErr w:type="spellEnd"/>
      <w:r w:rsidR="008935ED" w:rsidRPr="00AC2720">
        <w:rPr>
          <w:rFonts w:asciiTheme="minorHAnsi" w:hAnsiTheme="minorHAnsi" w:cstheme="minorHAnsi"/>
        </w:rPr>
        <w:t xml:space="preserve"> </w:t>
      </w:r>
    </w:p>
    <w:p w14:paraId="71091C73" w14:textId="77777777" w:rsidR="00C21114" w:rsidRPr="00AC2720" w:rsidRDefault="00C21114" w:rsidP="00DD0858">
      <w:pPr>
        <w:spacing w:before="160" w:line="240" w:lineRule="auto"/>
        <w:jc w:val="center"/>
        <w:rPr>
          <w:rFonts w:asciiTheme="minorHAnsi" w:hAnsiTheme="minorHAnsi" w:cstheme="minorHAnsi"/>
          <w:vertAlign w:val="superscript"/>
        </w:rPr>
      </w:pPr>
    </w:p>
    <w:p w14:paraId="05956E94" w14:textId="77777777" w:rsidR="008935ED" w:rsidRPr="00AC2720" w:rsidRDefault="008935ED" w:rsidP="00DD0858">
      <w:pPr>
        <w:spacing w:before="160" w:line="240" w:lineRule="auto"/>
        <w:jc w:val="center"/>
        <w:rPr>
          <w:rFonts w:asciiTheme="minorHAnsi" w:hAnsiTheme="minorHAnsi" w:cstheme="minorHAnsi"/>
        </w:rPr>
      </w:pPr>
      <w:proofErr w:type="spellStart"/>
      <w:r w:rsidRPr="00AC2720">
        <w:rPr>
          <w:rFonts w:asciiTheme="minorHAnsi" w:hAnsiTheme="minorHAnsi" w:cstheme="minorHAnsi"/>
          <w:vertAlign w:val="superscript"/>
        </w:rPr>
        <w:t>a</w:t>
      </w:r>
      <w:r w:rsidRPr="00AC2720">
        <w:rPr>
          <w:rFonts w:asciiTheme="minorHAnsi" w:hAnsiTheme="minorHAnsi" w:cstheme="minorHAnsi"/>
        </w:rPr>
        <w:t>Cardiff</w:t>
      </w:r>
      <w:proofErr w:type="spellEnd"/>
      <w:r w:rsidRPr="00AC2720">
        <w:rPr>
          <w:rFonts w:asciiTheme="minorHAnsi" w:hAnsiTheme="minorHAnsi" w:cstheme="minorHAnsi"/>
        </w:rPr>
        <w:t xml:space="preserve"> Metropolitan University, UK, </w:t>
      </w:r>
      <w:hyperlink r:id="rId5" w:history="1">
        <w:r w:rsidRPr="00AC2720">
          <w:rPr>
            <w:rStyle w:val="Hyperlink"/>
            <w:rFonts w:asciiTheme="minorHAnsi" w:hAnsiTheme="minorHAnsi" w:cstheme="minorHAnsi"/>
          </w:rPr>
          <w:t>llu@cardiffmet.ac.uk</w:t>
        </w:r>
      </w:hyperlink>
    </w:p>
    <w:p w14:paraId="50BFCE8D" w14:textId="77777777" w:rsidR="008935ED" w:rsidRPr="00AC2720" w:rsidRDefault="008935ED" w:rsidP="00DD0858">
      <w:pPr>
        <w:spacing w:before="160" w:line="240" w:lineRule="auto"/>
        <w:jc w:val="center"/>
        <w:rPr>
          <w:rFonts w:asciiTheme="minorHAnsi" w:hAnsiTheme="minorHAnsi" w:cstheme="minorHAnsi"/>
        </w:rPr>
      </w:pPr>
      <w:proofErr w:type="spellStart"/>
      <w:r w:rsidRPr="00AC2720">
        <w:rPr>
          <w:rFonts w:asciiTheme="minorHAnsi" w:hAnsiTheme="minorHAnsi" w:cstheme="minorHAnsi"/>
          <w:vertAlign w:val="superscript"/>
        </w:rPr>
        <w:t>b</w:t>
      </w:r>
      <w:r w:rsidRPr="00AC2720">
        <w:rPr>
          <w:rFonts w:asciiTheme="minorHAnsi" w:hAnsiTheme="minorHAnsi" w:cstheme="minorHAnsi"/>
        </w:rPr>
        <w:t>Durham</w:t>
      </w:r>
      <w:proofErr w:type="spellEnd"/>
      <w:r w:rsidRPr="00AC2720">
        <w:rPr>
          <w:rFonts w:asciiTheme="minorHAnsi" w:hAnsiTheme="minorHAnsi" w:cstheme="minorHAnsi"/>
        </w:rPr>
        <w:t xml:space="preserve"> University, UK, </w:t>
      </w:r>
      <w:hyperlink r:id="rId6" w:history="1">
        <w:r w:rsidRPr="00AC2720">
          <w:rPr>
            <w:rStyle w:val="Hyperlink"/>
            <w:rFonts w:asciiTheme="minorHAnsi" w:hAnsiTheme="minorHAnsi" w:cstheme="minorHAnsi"/>
          </w:rPr>
          <w:t>markus.blut@durham.ac.uk</w:t>
        </w:r>
      </w:hyperlink>
    </w:p>
    <w:p w14:paraId="6963C632" w14:textId="77777777" w:rsidR="008935ED" w:rsidRPr="00AC2720" w:rsidRDefault="008935ED" w:rsidP="008935ED">
      <w:pPr>
        <w:rPr>
          <w:rFonts w:asciiTheme="minorHAnsi" w:hAnsiTheme="minorHAnsi" w:cstheme="minorHAnsi"/>
          <w:b/>
          <w:bCs/>
          <w:lang w:val="en-US"/>
        </w:rPr>
      </w:pPr>
    </w:p>
    <w:p w14:paraId="3CD57042" w14:textId="77777777" w:rsidR="00DD0858" w:rsidRPr="00AC2720" w:rsidRDefault="00DD0858" w:rsidP="002C565A">
      <w:pPr>
        <w:spacing w:before="160" w:line="240" w:lineRule="auto"/>
        <w:jc w:val="both"/>
        <w:rPr>
          <w:rFonts w:asciiTheme="minorHAnsi" w:hAnsiTheme="minorHAnsi" w:cstheme="minorHAnsi"/>
          <w:b/>
          <w:bCs/>
          <w:lang w:val="en-US"/>
        </w:rPr>
      </w:pPr>
    </w:p>
    <w:p w14:paraId="63405B62" w14:textId="77777777" w:rsidR="00DD0858" w:rsidRPr="00AC2720" w:rsidRDefault="009E472E" w:rsidP="002C565A">
      <w:pPr>
        <w:spacing w:before="160" w:line="240" w:lineRule="auto"/>
        <w:jc w:val="both"/>
        <w:rPr>
          <w:rFonts w:asciiTheme="minorHAnsi" w:hAnsiTheme="minorHAnsi" w:cstheme="minorHAnsi"/>
          <w:b/>
          <w:bCs/>
          <w:lang w:val="en-US"/>
        </w:rPr>
      </w:pPr>
      <w:r w:rsidRPr="00AC2720">
        <w:rPr>
          <w:rFonts w:asciiTheme="minorHAnsi" w:hAnsiTheme="minorHAnsi" w:cstheme="minorHAnsi"/>
          <w:b/>
          <w:bCs/>
          <w:lang w:val="en-US"/>
        </w:rPr>
        <w:t xml:space="preserve">KEYWORDS </w:t>
      </w:r>
    </w:p>
    <w:p w14:paraId="36FE9C6A" w14:textId="77777777" w:rsidR="002C565A" w:rsidRPr="00AC2720" w:rsidRDefault="002C565A" w:rsidP="002C565A">
      <w:pPr>
        <w:spacing w:before="160" w:line="240" w:lineRule="auto"/>
        <w:jc w:val="both"/>
        <w:rPr>
          <w:rFonts w:asciiTheme="minorHAnsi" w:hAnsiTheme="minorHAnsi" w:cstheme="minorHAnsi"/>
          <w:lang w:val="en-US"/>
        </w:rPr>
      </w:pPr>
    </w:p>
    <w:p w14:paraId="60C351DE" w14:textId="77777777" w:rsidR="008935ED" w:rsidRPr="00AC2720" w:rsidRDefault="00C20F35" w:rsidP="002C565A">
      <w:pPr>
        <w:spacing w:before="160" w:line="240" w:lineRule="auto"/>
        <w:jc w:val="both"/>
        <w:rPr>
          <w:rFonts w:asciiTheme="minorHAnsi" w:hAnsiTheme="minorHAnsi" w:cstheme="minorHAnsi"/>
          <w:lang w:val="en-US"/>
        </w:rPr>
      </w:pPr>
      <w:r w:rsidRPr="00AC2720">
        <w:rPr>
          <w:rFonts w:asciiTheme="minorHAnsi" w:hAnsiTheme="minorHAnsi" w:cstheme="minorHAnsi"/>
          <w:lang w:val="en-US"/>
        </w:rPr>
        <w:t>Perceived s</w:t>
      </w:r>
      <w:r w:rsidR="009E472E" w:rsidRPr="00AC2720">
        <w:rPr>
          <w:rFonts w:asciiTheme="minorHAnsi" w:hAnsiTheme="minorHAnsi" w:cstheme="minorHAnsi"/>
          <w:lang w:val="en-US"/>
        </w:rPr>
        <w:t>witching costs; customer retention; dysfunctional customer behavior; self-determination theory</w:t>
      </w:r>
    </w:p>
    <w:p w14:paraId="4A44FCA0" w14:textId="77777777" w:rsidR="00941F45" w:rsidRPr="00AC2720" w:rsidRDefault="00941F45" w:rsidP="002C565A">
      <w:pPr>
        <w:spacing w:before="160" w:line="240" w:lineRule="auto"/>
        <w:jc w:val="both"/>
        <w:rPr>
          <w:rFonts w:asciiTheme="minorHAnsi" w:hAnsiTheme="minorHAnsi" w:cstheme="minorHAnsi"/>
          <w:lang w:val="en-US"/>
        </w:rPr>
      </w:pPr>
    </w:p>
    <w:p w14:paraId="29BC9DEE" w14:textId="22474BCA" w:rsidR="00941F45" w:rsidRPr="00AC2720" w:rsidRDefault="00941F45" w:rsidP="00941F45">
      <w:pPr>
        <w:spacing w:before="160" w:line="240" w:lineRule="auto"/>
        <w:rPr>
          <w:rFonts w:asciiTheme="minorHAnsi" w:hAnsiTheme="minorHAnsi" w:cstheme="minorHAnsi"/>
          <w:b/>
          <w:bCs/>
          <w:lang w:val="en-US"/>
        </w:rPr>
      </w:pPr>
      <w:r w:rsidRPr="00AC2720">
        <w:rPr>
          <w:rFonts w:asciiTheme="minorHAnsi" w:hAnsiTheme="minorHAnsi" w:cstheme="minorHAnsi"/>
          <w:b/>
          <w:bCs/>
          <w:lang w:val="en-US"/>
        </w:rPr>
        <w:t>INTRODUCTION</w:t>
      </w:r>
    </w:p>
    <w:p w14:paraId="44037B18" w14:textId="77777777" w:rsidR="00941F45" w:rsidRPr="00AC2720" w:rsidRDefault="00941F45" w:rsidP="00941F45">
      <w:pPr>
        <w:spacing w:before="160" w:line="240" w:lineRule="auto"/>
        <w:rPr>
          <w:rFonts w:asciiTheme="minorHAnsi" w:hAnsiTheme="minorHAnsi" w:cstheme="minorHAnsi"/>
          <w:lang w:val="en-US"/>
        </w:rPr>
      </w:pPr>
    </w:p>
    <w:p w14:paraId="54961412" w14:textId="77777777" w:rsidR="00941F45" w:rsidRPr="00AC2720" w:rsidRDefault="00941F45" w:rsidP="00941F45">
      <w:pPr>
        <w:spacing w:before="160" w:line="240" w:lineRule="auto"/>
        <w:jc w:val="both"/>
        <w:rPr>
          <w:rFonts w:asciiTheme="minorHAnsi" w:hAnsiTheme="minorHAnsi" w:cstheme="minorHAnsi"/>
          <w:b/>
          <w:bCs/>
          <w:lang w:val="en-US"/>
        </w:rPr>
      </w:pPr>
      <w:r w:rsidRPr="00AC2720">
        <w:rPr>
          <w:rFonts w:asciiTheme="minorHAnsi" w:hAnsiTheme="minorHAnsi" w:cstheme="minorHAnsi"/>
          <w:lang w:val="en-US"/>
        </w:rPr>
        <w:t xml:space="preserve">Switching costs are regularly used by service firms to retain customers. The literature advises managers to be careful when using these constraint-based retention strategies as customers may feel locked into the relationship with the firm and engage in dysfunctional behaviors and negative word of mouth (WOM). To better understand the underlying mechanisms, this research uses survey data from 241 banking customers to test the mediating role of customers’ self-determination perceptions between perceived switching costs and dysfunctional customer behavior and negative WOM. The study finds that different switching costs impact not only customer repurchase intentions, but they also lower the customers’ level of self-determination, which in turn increases the likelihood of dysfunctional behavior and negative WOM. </w:t>
      </w:r>
    </w:p>
    <w:p w14:paraId="2FC167EC" w14:textId="77777777" w:rsidR="00941F45" w:rsidRPr="00AC2720" w:rsidRDefault="00941F45" w:rsidP="002C565A">
      <w:pPr>
        <w:spacing w:before="160" w:line="240" w:lineRule="auto"/>
        <w:jc w:val="both"/>
        <w:rPr>
          <w:rFonts w:asciiTheme="minorHAnsi" w:hAnsiTheme="minorHAnsi" w:cstheme="minorHAnsi"/>
          <w:b/>
          <w:bCs/>
          <w:lang w:val="en-US"/>
        </w:rPr>
      </w:pPr>
    </w:p>
    <w:p w14:paraId="402896CD" w14:textId="77777777" w:rsidR="00DD0858" w:rsidRPr="00AC2720" w:rsidRDefault="00DD0858" w:rsidP="002C565A">
      <w:pPr>
        <w:spacing w:before="160" w:line="240" w:lineRule="auto"/>
        <w:jc w:val="both"/>
        <w:rPr>
          <w:rFonts w:asciiTheme="minorHAnsi" w:hAnsiTheme="minorHAnsi" w:cstheme="minorHAnsi"/>
          <w:b/>
          <w:bCs/>
          <w:lang w:val="en-US"/>
        </w:rPr>
      </w:pPr>
    </w:p>
    <w:p w14:paraId="702E188D" w14:textId="44141006" w:rsidR="00DD0858" w:rsidRPr="00AC2720" w:rsidRDefault="00C763B9" w:rsidP="002C565A">
      <w:pPr>
        <w:spacing w:before="160" w:line="240" w:lineRule="auto"/>
        <w:jc w:val="both"/>
        <w:rPr>
          <w:rFonts w:asciiTheme="minorHAnsi" w:hAnsiTheme="minorHAnsi" w:cstheme="minorHAnsi"/>
          <w:b/>
          <w:bCs/>
          <w:lang w:val="en-US"/>
        </w:rPr>
      </w:pPr>
      <w:r w:rsidRPr="00AC2720">
        <w:rPr>
          <w:rFonts w:asciiTheme="minorHAnsi" w:hAnsiTheme="minorHAnsi" w:cstheme="minorHAnsi"/>
          <w:b/>
          <w:bCs/>
          <w:lang w:val="en-US"/>
        </w:rPr>
        <w:t>BACKGROUND INFORMATION</w:t>
      </w:r>
    </w:p>
    <w:p w14:paraId="3370D082" w14:textId="77777777" w:rsidR="002C565A" w:rsidRPr="00AC2720" w:rsidRDefault="002C565A" w:rsidP="002C565A">
      <w:pPr>
        <w:spacing w:before="160" w:line="240" w:lineRule="auto"/>
        <w:jc w:val="both"/>
        <w:rPr>
          <w:rFonts w:asciiTheme="minorHAnsi" w:hAnsiTheme="minorHAnsi" w:cstheme="minorHAnsi"/>
          <w:lang w:val="en-US"/>
        </w:rPr>
      </w:pPr>
    </w:p>
    <w:p w14:paraId="09FBEBAA" w14:textId="77777777" w:rsidR="009A0FE3" w:rsidRPr="00AC2720" w:rsidRDefault="009D26F5" w:rsidP="00492244">
      <w:pPr>
        <w:spacing w:before="160" w:line="240" w:lineRule="auto"/>
        <w:jc w:val="both"/>
        <w:rPr>
          <w:rFonts w:asciiTheme="minorHAnsi" w:hAnsiTheme="minorHAnsi" w:cstheme="minorHAnsi"/>
          <w:b/>
          <w:bCs/>
          <w:lang w:val="en-US"/>
        </w:rPr>
      </w:pPr>
      <w:r w:rsidRPr="00AC2720">
        <w:rPr>
          <w:rFonts w:asciiTheme="minorHAnsi" w:hAnsiTheme="minorHAnsi" w:cstheme="minorHAnsi"/>
          <w:lang w:val="en-US"/>
        </w:rPr>
        <w:t>Investment</w:t>
      </w:r>
      <w:r w:rsidR="00492244" w:rsidRPr="00AC2720">
        <w:rPr>
          <w:rFonts w:asciiTheme="minorHAnsi" w:hAnsiTheme="minorHAnsi" w:cstheme="minorHAnsi"/>
          <w:lang w:val="en-US"/>
        </w:rPr>
        <w:t>s</w:t>
      </w:r>
      <w:r w:rsidRPr="00AC2720">
        <w:rPr>
          <w:rFonts w:asciiTheme="minorHAnsi" w:hAnsiTheme="minorHAnsi" w:cstheme="minorHAnsi"/>
          <w:lang w:val="en-US"/>
        </w:rPr>
        <w:t xml:space="preserve"> in customer experience </w:t>
      </w:r>
      <w:r w:rsidR="00D33F60" w:rsidRPr="00AC2720">
        <w:rPr>
          <w:rFonts w:asciiTheme="minorHAnsi" w:hAnsiTheme="minorHAnsi" w:cstheme="minorHAnsi"/>
          <w:lang w:val="en-US"/>
        </w:rPr>
        <w:t>has been</w:t>
      </w:r>
      <w:r w:rsidRPr="00AC2720">
        <w:rPr>
          <w:rFonts w:asciiTheme="minorHAnsi" w:hAnsiTheme="minorHAnsi" w:cstheme="minorHAnsi"/>
          <w:lang w:val="en-US"/>
        </w:rPr>
        <w:t xml:space="preserve"> an imperative in determining the success of a bank’s offering. </w:t>
      </w:r>
      <w:r w:rsidR="00C168FC" w:rsidRPr="00AC2720">
        <w:rPr>
          <w:rFonts w:asciiTheme="minorHAnsi" w:hAnsiTheme="minorHAnsi" w:cstheme="minorHAnsi"/>
          <w:lang w:val="en-US"/>
        </w:rPr>
        <w:t xml:space="preserve">The intense competition in banking services has compelled banks to offer products and services </w:t>
      </w:r>
      <w:r w:rsidR="00AE6560" w:rsidRPr="00AC2720">
        <w:rPr>
          <w:rFonts w:asciiTheme="minorHAnsi" w:hAnsiTheme="minorHAnsi" w:cstheme="minorHAnsi"/>
          <w:lang w:val="en-US"/>
        </w:rPr>
        <w:t>that enhance the</w:t>
      </w:r>
      <w:r w:rsidR="00C168FC" w:rsidRPr="00AC2720">
        <w:rPr>
          <w:rFonts w:asciiTheme="minorHAnsi" w:hAnsiTheme="minorHAnsi" w:cstheme="minorHAnsi"/>
          <w:lang w:val="en-US"/>
        </w:rPr>
        <w:t xml:space="preserve"> customer experience</w:t>
      </w:r>
      <w:r w:rsidR="00492244" w:rsidRPr="00AC2720">
        <w:rPr>
          <w:rFonts w:asciiTheme="minorHAnsi" w:hAnsiTheme="minorHAnsi" w:cstheme="minorHAnsi"/>
          <w:lang w:val="en-US"/>
        </w:rPr>
        <w:t xml:space="preserve">. However, many </w:t>
      </w:r>
      <w:r w:rsidR="00AE6560" w:rsidRPr="00AC2720">
        <w:rPr>
          <w:rFonts w:asciiTheme="minorHAnsi" w:hAnsiTheme="minorHAnsi" w:cstheme="minorHAnsi"/>
          <w:lang w:val="en-US"/>
        </w:rPr>
        <w:t xml:space="preserve">banks </w:t>
      </w:r>
      <w:r w:rsidR="00492244" w:rsidRPr="00AC2720">
        <w:rPr>
          <w:rFonts w:asciiTheme="minorHAnsi" w:hAnsiTheme="minorHAnsi" w:cstheme="minorHAnsi"/>
          <w:lang w:val="en-US"/>
        </w:rPr>
        <w:t xml:space="preserve">also </w:t>
      </w:r>
      <w:r w:rsidR="00BF7CFA" w:rsidRPr="00AC2720">
        <w:rPr>
          <w:rFonts w:asciiTheme="minorHAnsi" w:hAnsiTheme="minorHAnsi" w:cstheme="minorHAnsi"/>
          <w:lang w:val="en-US"/>
        </w:rPr>
        <w:t xml:space="preserve">try to </w:t>
      </w:r>
      <w:r w:rsidR="00C168FC" w:rsidRPr="00AC2720">
        <w:rPr>
          <w:rFonts w:asciiTheme="minorHAnsi" w:hAnsiTheme="minorHAnsi" w:cstheme="minorHAnsi"/>
          <w:lang w:val="en-US"/>
        </w:rPr>
        <w:t>lock</w:t>
      </w:r>
      <w:r w:rsidR="00BF7CFA" w:rsidRPr="00AC2720">
        <w:rPr>
          <w:rFonts w:asciiTheme="minorHAnsi" w:hAnsiTheme="minorHAnsi" w:cstheme="minorHAnsi"/>
          <w:lang w:val="en-US"/>
        </w:rPr>
        <w:t xml:space="preserve"> customers </w:t>
      </w:r>
      <w:r w:rsidR="00F41789" w:rsidRPr="00AC2720">
        <w:rPr>
          <w:rFonts w:asciiTheme="minorHAnsi" w:hAnsiTheme="minorHAnsi" w:cstheme="minorHAnsi"/>
          <w:lang w:val="en-US"/>
        </w:rPr>
        <w:t>in</w:t>
      </w:r>
      <w:r w:rsidR="00AE6560" w:rsidRPr="00AC2720">
        <w:rPr>
          <w:rFonts w:asciiTheme="minorHAnsi" w:hAnsiTheme="minorHAnsi" w:cstheme="minorHAnsi"/>
          <w:lang w:val="en-US"/>
        </w:rPr>
        <w:t>to</w:t>
      </w:r>
      <w:r w:rsidR="00F41789" w:rsidRPr="00AC2720">
        <w:rPr>
          <w:rFonts w:asciiTheme="minorHAnsi" w:hAnsiTheme="minorHAnsi" w:cstheme="minorHAnsi"/>
          <w:lang w:val="en-US"/>
        </w:rPr>
        <w:t xml:space="preserve"> the relationship</w:t>
      </w:r>
      <w:r w:rsidR="00C168FC" w:rsidRPr="00AC2720">
        <w:rPr>
          <w:rFonts w:asciiTheme="minorHAnsi" w:hAnsiTheme="minorHAnsi" w:cstheme="minorHAnsi"/>
          <w:lang w:val="en-US"/>
        </w:rPr>
        <w:t xml:space="preserve"> </w:t>
      </w:r>
      <w:r w:rsidR="00BF7CFA" w:rsidRPr="00AC2720">
        <w:rPr>
          <w:rFonts w:asciiTheme="minorHAnsi" w:hAnsiTheme="minorHAnsi" w:cstheme="minorHAnsi"/>
          <w:lang w:val="en-US"/>
        </w:rPr>
        <w:t xml:space="preserve">with the firm </w:t>
      </w:r>
      <w:r w:rsidR="00C168FC" w:rsidRPr="00AC2720">
        <w:rPr>
          <w:rFonts w:asciiTheme="minorHAnsi" w:hAnsiTheme="minorHAnsi" w:cstheme="minorHAnsi"/>
          <w:lang w:val="en-US"/>
        </w:rPr>
        <w:t xml:space="preserve">through </w:t>
      </w:r>
      <w:r w:rsidR="00BF7CFA" w:rsidRPr="00AC2720">
        <w:rPr>
          <w:rFonts w:asciiTheme="minorHAnsi" w:hAnsiTheme="minorHAnsi" w:cstheme="minorHAnsi"/>
          <w:lang w:val="en-US"/>
        </w:rPr>
        <w:t xml:space="preserve">the establishment of </w:t>
      </w:r>
      <w:r w:rsidR="00C168FC" w:rsidRPr="00AC2720">
        <w:rPr>
          <w:rFonts w:asciiTheme="minorHAnsi" w:hAnsiTheme="minorHAnsi" w:cstheme="minorHAnsi"/>
          <w:lang w:val="en-US"/>
        </w:rPr>
        <w:t xml:space="preserve">switching costs. </w:t>
      </w:r>
      <w:r w:rsidR="00422DCA" w:rsidRPr="00AC2720">
        <w:rPr>
          <w:rFonts w:asciiTheme="minorHAnsi" w:hAnsiTheme="minorHAnsi" w:cstheme="minorHAnsi"/>
          <w:lang w:val="en-US"/>
        </w:rPr>
        <w:t xml:space="preserve">Perceived </w:t>
      </w:r>
      <w:r w:rsidR="00F41789" w:rsidRPr="00AC2720">
        <w:rPr>
          <w:rFonts w:asciiTheme="minorHAnsi" w:hAnsiTheme="minorHAnsi" w:cstheme="minorHAnsi"/>
          <w:lang w:val="en-US"/>
        </w:rPr>
        <w:t xml:space="preserve">switching costs </w:t>
      </w:r>
      <w:r w:rsidR="00C168FC" w:rsidRPr="00AC2720">
        <w:rPr>
          <w:rFonts w:asciiTheme="minorHAnsi" w:hAnsiTheme="minorHAnsi" w:cstheme="minorHAnsi"/>
          <w:lang w:val="en-US"/>
        </w:rPr>
        <w:t xml:space="preserve">are </w:t>
      </w:r>
      <w:r w:rsidR="00FB3623" w:rsidRPr="00AC2720">
        <w:rPr>
          <w:rFonts w:asciiTheme="minorHAnsi" w:hAnsiTheme="minorHAnsi" w:cstheme="minorHAnsi"/>
          <w:lang w:val="en-US"/>
        </w:rPr>
        <w:t>“</w:t>
      </w:r>
      <w:r w:rsidR="00C168FC" w:rsidRPr="00AC2720">
        <w:rPr>
          <w:rFonts w:asciiTheme="minorHAnsi" w:hAnsiTheme="minorHAnsi" w:cstheme="minorHAnsi"/>
          <w:lang w:val="en-US"/>
        </w:rPr>
        <w:t>the onetime costs that customers associate with the process of switching from one provider to another” (Burnham et al., 2003</w:t>
      </w:r>
      <w:r w:rsidR="00370EEA" w:rsidRPr="00AC2720">
        <w:rPr>
          <w:rFonts w:asciiTheme="minorHAnsi" w:hAnsiTheme="minorHAnsi" w:cstheme="minorHAnsi"/>
          <w:lang w:val="en-US"/>
        </w:rPr>
        <w:t>,</w:t>
      </w:r>
      <w:r w:rsidR="00C168FC" w:rsidRPr="00AC2720">
        <w:rPr>
          <w:rFonts w:asciiTheme="minorHAnsi" w:hAnsiTheme="minorHAnsi" w:cstheme="minorHAnsi"/>
          <w:lang w:val="en-US"/>
        </w:rPr>
        <w:t xml:space="preserve"> </w:t>
      </w:r>
      <w:r w:rsidR="00C168FC" w:rsidRPr="00AC2720">
        <w:rPr>
          <w:rFonts w:asciiTheme="minorHAnsi" w:hAnsiTheme="minorHAnsi" w:cstheme="minorHAnsi"/>
          <w:i/>
          <w:iCs/>
          <w:lang w:val="en-US"/>
        </w:rPr>
        <w:t>p.</w:t>
      </w:r>
      <w:r w:rsidR="00C168FC" w:rsidRPr="00AC2720">
        <w:rPr>
          <w:rFonts w:asciiTheme="minorHAnsi" w:hAnsiTheme="minorHAnsi" w:cstheme="minorHAnsi"/>
          <w:lang w:val="en-US"/>
        </w:rPr>
        <w:t xml:space="preserve">110). They </w:t>
      </w:r>
      <w:r w:rsidR="00492244" w:rsidRPr="00AC2720">
        <w:rPr>
          <w:rFonts w:asciiTheme="minorHAnsi" w:hAnsiTheme="minorHAnsi" w:cstheme="minorHAnsi"/>
          <w:lang w:val="en-US"/>
        </w:rPr>
        <w:t xml:space="preserve">are </w:t>
      </w:r>
      <w:r w:rsidR="00C168FC" w:rsidRPr="00AC2720">
        <w:rPr>
          <w:rFonts w:asciiTheme="minorHAnsi" w:hAnsiTheme="minorHAnsi" w:cstheme="minorHAnsi"/>
          <w:lang w:val="en-US"/>
        </w:rPr>
        <w:t xml:space="preserve">regularly </w:t>
      </w:r>
      <w:r w:rsidR="001E1E9F" w:rsidRPr="00AC2720">
        <w:rPr>
          <w:rFonts w:asciiTheme="minorHAnsi" w:hAnsiTheme="minorHAnsi" w:cstheme="minorHAnsi"/>
          <w:lang w:val="en-US"/>
        </w:rPr>
        <w:t xml:space="preserve">used </w:t>
      </w:r>
      <w:r w:rsidR="00C168FC" w:rsidRPr="00AC2720">
        <w:rPr>
          <w:rFonts w:asciiTheme="minorHAnsi" w:hAnsiTheme="minorHAnsi" w:cstheme="minorHAnsi"/>
          <w:lang w:val="en-US"/>
        </w:rPr>
        <w:t xml:space="preserve">by </w:t>
      </w:r>
      <w:r w:rsidR="00AE6560" w:rsidRPr="00AC2720">
        <w:rPr>
          <w:rFonts w:asciiTheme="minorHAnsi" w:hAnsiTheme="minorHAnsi" w:cstheme="minorHAnsi"/>
          <w:lang w:val="en-US"/>
        </w:rPr>
        <w:t xml:space="preserve">service </w:t>
      </w:r>
      <w:r w:rsidR="00C168FC" w:rsidRPr="00AC2720">
        <w:rPr>
          <w:rFonts w:asciiTheme="minorHAnsi" w:hAnsiTheme="minorHAnsi" w:cstheme="minorHAnsi"/>
          <w:lang w:val="en-US"/>
        </w:rPr>
        <w:t>firms</w:t>
      </w:r>
      <w:r w:rsidR="00FB3623" w:rsidRPr="00AC2720">
        <w:rPr>
          <w:rFonts w:asciiTheme="minorHAnsi" w:hAnsiTheme="minorHAnsi" w:cstheme="minorHAnsi"/>
          <w:lang w:val="en-US"/>
        </w:rPr>
        <w:t xml:space="preserve"> </w:t>
      </w:r>
      <w:r w:rsidR="00492244" w:rsidRPr="00AC2720">
        <w:rPr>
          <w:rFonts w:asciiTheme="minorHAnsi" w:hAnsiTheme="minorHAnsi" w:cstheme="minorHAnsi"/>
          <w:lang w:val="en-US"/>
        </w:rPr>
        <w:t xml:space="preserve">to increase </w:t>
      </w:r>
      <w:r w:rsidR="00FB3623" w:rsidRPr="00AC2720">
        <w:rPr>
          <w:rFonts w:asciiTheme="minorHAnsi" w:hAnsiTheme="minorHAnsi" w:cstheme="minorHAnsi"/>
          <w:lang w:val="en-US"/>
        </w:rPr>
        <w:t>customer retention</w:t>
      </w:r>
      <w:r w:rsidR="00C168FC" w:rsidRPr="00AC2720">
        <w:rPr>
          <w:rFonts w:asciiTheme="minorHAnsi" w:hAnsiTheme="minorHAnsi" w:cstheme="minorHAnsi"/>
          <w:lang w:val="en-US"/>
        </w:rPr>
        <w:t xml:space="preserve">. </w:t>
      </w:r>
      <w:r w:rsidR="00492244" w:rsidRPr="00AC2720">
        <w:rPr>
          <w:rFonts w:asciiTheme="minorHAnsi" w:hAnsiTheme="minorHAnsi" w:cstheme="minorHAnsi"/>
          <w:lang w:val="en-US"/>
        </w:rPr>
        <w:t xml:space="preserve">At the </w:t>
      </w:r>
      <w:r w:rsidR="000B0F81" w:rsidRPr="00AC2720">
        <w:rPr>
          <w:rFonts w:asciiTheme="minorHAnsi" w:hAnsiTheme="minorHAnsi" w:cstheme="minorHAnsi"/>
          <w:lang w:val="en-US"/>
        </w:rPr>
        <w:t xml:space="preserve">same </w:t>
      </w:r>
      <w:r w:rsidR="00492244" w:rsidRPr="00AC2720">
        <w:rPr>
          <w:rFonts w:asciiTheme="minorHAnsi" w:hAnsiTheme="minorHAnsi" w:cstheme="minorHAnsi"/>
          <w:lang w:val="en-US"/>
        </w:rPr>
        <w:t xml:space="preserve">time, perceived switching costs are discussed to increase the likelihood of dysfunctional customer behavior. </w:t>
      </w:r>
      <w:r w:rsidR="00C20F35" w:rsidRPr="00AC2720">
        <w:rPr>
          <w:rFonts w:asciiTheme="minorHAnsi" w:hAnsiTheme="minorHAnsi" w:cstheme="minorHAnsi"/>
          <w:lang w:val="en-US"/>
        </w:rPr>
        <w:t xml:space="preserve">Jones et al. (2007, </w:t>
      </w:r>
      <w:r w:rsidR="00C20F35" w:rsidRPr="00AC2720">
        <w:rPr>
          <w:rFonts w:asciiTheme="minorHAnsi" w:hAnsiTheme="minorHAnsi" w:cstheme="minorHAnsi"/>
          <w:i/>
          <w:iCs/>
          <w:lang w:val="en-US"/>
        </w:rPr>
        <w:t>p</w:t>
      </w:r>
      <w:r w:rsidR="00C20F35" w:rsidRPr="00AC2720">
        <w:rPr>
          <w:rFonts w:asciiTheme="minorHAnsi" w:hAnsiTheme="minorHAnsi" w:cstheme="minorHAnsi"/>
          <w:lang w:val="en-US"/>
        </w:rPr>
        <w:t xml:space="preserve">. 336) remind </w:t>
      </w:r>
      <w:r w:rsidR="00AE6560" w:rsidRPr="00AC2720">
        <w:rPr>
          <w:rFonts w:asciiTheme="minorHAnsi" w:hAnsiTheme="minorHAnsi" w:cstheme="minorHAnsi"/>
          <w:lang w:val="en-US"/>
        </w:rPr>
        <w:t xml:space="preserve">service </w:t>
      </w:r>
      <w:r w:rsidR="00C20F35" w:rsidRPr="00AC2720">
        <w:rPr>
          <w:rFonts w:asciiTheme="minorHAnsi" w:hAnsiTheme="minorHAnsi" w:cstheme="minorHAnsi"/>
          <w:lang w:val="en-US"/>
        </w:rPr>
        <w:t xml:space="preserve">firms to </w:t>
      </w:r>
      <w:r w:rsidR="004375B5" w:rsidRPr="00AC2720">
        <w:rPr>
          <w:rFonts w:asciiTheme="minorHAnsi" w:hAnsiTheme="minorHAnsi" w:cstheme="minorHAnsi"/>
          <w:lang w:val="en-US"/>
        </w:rPr>
        <w:t xml:space="preserve">be careful </w:t>
      </w:r>
      <w:r w:rsidR="00C20F35" w:rsidRPr="00AC2720">
        <w:rPr>
          <w:rFonts w:asciiTheme="minorHAnsi" w:hAnsiTheme="minorHAnsi" w:cstheme="minorHAnsi"/>
          <w:lang w:val="en-US"/>
        </w:rPr>
        <w:t xml:space="preserve">when establishing switching costs since “customers who find themselves locked into relationships that they would prefer to not be in may become resigned, belligerent, or even hostile, and may engage in behaviors that have serious negative long-term consequences for the firm, such as negative </w:t>
      </w:r>
      <w:r w:rsidR="0076793D" w:rsidRPr="00AC2720">
        <w:rPr>
          <w:rFonts w:asciiTheme="minorHAnsi" w:hAnsiTheme="minorHAnsi" w:cstheme="minorHAnsi"/>
          <w:lang w:val="en-US"/>
        </w:rPr>
        <w:t xml:space="preserve">WOM </w:t>
      </w:r>
      <w:r w:rsidR="00C20F35" w:rsidRPr="00AC2720">
        <w:rPr>
          <w:rFonts w:asciiTheme="minorHAnsi" w:hAnsiTheme="minorHAnsi" w:cstheme="minorHAnsi"/>
          <w:lang w:val="en-US"/>
        </w:rPr>
        <w:t xml:space="preserve">or </w:t>
      </w:r>
      <w:r w:rsidR="00C20F35" w:rsidRPr="00AC2720">
        <w:rPr>
          <w:rFonts w:asciiTheme="minorHAnsi" w:hAnsiTheme="minorHAnsi" w:cstheme="minorHAnsi"/>
          <w:lang w:val="en-US"/>
        </w:rPr>
        <w:lastRenderedPageBreak/>
        <w:t xml:space="preserve">sabotage”. </w:t>
      </w:r>
      <w:r w:rsidR="00492244" w:rsidRPr="00AC2720">
        <w:rPr>
          <w:rFonts w:asciiTheme="minorHAnsi" w:hAnsiTheme="minorHAnsi" w:cstheme="minorHAnsi"/>
          <w:lang w:val="en-US"/>
        </w:rPr>
        <w:t xml:space="preserve">Thus, </w:t>
      </w:r>
      <w:r w:rsidR="005F44FC" w:rsidRPr="00AC2720">
        <w:rPr>
          <w:rFonts w:asciiTheme="minorHAnsi" w:hAnsiTheme="minorHAnsi" w:cstheme="minorHAnsi"/>
          <w:lang w:val="en-US"/>
        </w:rPr>
        <w:t xml:space="preserve">the present study develops and tests a research model integrating </w:t>
      </w:r>
      <w:r w:rsidR="00492244" w:rsidRPr="00AC2720">
        <w:rPr>
          <w:rFonts w:asciiTheme="minorHAnsi" w:hAnsiTheme="minorHAnsi" w:cstheme="minorHAnsi"/>
          <w:lang w:val="en-US"/>
        </w:rPr>
        <w:t>research on perceived switching costs with insights from self-determination theory and dysfunctional customer behavior</w:t>
      </w:r>
      <w:r w:rsidR="001E1E9F" w:rsidRPr="00AC2720">
        <w:rPr>
          <w:rFonts w:asciiTheme="minorHAnsi" w:hAnsiTheme="minorHAnsi" w:cstheme="minorHAnsi"/>
          <w:lang w:val="en-US"/>
        </w:rPr>
        <w:t xml:space="preserve"> literature</w:t>
      </w:r>
      <w:r w:rsidR="00492244" w:rsidRPr="00AC2720">
        <w:rPr>
          <w:rFonts w:asciiTheme="minorHAnsi" w:hAnsiTheme="minorHAnsi" w:cstheme="minorHAnsi"/>
          <w:lang w:val="en-US"/>
        </w:rPr>
        <w:t xml:space="preserve"> to better understand the process </w:t>
      </w:r>
      <w:r w:rsidR="004375B5" w:rsidRPr="00AC2720">
        <w:rPr>
          <w:rFonts w:asciiTheme="minorHAnsi" w:hAnsiTheme="minorHAnsi" w:cstheme="minorHAnsi"/>
          <w:lang w:val="en-US"/>
        </w:rPr>
        <w:t xml:space="preserve">of </w:t>
      </w:r>
      <w:r w:rsidR="00492244" w:rsidRPr="00AC2720">
        <w:rPr>
          <w:rFonts w:asciiTheme="minorHAnsi" w:hAnsiTheme="minorHAnsi" w:cstheme="minorHAnsi"/>
          <w:lang w:val="en-US"/>
        </w:rPr>
        <w:t xml:space="preserve">how switching costs lead to such outcomes. Specifically, our research model considers the </w:t>
      </w:r>
      <w:r w:rsidR="005F44FC" w:rsidRPr="00AC2720">
        <w:rPr>
          <w:rFonts w:asciiTheme="minorHAnsi" w:hAnsiTheme="minorHAnsi" w:cstheme="minorHAnsi"/>
          <w:lang w:val="en-US"/>
        </w:rPr>
        <w:t xml:space="preserve">mediating role of </w:t>
      </w:r>
      <w:r w:rsidR="00492244" w:rsidRPr="00AC2720">
        <w:rPr>
          <w:rFonts w:asciiTheme="minorHAnsi" w:hAnsiTheme="minorHAnsi" w:cstheme="minorHAnsi"/>
          <w:lang w:val="en-US"/>
        </w:rPr>
        <w:t xml:space="preserve">customers’ </w:t>
      </w:r>
      <w:r w:rsidR="005F44FC" w:rsidRPr="00AC2720">
        <w:rPr>
          <w:rFonts w:asciiTheme="minorHAnsi" w:hAnsiTheme="minorHAnsi" w:cstheme="minorHAnsi"/>
          <w:lang w:val="en-US"/>
        </w:rPr>
        <w:t xml:space="preserve">self-determination </w:t>
      </w:r>
      <w:r w:rsidR="00AE6560" w:rsidRPr="00AC2720">
        <w:rPr>
          <w:rFonts w:asciiTheme="minorHAnsi" w:hAnsiTheme="minorHAnsi" w:cstheme="minorHAnsi"/>
          <w:lang w:val="en-US"/>
        </w:rPr>
        <w:t xml:space="preserve">perceptions </w:t>
      </w:r>
      <w:r w:rsidR="005F44FC" w:rsidRPr="00AC2720">
        <w:rPr>
          <w:rFonts w:asciiTheme="minorHAnsi" w:hAnsiTheme="minorHAnsi" w:cstheme="minorHAnsi"/>
          <w:lang w:val="en-US"/>
        </w:rPr>
        <w:t xml:space="preserve">between </w:t>
      </w:r>
      <w:r w:rsidR="00422DCA" w:rsidRPr="00AC2720">
        <w:rPr>
          <w:rFonts w:asciiTheme="minorHAnsi" w:hAnsiTheme="minorHAnsi" w:cstheme="minorHAnsi"/>
          <w:lang w:val="en-US"/>
        </w:rPr>
        <w:t xml:space="preserve">perceived </w:t>
      </w:r>
      <w:r w:rsidR="005F44FC" w:rsidRPr="00AC2720">
        <w:rPr>
          <w:rFonts w:asciiTheme="minorHAnsi" w:hAnsiTheme="minorHAnsi" w:cstheme="minorHAnsi"/>
          <w:lang w:val="en-US"/>
        </w:rPr>
        <w:t xml:space="preserve">switching costs and </w:t>
      </w:r>
      <w:r w:rsidR="00492244" w:rsidRPr="00AC2720">
        <w:rPr>
          <w:rFonts w:asciiTheme="minorHAnsi" w:hAnsiTheme="minorHAnsi" w:cstheme="minorHAnsi"/>
          <w:lang w:val="en-US"/>
        </w:rPr>
        <w:t xml:space="preserve">dysfunctional customer behavior. </w:t>
      </w:r>
    </w:p>
    <w:p w14:paraId="208C8378" w14:textId="77777777" w:rsidR="002C565A" w:rsidRPr="00AC2720" w:rsidRDefault="002C565A" w:rsidP="002C565A">
      <w:pPr>
        <w:spacing w:before="160" w:line="240" w:lineRule="auto"/>
        <w:jc w:val="both"/>
        <w:rPr>
          <w:rFonts w:asciiTheme="minorHAnsi" w:hAnsiTheme="minorHAnsi" w:cstheme="minorHAnsi"/>
          <w:lang w:val="en-US"/>
        </w:rPr>
      </w:pPr>
    </w:p>
    <w:p w14:paraId="499C5A99" w14:textId="77777777" w:rsidR="002C565A" w:rsidRPr="00AC2720" w:rsidRDefault="0017167B" w:rsidP="002F1FBF">
      <w:pPr>
        <w:spacing w:before="160" w:line="240" w:lineRule="auto"/>
        <w:jc w:val="both"/>
        <w:rPr>
          <w:rFonts w:asciiTheme="minorHAnsi" w:hAnsiTheme="minorHAnsi" w:cstheme="minorHAnsi"/>
          <w:lang w:val="en-US"/>
        </w:rPr>
      </w:pPr>
      <w:r w:rsidRPr="00AC2720">
        <w:rPr>
          <w:rFonts w:asciiTheme="minorHAnsi" w:hAnsiTheme="minorHAnsi" w:cstheme="minorHAnsi"/>
          <w:lang w:val="en-US"/>
        </w:rPr>
        <w:t>Self-determination theory (SDT) focuses on human beings</w:t>
      </w:r>
      <w:r w:rsidR="00492244" w:rsidRPr="00AC2720">
        <w:rPr>
          <w:rFonts w:asciiTheme="minorHAnsi" w:hAnsiTheme="minorHAnsi" w:cstheme="minorHAnsi"/>
          <w:lang w:val="en-US"/>
        </w:rPr>
        <w:t>’</w:t>
      </w:r>
      <w:r w:rsidRPr="00AC2720">
        <w:rPr>
          <w:rFonts w:asciiTheme="minorHAnsi" w:hAnsiTheme="minorHAnsi" w:cstheme="minorHAnsi"/>
          <w:lang w:val="en-US"/>
        </w:rPr>
        <w:t xml:space="preserve"> “nature”. SDT means that behavioral initiation and regulation are determined by one’s own choice (Deci, Connell, and Ryan 1989). The underlying assumption of this theory is that “human beings are active, growth-oriented organisms who are naturally inclined toward integration of their psychic elements into a unified sense of self and integration of themselves into larger social structures” (Deci and Ryan 2000, </w:t>
      </w:r>
      <w:r w:rsidRPr="00AC2720">
        <w:rPr>
          <w:rFonts w:asciiTheme="minorHAnsi" w:hAnsiTheme="minorHAnsi" w:cstheme="minorHAnsi"/>
          <w:i/>
          <w:iCs/>
          <w:lang w:val="en-US"/>
        </w:rPr>
        <w:t>p.</w:t>
      </w:r>
      <w:r w:rsidRPr="00AC2720">
        <w:rPr>
          <w:rFonts w:asciiTheme="minorHAnsi" w:hAnsiTheme="minorHAnsi" w:cstheme="minorHAnsi"/>
          <w:lang w:val="en-US"/>
        </w:rPr>
        <w:t xml:space="preserve"> 229). </w:t>
      </w:r>
      <w:r w:rsidR="009A0FE3" w:rsidRPr="00AC2720">
        <w:rPr>
          <w:rFonts w:asciiTheme="minorHAnsi" w:hAnsiTheme="minorHAnsi" w:cstheme="minorHAnsi"/>
          <w:lang w:val="en-US"/>
        </w:rPr>
        <w:t>SDT differentiate</w:t>
      </w:r>
      <w:r w:rsidR="00492244" w:rsidRPr="00AC2720">
        <w:rPr>
          <w:rFonts w:asciiTheme="minorHAnsi" w:hAnsiTheme="minorHAnsi" w:cstheme="minorHAnsi"/>
          <w:lang w:val="en-US"/>
        </w:rPr>
        <w:t>s</w:t>
      </w:r>
      <w:r w:rsidR="009A0FE3" w:rsidRPr="00AC2720">
        <w:rPr>
          <w:rFonts w:asciiTheme="minorHAnsi" w:hAnsiTheme="minorHAnsi" w:cstheme="minorHAnsi"/>
          <w:lang w:val="en-US"/>
        </w:rPr>
        <w:t xml:space="preserve"> between five types of extrinsic motivation</w:t>
      </w:r>
      <w:r w:rsidR="00492244" w:rsidRPr="00AC2720">
        <w:rPr>
          <w:rFonts w:asciiTheme="minorHAnsi" w:hAnsiTheme="minorHAnsi" w:cstheme="minorHAnsi"/>
          <w:lang w:val="en-US"/>
        </w:rPr>
        <w:t>s</w:t>
      </w:r>
      <w:r w:rsidR="009A0FE3" w:rsidRPr="00AC2720">
        <w:rPr>
          <w:rFonts w:asciiTheme="minorHAnsi" w:hAnsiTheme="minorHAnsi" w:cstheme="minorHAnsi"/>
          <w:lang w:val="en-US"/>
        </w:rPr>
        <w:t xml:space="preserve">, including non-self-determined and self-determined regulations (Ryan and Connell, 1989; Deci and Ryan, 1985). The two non-self-determined regulations consist of </w:t>
      </w:r>
      <w:r w:rsidR="009A0FE3" w:rsidRPr="00AC2720">
        <w:rPr>
          <w:rFonts w:asciiTheme="minorHAnsi" w:hAnsiTheme="minorHAnsi" w:cstheme="minorHAnsi"/>
          <w:i/>
          <w:iCs/>
          <w:lang w:val="en-US"/>
        </w:rPr>
        <w:t>external</w:t>
      </w:r>
      <w:r w:rsidR="009A0FE3" w:rsidRPr="00AC2720">
        <w:rPr>
          <w:rFonts w:asciiTheme="minorHAnsi" w:hAnsiTheme="minorHAnsi" w:cstheme="minorHAnsi"/>
          <w:lang w:val="en-US"/>
        </w:rPr>
        <w:t xml:space="preserve"> regulation (e.g., behaviors are performed to satisfy an external demand and to obtain an externally imposed reward, or due to external constraints) and </w:t>
      </w:r>
      <w:r w:rsidR="009A0FE3" w:rsidRPr="00AC2720">
        <w:rPr>
          <w:rFonts w:asciiTheme="minorHAnsi" w:hAnsiTheme="minorHAnsi" w:cstheme="minorHAnsi"/>
          <w:i/>
          <w:iCs/>
          <w:lang w:val="en-US"/>
        </w:rPr>
        <w:t xml:space="preserve">introjected </w:t>
      </w:r>
      <w:r w:rsidR="009A0FE3" w:rsidRPr="00AC2720">
        <w:rPr>
          <w:rFonts w:asciiTheme="minorHAnsi" w:hAnsiTheme="minorHAnsi" w:cstheme="minorHAnsi"/>
          <w:lang w:val="en-US"/>
        </w:rPr>
        <w:t xml:space="preserve">regulation (e.g., individual’s replacement of the external source of control by an internal one, making individuals to impose pressure on themselves to ensure that the behavior will be emitted). </w:t>
      </w:r>
      <w:r w:rsidR="0085031B" w:rsidRPr="00AC2720">
        <w:rPr>
          <w:rFonts w:asciiTheme="minorHAnsi" w:hAnsiTheme="minorHAnsi" w:cstheme="minorHAnsi"/>
          <w:lang w:val="en-US"/>
        </w:rPr>
        <w:t xml:space="preserve">The </w:t>
      </w:r>
      <w:r w:rsidR="009A0FE3" w:rsidRPr="00AC2720">
        <w:rPr>
          <w:rFonts w:asciiTheme="minorHAnsi" w:hAnsiTheme="minorHAnsi" w:cstheme="minorHAnsi"/>
          <w:lang w:val="en-US"/>
        </w:rPr>
        <w:t xml:space="preserve">two self-determined regulations include </w:t>
      </w:r>
      <w:r w:rsidR="009A0FE3" w:rsidRPr="00AC2720">
        <w:rPr>
          <w:rFonts w:asciiTheme="minorHAnsi" w:hAnsiTheme="minorHAnsi" w:cstheme="minorHAnsi"/>
          <w:i/>
          <w:iCs/>
          <w:lang w:val="en-US"/>
        </w:rPr>
        <w:t>identified</w:t>
      </w:r>
      <w:r w:rsidR="009A0FE3" w:rsidRPr="00AC2720">
        <w:rPr>
          <w:rFonts w:asciiTheme="minorHAnsi" w:hAnsiTheme="minorHAnsi" w:cstheme="minorHAnsi"/>
          <w:lang w:val="en-US"/>
        </w:rPr>
        <w:t xml:space="preserve"> (e.g., when individuals identify with a specific behavior, it is highly valued and judged as important for the individual) and </w:t>
      </w:r>
      <w:r w:rsidR="009A0FE3" w:rsidRPr="00AC2720">
        <w:rPr>
          <w:rFonts w:asciiTheme="minorHAnsi" w:hAnsiTheme="minorHAnsi" w:cstheme="minorHAnsi"/>
          <w:i/>
          <w:iCs/>
          <w:lang w:val="en-US"/>
        </w:rPr>
        <w:t>integrated</w:t>
      </w:r>
      <w:r w:rsidR="009A0FE3" w:rsidRPr="00AC2720">
        <w:rPr>
          <w:rFonts w:asciiTheme="minorHAnsi" w:hAnsiTheme="minorHAnsi" w:cstheme="minorHAnsi"/>
          <w:lang w:val="en-US"/>
        </w:rPr>
        <w:t xml:space="preserve"> behavioral regulation (e.g., engagement in the behavior willingly because the self-regulation is consistent with the individual’s self-concept). The </w:t>
      </w:r>
      <w:r w:rsidR="0085031B" w:rsidRPr="00AC2720">
        <w:rPr>
          <w:rFonts w:asciiTheme="minorHAnsi" w:hAnsiTheme="minorHAnsi" w:cstheme="minorHAnsi"/>
          <w:lang w:val="en-US"/>
        </w:rPr>
        <w:t xml:space="preserve">last </w:t>
      </w:r>
      <w:r w:rsidR="009A0FE3" w:rsidRPr="00AC2720">
        <w:rPr>
          <w:rFonts w:asciiTheme="minorHAnsi" w:hAnsiTheme="minorHAnsi" w:cstheme="minorHAnsi"/>
          <w:lang w:val="en-US"/>
        </w:rPr>
        <w:t xml:space="preserve">type of motivation is called </w:t>
      </w:r>
      <w:r w:rsidR="009A0FE3" w:rsidRPr="00AC2720">
        <w:rPr>
          <w:rFonts w:asciiTheme="minorHAnsi" w:hAnsiTheme="minorHAnsi" w:cstheme="minorHAnsi"/>
          <w:i/>
          <w:iCs/>
          <w:lang w:val="en-US"/>
        </w:rPr>
        <w:t>amotivation</w:t>
      </w:r>
      <w:r w:rsidR="009A0FE3" w:rsidRPr="00AC2720">
        <w:rPr>
          <w:rFonts w:asciiTheme="minorHAnsi" w:hAnsiTheme="minorHAnsi" w:cstheme="minorHAnsi"/>
          <w:lang w:val="en-US"/>
        </w:rPr>
        <w:t xml:space="preserve"> (e.g., the state of lacking an intention to act) which is classified as neither self-determined nor non-self-determined regulation. When people perceive a lack of contingency between their behavior and the associated outcomes, they are </w:t>
      </w:r>
      <w:proofErr w:type="spellStart"/>
      <w:r w:rsidR="009A0FE3" w:rsidRPr="00AC2720">
        <w:rPr>
          <w:rFonts w:asciiTheme="minorHAnsi" w:hAnsiTheme="minorHAnsi" w:cstheme="minorHAnsi"/>
          <w:lang w:val="en-US"/>
        </w:rPr>
        <w:t>amotivated</w:t>
      </w:r>
      <w:proofErr w:type="spellEnd"/>
      <w:r w:rsidR="009A0FE3" w:rsidRPr="00AC2720">
        <w:rPr>
          <w:rFonts w:asciiTheme="minorHAnsi" w:hAnsiTheme="minorHAnsi" w:cstheme="minorHAnsi"/>
          <w:lang w:val="en-US"/>
        </w:rPr>
        <w:t>.</w:t>
      </w:r>
    </w:p>
    <w:p w14:paraId="0E4C8EC7" w14:textId="77777777" w:rsidR="002C565A" w:rsidRPr="00AC2720" w:rsidRDefault="002C565A" w:rsidP="002F1FBF">
      <w:pPr>
        <w:spacing w:before="160" w:line="240" w:lineRule="auto"/>
        <w:jc w:val="both"/>
        <w:rPr>
          <w:rFonts w:asciiTheme="minorHAnsi" w:hAnsiTheme="minorHAnsi" w:cstheme="minorHAnsi"/>
          <w:lang w:val="en-US"/>
        </w:rPr>
      </w:pPr>
    </w:p>
    <w:p w14:paraId="2A0E310D" w14:textId="77777777" w:rsidR="002F1FBF" w:rsidRPr="00AC2720" w:rsidRDefault="009A0FE3" w:rsidP="002F1FBF">
      <w:pPr>
        <w:spacing w:before="160" w:line="240" w:lineRule="auto"/>
        <w:jc w:val="both"/>
        <w:rPr>
          <w:rFonts w:asciiTheme="minorHAnsi" w:hAnsiTheme="minorHAnsi" w:cstheme="minorHAnsi"/>
          <w:lang w:val="en-US"/>
        </w:rPr>
      </w:pPr>
      <w:r w:rsidRPr="00AC2720">
        <w:rPr>
          <w:rFonts w:asciiTheme="minorHAnsi" w:hAnsiTheme="minorHAnsi" w:cstheme="minorHAnsi"/>
          <w:lang w:val="en-US"/>
        </w:rPr>
        <w:t xml:space="preserve">Six types of </w:t>
      </w:r>
      <w:r w:rsidR="00422DCA" w:rsidRPr="00AC2720">
        <w:rPr>
          <w:rFonts w:asciiTheme="minorHAnsi" w:hAnsiTheme="minorHAnsi" w:cstheme="minorHAnsi"/>
          <w:lang w:val="en-US"/>
        </w:rPr>
        <w:t xml:space="preserve">perceived switching costs </w:t>
      </w:r>
      <w:r w:rsidRPr="00AC2720">
        <w:rPr>
          <w:rFonts w:asciiTheme="minorHAnsi" w:hAnsiTheme="minorHAnsi" w:cstheme="minorHAnsi"/>
          <w:lang w:val="en-US"/>
        </w:rPr>
        <w:t xml:space="preserve">are </w:t>
      </w:r>
      <w:r w:rsidR="001E1E9F" w:rsidRPr="00AC2720">
        <w:rPr>
          <w:rFonts w:asciiTheme="minorHAnsi" w:hAnsiTheme="minorHAnsi" w:cstheme="minorHAnsi"/>
          <w:lang w:val="en-US"/>
        </w:rPr>
        <w:t xml:space="preserve">proposed </w:t>
      </w:r>
      <w:r w:rsidRPr="00AC2720">
        <w:rPr>
          <w:rFonts w:asciiTheme="minorHAnsi" w:hAnsiTheme="minorHAnsi" w:cstheme="minorHAnsi"/>
          <w:lang w:val="en-US"/>
        </w:rPr>
        <w:t xml:space="preserve">to differentially affect </w:t>
      </w:r>
      <w:r w:rsidR="001E1E9F" w:rsidRPr="00AC2720">
        <w:rPr>
          <w:rFonts w:asciiTheme="minorHAnsi" w:hAnsiTheme="minorHAnsi" w:cstheme="minorHAnsi"/>
          <w:lang w:val="en-US"/>
        </w:rPr>
        <w:t xml:space="preserve">the different </w:t>
      </w:r>
      <w:r w:rsidRPr="00AC2720">
        <w:rPr>
          <w:rFonts w:asciiTheme="minorHAnsi" w:hAnsiTheme="minorHAnsi" w:cstheme="minorHAnsi"/>
          <w:lang w:val="en-US"/>
        </w:rPr>
        <w:t xml:space="preserve">motivational regulations. </w:t>
      </w:r>
      <w:r w:rsidR="001E1E9F" w:rsidRPr="00AC2720">
        <w:rPr>
          <w:rFonts w:asciiTheme="minorHAnsi" w:hAnsiTheme="minorHAnsi" w:cstheme="minorHAnsi"/>
          <w:lang w:val="en-US"/>
        </w:rPr>
        <w:t>P</w:t>
      </w:r>
      <w:r w:rsidR="00422DCA" w:rsidRPr="00AC2720">
        <w:rPr>
          <w:rFonts w:asciiTheme="minorHAnsi" w:hAnsiTheme="minorHAnsi" w:cstheme="minorHAnsi"/>
          <w:lang w:val="en-US"/>
        </w:rPr>
        <w:t xml:space="preserve">erceived </w:t>
      </w:r>
      <w:r w:rsidRPr="00AC2720">
        <w:rPr>
          <w:rFonts w:asciiTheme="minorHAnsi" w:hAnsiTheme="minorHAnsi" w:cstheme="minorHAnsi"/>
          <w:lang w:val="en-US"/>
        </w:rPr>
        <w:t xml:space="preserve">switching costs are usually </w:t>
      </w:r>
      <w:r w:rsidR="001015B7" w:rsidRPr="00AC2720">
        <w:rPr>
          <w:rFonts w:asciiTheme="minorHAnsi" w:hAnsiTheme="minorHAnsi" w:cstheme="minorHAnsi"/>
          <w:lang w:val="en-US"/>
        </w:rPr>
        <w:t xml:space="preserve">classified </w:t>
      </w:r>
      <w:r w:rsidRPr="00AC2720">
        <w:rPr>
          <w:rFonts w:asciiTheme="minorHAnsi" w:hAnsiTheme="minorHAnsi" w:cstheme="minorHAnsi"/>
          <w:lang w:val="en-US"/>
        </w:rPr>
        <w:t xml:space="preserve">into three groups: </w:t>
      </w:r>
      <w:r w:rsidRPr="00AC2720">
        <w:rPr>
          <w:rFonts w:asciiTheme="minorHAnsi" w:hAnsiTheme="minorHAnsi" w:cstheme="minorHAnsi"/>
          <w:iCs/>
          <w:lang w:val="en-US"/>
        </w:rPr>
        <w:t>Procedural, relational, and financial switching costs (Burnham et al., 2003).</w:t>
      </w:r>
      <w:r w:rsidRPr="00AC2720">
        <w:rPr>
          <w:rFonts w:asciiTheme="minorHAnsi" w:hAnsiTheme="minorHAnsi" w:cstheme="minorHAnsi"/>
          <w:i/>
          <w:iCs/>
          <w:lang w:val="en-US"/>
        </w:rPr>
        <w:t xml:space="preserve"> Procedural </w:t>
      </w:r>
      <w:r w:rsidRPr="00AC2720">
        <w:rPr>
          <w:rFonts w:asciiTheme="minorHAnsi" w:hAnsiTheme="minorHAnsi" w:cstheme="minorHAnsi"/>
          <w:lang w:val="en-US"/>
        </w:rPr>
        <w:t xml:space="preserve">switching costs (e.g., economic risk and information costs) and </w:t>
      </w:r>
      <w:r w:rsidRPr="00AC2720">
        <w:rPr>
          <w:rFonts w:asciiTheme="minorHAnsi" w:hAnsiTheme="minorHAnsi" w:cstheme="minorHAnsi"/>
          <w:i/>
          <w:iCs/>
          <w:lang w:val="en-US"/>
        </w:rPr>
        <w:t xml:space="preserve">relational </w:t>
      </w:r>
      <w:r w:rsidRPr="00AC2720">
        <w:rPr>
          <w:rFonts w:asciiTheme="minorHAnsi" w:hAnsiTheme="minorHAnsi" w:cstheme="minorHAnsi"/>
          <w:lang w:val="en-US"/>
        </w:rPr>
        <w:t xml:space="preserve">switching costs (e.g., brand relationship and personal relationship loss costs) are rooted in two opposite sources of constraints. </w:t>
      </w:r>
      <w:r w:rsidR="002F1FBF" w:rsidRPr="00AC2720">
        <w:rPr>
          <w:rFonts w:asciiTheme="minorHAnsi" w:hAnsiTheme="minorHAnsi" w:cstheme="minorHAnsi"/>
          <w:lang w:val="en-US"/>
        </w:rPr>
        <w:t xml:space="preserve">The former utilizes the time, complicated informational procedures, and hassle as a basis to explain the negative source of constraint generated. The latter creates a positive source of constraint providing customers with additional benefits of personal relationships or brand bonds through external rewards. Independent of the underlying source of constraint, switching behavior is in both cases regulated through external regulations which are either </w:t>
      </w:r>
      <w:r w:rsidR="001015B7" w:rsidRPr="00AC2720">
        <w:rPr>
          <w:rFonts w:asciiTheme="minorHAnsi" w:hAnsiTheme="minorHAnsi" w:cstheme="minorHAnsi"/>
          <w:lang w:val="en-US"/>
        </w:rPr>
        <w:t xml:space="preserve">the </w:t>
      </w:r>
      <w:r w:rsidR="002F1FBF" w:rsidRPr="00AC2720">
        <w:rPr>
          <w:rFonts w:asciiTheme="minorHAnsi" w:hAnsiTheme="minorHAnsi" w:cstheme="minorHAnsi"/>
          <w:lang w:val="en-US"/>
        </w:rPr>
        <w:t>loss of rewards, effort</w:t>
      </w:r>
      <w:r w:rsidR="001015B7" w:rsidRPr="00AC2720">
        <w:rPr>
          <w:rFonts w:asciiTheme="minorHAnsi" w:hAnsiTheme="minorHAnsi" w:cstheme="minorHAnsi"/>
          <w:lang w:val="en-US"/>
        </w:rPr>
        <w:t>,</w:t>
      </w:r>
      <w:r w:rsidR="002F1FBF" w:rsidRPr="00AC2720">
        <w:rPr>
          <w:rFonts w:asciiTheme="minorHAnsi" w:hAnsiTheme="minorHAnsi" w:cstheme="minorHAnsi"/>
          <w:lang w:val="en-US"/>
        </w:rPr>
        <w:t xml:space="preserve"> or time associated with switching</w:t>
      </w:r>
      <w:r w:rsidR="001015B7" w:rsidRPr="00AC2720">
        <w:rPr>
          <w:rFonts w:asciiTheme="minorHAnsi" w:hAnsiTheme="minorHAnsi" w:cstheme="minorHAnsi"/>
          <w:lang w:val="en-US"/>
        </w:rPr>
        <w:t xml:space="preserve"> providers</w:t>
      </w:r>
      <w:r w:rsidR="002F1FBF" w:rsidRPr="00AC2720">
        <w:rPr>
          <w:rFonts w:asciiTheme="minorHAnsi" w:hAnsiTheme="minorHAnsi" w:cstheme="minorHAnsi"/>
          <w:lang w:val="en-US"/>
        </w:rPr>
        <w:t xml:space="preserve"> (</w:t>
      </w:r>
      <w:proofErr w:type="spellStart"/>
      <w:r w:rsidR="002F1FBF" w:rsidRPr="00AC2720">
        <w:rPr>
          <w:rFonts w:asciiTheme="minorHAnsi" w:hAnsiTheme="minorHAnsi" w:cstheme="minorHAnsi"/>
          <w:lang w:val="en-US"/>
        </w:rPr>
        <w:t>Blut</w:t>
      </w:r>
      <w:proofErr w:type="spellEnd"/>
      <w:r w:rsidR="002F1FBF" w:rsidRPr="00AC2720">
        <w:rPr>
          <w:rFonts w:asciiTheme="minorHAnsi" w:hAnsiTheme="minorHAnsi" w:cstheme="minorHAnsi"/>
          <w:lang w:val="en-US"/>
        </w:rPr>
        <w:t xml:space="preserve"> et al., 2014</w:t>
      </w:r>
      <w:r w:rsidR="00F83509" w:rsidRPr="00AC2720">
        <w:rPr>
          <w:rFonts w:asciiTheme="minorHAnsi" w:hAnsiTheme="minorHAnsi" w:cstheme="minorHAnsi"/>
          <w:lang w:val="en-US"/>
        </w:rPr>
        <w:t>,</w:t>
      </w:r>
      <w:r w:rsidR="002F1FBF" w:rsidRPr="00AC2720">
        <w:rPr>
          <w:rFonts w:asciiTheme="minorHAnsi" w:hAnsiTheme="minorHAnsi" w:cstheme="minorHAnsi"/>
          <w:lang w:val="en-US"/>
        </w:rPr>
        <w:t xml:space="preserve"> 2015). </w:t>
      </w:r>
      <w:r w:rsidR="0004139E" w:rsidRPr="00AC2720">
        <w:rPr>
          <w:rFonts w:asciiTheme="minorHAnsi" w:hAnsiTheme="minorHAnsi" w:cstheme="minorHAnsi"/>
          <w:i/>
          <w:iCs/>
          <w:lang w:val="en-US"/>
        </w:rPr>
        <w:t>Financial</w:t>
      </w:r>
      <w:r w:rsidR="0004139E" w:rsidRPr="00AC2720">
        <w:rPr>
          <w:rFonts w:asciiTheme="minorHAnsi" w:hAnsiTheme="minorHAnsi" w:cstheme="minorHAnsi"/>
          <w:lang w:val="en-US"/>
        </w:rPr>
        <w:t xml:space="preserve"> switching costs, which include benefit loss costs and monetary loss costs, may also influence external regulations.</w:t>
      </w:r>
    </w:p>
    <w:p w14:paraId="7D7C8182" w14:textId="77777777" w:rsidR="00DD0858" w:rsidRPr="00AC2720" w:rsidRDefault="00DD0858" w:rsidP="002F1FBF">
      <w:pPr>
        <w:spacing w:before="160" w:line="240" w:lineRule="auto"/>
        <w:jc w:val="both"/>
        <w:rPr>
          <w:rFonts w:asciiTheme="minorHAnsi" w:hAnsiTheme="minorHAnsi" w:cstheme="minorHAnsi"/>
          <w:lang w:val="en-US"/>
        </w:rPr>
      </w:pPr>
    </w:p>
    <w:p w14:paraId="2C814480" w14:textId="218180FB" w:rsidR="002C565A" w:rsidRPr="00AC2720" w:rsidRDefault="00C269A3" w:rsidP="002F1FBF">
      <w:pPr>
        <w:spacing w:before="160" w:line="240" w:lineRule="auto"/>
        <w:jc w:val="both"/>
        <w:rPr>
          <w:rFonts w:asciiTheme="minorHAnsi" w:hAnsiTheme="minorHAnsi" w:cstheme="minorHAnsi"/>
          <w:b/>
          <w:bCs/>
          <w:lang w:val="en-US"/>
        </w:rPr>
      </w:pPr>
      <w:r w:rsidRPr="00AC2720">
        <w:rPr>
          <w:rFonts w:asciiTheme="minorHAnsi" w:hAnsiTheme="minorHAnsi" w:cstheme="minorHAnsi"/>
          <w:b/>
          <w:bCs/>
          <w:lang w:val="en-US"/>
        </w:rPr>
        <w:t>R</w:t>
      </w:r>
      <w:r w:rsidR="00AB43B4" w:rsidRPr="00AC2720">
        <w:rPr>
          <w:rFonts w:asciiTheme="minorHAnsi" w:hAnsiTheme="minorHAnsi" w:cstheme="minorHAnsi"/>
          <w:b/>
          <w:bCs/>
          <w:lang w:val="en-US"/>
        </w:rPr>
        <w:t>ESEARCH APPROACH</w:t>
      </w:r>
    </w:p>
    <w:p w14:paraId="762DA81B" w14:textId="77777777" w:rsidR="002F1FBF" w:rsidRPr="00AC2720" w:rsidRDefault="002F1FBF" w:rsidP="002F1FBF">
      <w:pPr>
        <w:spacing w:before="160" w:line="240" w:lineRule="auto"/>
        <w:jc w:val="both"/>
        <w:rPr>
          <w:rFonts w:asciiTheme="minorHAnsi" w:hAnsiTheme="minorHAnsi" w:cstheme="minorHAnsi"/>
          <w:lang w:val="en-US"/>
        </w:rPr>
      </w:pPr>
    </w:p>
    <w:p w14:paraId="50970A32" w14:textId="77777777" w:rsidR="000F7109" w:rsidRPr="00AC2720" w:rsidRDefault="00434EF3" w:rsidP="002F1FBF">
      <w:pPr>
        <w:spacing w:before="160" w:line="240" w:lineRule="auto"/>
        <w:jc w:val="both"/>
        <w:rPr>
          <w:rFonts w:asciiTheme="minorHAnsi" w:hAnsiTheme="minorHAnsi" w:cstheme="minorHAnsi"/>
          <w:lang w:val="en-US"/>
        </w:rPr>
      </w:pPr>
      <w:r w:rsidRPr="00AC2720">
        <w:rPr>
          <w:rFonts w:asciiTheme="minorHAnsi" w:hAnsiTheme="minorHAnsi" w:cstheme="minorHAnsi"/>
          <w:lang w:val="en-US"/>
        </w:rPr>
        <w:t>In total, 241 usable questionnaires</w:t>
      </w:r>
      <w:r w:rsidR="009E472E" w:rsidRPr="00AC2720">
        <w:rPr>
          <w:rFonts w:asciiTheme="minorHAnsi" w:hAnsiTheme="minorHAnsi" w:cstheme="minorHAnsi"/>
          <w:lang w:val="en-US"/>
        </w:rPr>
        <w:t xml:space="preserve"> were </w:t>
      </w:r>
      <w:r w:rsidR="001E1E9F" w:rsidRPr="00AC2720">
        <w:rPr>
          <w:rFonts w:asciiTheme="minorHAnsi" w:hAnsiTheme="minorHAnsi" w:cstheme="minorHAnsi"/>
          <w:lang w:val="en-US"/>
        </w:rPr>
        <w:t>collected in</w:t>
      </w:r>
      <w:r w:rsidR="001015B7" w:rsidRPr="00AC2720">
        <w:rPr>
          <w:rFonts w:asciiTheme="minorHAnsi" w:hAnsiTheme="minorHAnsi" w:cstheme="minorHAnsi"/>
          <w:lang w:val="en-US"/>
        </w:rPr>
        <w:t xml:space="preserve"> </w:t>
      </w:r>
      <w:r w:rsidR="00AE6560" w:rsidRPr="00AC2720">
        <w:rPr>
          <w:rFonts w:asciiTheme="minorHAnsi" w:hAnsiTheme="minorHAnsi" w:cstheme="minorHAnsi"/>
          <w:lang w:val="en-US"/>
        </w:rPr>
        <w:t xml:space="preserve">our survey among </w:t>
      </w:r>
      <w:r w:rsidR="001015B7" w:rsidRPr="00AC2720">
        <w:rPr>
          <w:rFonts w:asciiTheme="minorHAnsi" w:hAnsiTheme="minorHAnsi" w:cstheme="minorHAnsi"/>
          <w:lang w:val="en-US"/>
        </w:rPr>
        <w:t>banking customers</w:t>
      </w:r>
      <w:r w:rsidRPr="00AC2720">
        <w:rPr>
          <w:rFonts w:asciiTheme="minorHAnsi" w:hAnsiTheme="minorHAnsi" w:cstheme="minorHAnsi"/>
          <w:lang w:val="en-US"/>
        </w:rPr>
        <w:t xml:space="preserve">. The average age in </w:t>
      </w:r>
      <w:r w:rsidR="009E472E" w:rsidRPr="00AC2720">
        <w:rPr>
          <w:rFonts w:asciiTheme="minorHAnsi" w:hAnsiTheme="minorHAnsi" w:cstheme="minorHAnsi"/>
          <w:lang w:val="en-US"/>
        </w:rPr>
        <w:t>the</w:t>
      </w:r>
      <w:r w:rsidRPr="00AC2720">
        <w:rPr>
          <w:rFonts w:asciiTheme="minorHAnsi" w:hAnsiTheme="minorHAnsi" w:cstheme="minorHAnsi"/>
          <w:lang w:val="en-US"/>
        </w:rPr>
        <w:t xml:space="preserve"> sample was 32.</w:t>
      </w:r>
      <w:r w:rsidR="001015B7" w:rsidRPr="00AC2720">
        <w:rPr>
          <w:rFonts w:asciiTheme="minorHAnsi" w:hAnsiTheme="minorHAnsi" w:cstheme="minorHAnsi"/>
          <w:lang w:val="en-US"/>
        </w:rPr>
        <w:t xml:space="preserve">9 </w:t>
      </w:r>
      <w:r w:rsidRPr="00AC2720">
        <w:rPr>
          <w:rFonts w:asciiTheme="minorHAnsi" w:hAnsiTheme="minorHAnsi" w:cstheme="minorHAnsi"/>
          <w:lang w:val="en-US"/>
        </w:rPr>
        <w:t>years. Regarding other socio-demographics, 49.8 percent of the study participants were female with an annual income of 46,366 US-Dollars.</w:t>
      </w:r>
      <w:r w:rsidR="000F7109" w:rsidRPr="00AC2720">
        <w:rPr>
          <w:rFonts w:asciiTheme="minorHAnsi" w:hAnsiTheme="minorHAnsi" w:cstheme="minorHAnsi"/>
          <w:lang w:val="en-US"/>
        </w:rPr>
        <w:t xml:space="preserve"> Measurements of latent constructs were adapted from the literature. Our measurement model suggests a good fit to the data: Comparative Fit Index=.91; Tucker Lewis Index=.90; Root Mean Square Error of Approximation=.05; Standardized Root Mean Square Residual=.08 (Hair et al. 2006). We have also tested the extent of common method bias and did not find it to be problematic. </w:t>
      </w:r>
    </w:p>
    <w:p w14:paraId="4D6EF9B4" w14:textId="77777777" w:rsidR="00DD0858" w:rsidRPr="00AC2720" w:rsidRDefault="00DD0858" w:rsidP="002C565A">
      <w:pPr>
        <w:spacing w:before="160" w:line="240" w:lineRule="auto"/>
        <w:jc w:val="both"/>
        <w:rPr>
          <w:rFonts w:asciiTheme="minorHAnsi" w:hAnsiTheme="minorHAnsi" w:cstheme="minorHAnsi"/>
          <w:b/>
          <w:bCs/>
          <w:lang w:val="en-US"/>
        </w:rPr>
      </w:pPr>
    </w:p>
    <w:p w14:paraId="356E4A8E" w14:textId="7CBDA832" w:rsidR="00434EF3" w:rsidRPr="00AC2720" w:rsidRDefault="00C932FE" w:rsidP="002C565A">
      <w:pPr>
        <w:spacing w:before="160" w:line="240" w:lineRule="auto"/>
        <w:jc w:val="both"/>
        <w:rPr>
          <w:rFonts w:asciiTheme="minorHAnsi" w:hAnsiTheme="minorHAnsi" w:cstheme="minorHAnsi"/>
          <w:b/>
          <w:bCs/>
          <w:lang w:val="en-US"/>
        </w:rPr>
      </w:pPr>
      <w:r w:rsidRPr="00AC2720">
        <w:rPr>
          <w:rFonts w:asciiTheme="minorHAnsi" w:hAnsiTheme="minorHAnsi" w:cstheme="minorHAnsi"/>
          <w:b/>
          <w:bCs/>
          <w:lang w:val="en-US"/>
        </w:rPr>
        <w:t>DISCUSSION</w:t>
      </w:r>
    </w:p>
    <w:p w14:paraId="632EED18" w14:textId="77777777" w:rsidR="002C565A" w:rsidRPr="00AC2720" w:rsidRDefault="002C565A" w:rsidP="002C565A">
      <w:pPr>
        <w:spacing w:before="160" w:line="240" w:lineRule="auto"/>
        <w:jc w:val="both"/>
        <w:rPr>
          <w:rFonts w:asciiTheme="minorHAnsi" w:hAnsiTheme="minorHAnsi" w:cstheme="minorHAnsi"/>
          <w:lang w:val="en-US"/>
        </w:rPr>
      </w:pPr>
    </w:p>
    <w:p w14:paraId="1A4AA4D0" w14:textId="77777777" w:rsidR="00D53492" w:rsidRPr="00AC2720" w:rsidRDefault="00D53492" w:rsidP="00031B6E">
      <w:pPr>
        <w:spacing w:before="160" w:line="240" w:lineRule="auto"/>
        <w:jc w:val="both"/>
        <w:rPr>
          <w:rFonts w:asciiTheme="minorHAnsi" w:hAnsiTheme="minorHAnsi" w:cstheme="minorHAnsi"/>
          <w:lang w:val="en-US"/>
        </w:rPr>
      </w:pPr>
      <w:r w:rsidRPr="00AC2720">
        <w:rPr>
          <w:rFonts w:asciiTheme="minorHAnsi" w:hAnsiTheme="minorHAnsi" w:cstheme="minorHAnsi"/>
          <w:lang w:val="en-US"/>
        </w:rPr>
        <w:t xml:space="preserve">Results </w:t>
      </w:r>
      <w:r w:rsidR="001E1E9F" w:rsidRPr="00AC2720">
        <w:rPr>
          <w:rFonts w:asciiTheme="minorHAnsi" w:hAnsiTheme="minorHAnsi" w:cstheme="minorHAnsi"/>
          <w:lang w:val="en-US"/>
        </w:rPr>
        <w:t xml:space="preserve">of our study </w:t>
      </w:r>
      <w:r w:rsidRPr="00AC2720">
        <w:rPr>
          <w:rFonts w:asciiTheme="minorHAnsi" w:hAnsiTheme="minorHAnsi" w:cstheme="minorHAnsi"/>
          <w:lang w:val="en-US"/>
        </w:rPr>
        <w:t>suggest that</w:t>
      </w:r>
      <w:r w:rsidR="00031B6E" w:rsidRPr="00AC2720">
        <w:rPr>
          <w:rFonts w:asciiTheme="minorHAnsi" w:hAnsiTheme="minorHAnsi" w:cstheme="minorHAnsi"/>
          <w:lang w:val="en-US"/>
        </w:rPr>
        <w:t xml:space="preserve"> amotivation increases dysfunctional behavior and negative </w:t>
      </w:r>
      <w:r w:rsidR="00783083" w:rsidRPr="00AC2720">
        <w:rPr>
          <w:rFonts w:asciiTheme="minorHAnsi" w:hAnsiTheme="minorHAnsi" w:cstheme="minorHAnsi"/>
          <w:lang w:val="en-US"/>
        </w:rPr>
        <w:t xml:space="preserve">word of mouth </w:t>
      </w:r>
      <w:r w:rsidR="00031B6E" w:rsidRPr="00AC2720">
        <w:rPr>
          <w:rFonts w:asciiTheme="minorHAnsi" w:hAnsiTheme="minorHAnsi" w:cstheme="minorHAnsi"/>
          <w:lang w:val="en-US"/>
        </w:rPr>
        <w:t xml:space="preserve">behavior. Introjected regulations also positively impact dysfunctional behavior, but not </w:t>
      </w:r>
      <w:r w:rsidR="00B038DE" w:rsidRPr="00AC2720">
        <w:rPr>
          <w:rFonts w:asciiTheme="minorHAnsi" w:hAnsiTheme="minorHAnsi" w:cstheme="minorHAnsi"/>
          <w:lang w:val="en-US"/>
        </w:rPr>
        <w:t>WOM</w:t>
      </w:r>
      <w:r w:rsidR="00031B6E" w:rsidRPr="00AC2720">
        <w:rPr>
          <w:rFonts w:asciiTheme="minorHAnsi" w:hAnsiTheme="minorHAnsi" w:cstheme="minorHAnsi"/>
          <w:lang w:val="en-US"/>
        </w:rPr>
        <w:t>.</w:t>
      </w:r>
      <w:r w:rsidR="00AE6560" w:rsidRPr="00AC2720">
        <w:rPr>
          <w:rFonts w:asciiTheme="minorHAnsi" w:hAnsiTheme="minorHAnsi" w:cstheme="minorHAnsi"/>
          <w:lang w:val="en-US"/>
        </w:rPr>
        <w:t xml:space="preserve"> </w:t>
      </w:r>
      <w:r w:rsidR="00031B6E" w:rsidRPr="00AC2720">
        <w:rPr>
          <w:rFonts w:asciiTheme="minorHAnsi" w:hAnsiTheme="minorHAnsi" w:cstheme="minorHAnsi"/>
          <w:lang w:val="en-US"/>
        </w:rPr>
        <w:t>In comparison, identified regulation is found to lower the likelihood of dysfunctional behavior. Surprisingly, integrated regulations increase the likelihood of dysfunctional behavior which is contrary to our predictions. S</w:t>
      </w:r>
      <w:r w:rsidR="002221D8" w:rsidRPr="00AC2720">
        <w:rPr>
          <w:rFonts w:asciiTheme="minorHAnsi" w:hAnsiTheme="minorHAnsi" w:cstheme="minorHAnsi"/>
          <w:lang w:val="en-US"/>
        </w:rPr>
        <w:t xml:space="preserve">everal </w:t>
      </w:r>
      <w:r w:rsidR="0004139E" w:rsidRPr="00AC2720">
        <w:rPr>
          <w:rFonts w:asciiTheme="minorHAnsi" w:hAnsiTheme="minorHAnsi" w:cstheme="minorHAnsi"/>
          <w:lang w:val="en-US"/>
        </w:rPr>
        <w:t xml:space="preserve">of the examined </w:t>
      </w:r>
      <w:r w:rsidR="00F41789" w:rsidRPr="00AC2720">
        <w:rPr>
          <w:rFonts w:asciiTheme="minorHAnsi" w:hAnsiTheme="minorHAnsi" w:cstheme="minorHAnsi"/>
          <w:lang w:val="en-US"/>
        </w:rPr>
        <w:t>switching costs</w:t>
      </w:r>
      <w:r w:rsidR="0004139E" w:rsidRPr="00AC2720">
        <w:rPr>
          <w:rFonts w:asciiTheme="minorHAnsi" w:hAnsiTheme="minorHAnsi" w:cstheme="minorHAnsi"/>
          <w:lang w:val="en-US"/>
        </w:rPr>
        <w:t xml:space="preserve"> </w:t>
      </w:r>
      <w:r w:rsidRPr="00AC2720">
        <w:rPr>
          <w:rFonts w:asciiTheme="minorHAnsi" w:hAnsiTheme="minorHAnsi" w:cstheme="minorHAnsi"/>
          <w:lang w:val="en-US"/>
        </w:rPr>
        <w:t>increase the likelihood of dysfunctional customer behavior</w:t>
      </w:r>
      <w:r w:rsidR="00031B6E" w:rsidRPr="00AC2720">
        <w:rPr>
          <w:rFonts w:asciiTheme="minorHAnsi" w:hAnsiTheme="minorHAnsi" w:cstheme="minorHAnsi"/>
          <w:lang w:val="en-US"/>
        </w:rPr>
        <w:t xml:space="preserve"> </w:t>
      </w:r>
      <w:r w:rsidR="00AE6560" w:rsidRPr="00AC2720">
        <w:rPr>
          <w:rFonts w:asciiTheme="minorHAnsi" w:hAnsiTheme="minorHAnsi" w:cstheme="minorHAnsi"/>
          <w:lang w:val="en-US"/>
        </w:rPr>
        <w:t xml:space="preserve">and negative </w:t>
      </w:r>
      <w:r w:rsidR="009054D4" w:rsidRPr="00AC2720">
        <w:rPr>
          <w:rFonts w:asciiTheme="minorHAnsi" w:hAnsiTheme="minorHAnsi" w:cstheme="minorHAnsi"/>
          <w:lang w:val="en-US"/>
        </w:rPr>
        <w:t>WOM</w:t>
      </w:r>
      <w:r w:rsidR="00783083" w:rsidRPr="00AC2720">
        <w:rPr>
          <w:rFonts w:asciiTheme="minorHAnsi" w:hAnsiTheme="minorHAnsi" w:cstheme="minorHAnsi"/>
          <w:lang w:val="en-US"/>
        </w:rPr>
        <w:t xml:space="preserve"> </w:t>
      </w:r>
      <w:r w:rsidR="00031B6E" w:rsidRPr="00AC2720">
        <w:rPr>
          <w:rFonts w:asciiTheme="minorHAnsi" w:hAnsiTheme="minorHAnsi" w:cstheme="minorHAnsi"/>
          <w:lang w:val="en-US"/>
        </w:rPr>
        <w:t>through these mediators</w:t>
      </w:r>
      <w:r w:rsidRPr="00AC2720">
        <w:rPr>
          <w:rFonts w:asciiTheme="minorHAnsi" w:hAnsiTheme="minorHAnsi" w:cstheme="minorHAnsi"/>
          <w:lang w:val="en-US"/>
        </w:rPr>
        <w:t xml:space="preserve">. While most </w:t>
      </w:r>
      <w:r w:rsidR="00D860B7" w:rsidRPr="00AC2720">
        <w:rPr>
          <w:rFonts w:asciiTheme="minorHAnsi" w:hAnsiTheme="minorHAnsi" w:cstheme="minorHAnsi"/>
          <w:lang w:val="en-US"/>
        </w:rPr>
        <w:t xml:space="preserve">of the examined </w:t>
      </w:r>
      <w:r w:rsidR="00F41789" w:rsidRPr="00AC2720">
        <w:rPr>
          <w:rFonts w:asciiTheme="minorHAnsi" w:hAnsiTheme="minorHAnsi" w:cstheme="minorHAnsi"/>
          <w:lang w:val="en-US"/>
        </w:rPr>
        <w:t>switching costs</w:t>
      </w:r>
      <w:r w:rsidR="003E442E" w:rsidRPr="00AC2720">
        <w:rPr>
          <w:rFonts w:asciiTheme="minorHAnsi" w:hAnsiTheme="minorHAnsi" w:cstheme="minorHAnsi"/>
          <w:lang w:val="en-US"/>
        </w:rPr>
        <w:t xml:space="preserve"> </w:t>
      </w:r>
      <w:r w:rsidR="00D860B7" w:rsidRPr="00AC2720">
        <w:rPr>
          <w:rFonts w:asciiTheme="minorHAnsi" w:hAnsiTheme="minorHAnsi" w:cstheme="minorHAnsi"/>
          <w:lang w:val="en-US"/>
        </w:rPr>
        <w:t>were</w:t>
      </w:r>
      <w:r w:rsidRPr="00AC2720">
        <w:rPr>
          <w:rFonts w:asciiTheme="minorHAnsi" w:hAnsiTheme="minorHAnsi" w:cstheme="minorHAnsi"/>
          <w:lang w:val="en-US"/>
        </w:rPr>
        <w:t xml:space="preserve"> found to display some negative effects, the strongest effects </w:t>
      </w:r>
      <w:r w:rsidR="0004139E" w:rsidRPr="00AC2720">
        <w:rPr>
          <w:rFonts w:asciiTheme="minorHAnsi" w:hAnsiTheme="minorHAnsi" w:cstheme="minorHAnsi"/>
          <w:lang w:val="en-US"/>
        </w:rPr>
        <w:t xml:space="preserve">were </w:t>
      </w:r>
      <w:r w:rsidRPr="00AC2720">
        <w:rPr>
          <w:rFonts w:asciiTheme="minorHAnsi" w:hAnsiTheme="minorHAnsi" w:cstheme="minorHAnsi"/>
          <w:lang w:val="en-US"/>
        </w:rPr>
        <w:t>observed for information switching costs, monetary loss costs, and personal relationship loss costs.</w:t>
      </w:r>
    </w:p>
    <w:p w14:paraId="3CA1730A" w14:textId="77777777" w:rsidR="00DD0858" w:rsidRPr="00AC2720" w:rsidRDefault="00DD0858" w:rsidP="002C565A">
      <w:pPr>
        <w:spacing w:before="160" w:line="240" w:lineRule="auto"/>
        <w:jc w:val="both"/>
        <w:rPr>
          <w:rFonts w:asciiTheme="minorHAnsi" w:hAnsiTheme="minorHAnsi" w:cstheme="minorHAnsi"/>
          <w:lang w:val="en-US"/>
        </w:rPr>
      </w:pPr>
    </w:p>
    <w:p w14:paraId="18C7184F" w14:textId="51EBDB99" w:rsidR="00A027AF" w:rsidRPr="00AC2720" w:rsidRDefault="003E55A8" w:rsidP="002C565A">
      <w:pPr>
        <w:spacing w:before="160" w:line="240" w:lineRule="auto"/>
        <w:jc w:val="both"/>
        <w:rPr>
          <w:rFonts w:asciiTheme="minorHAnsi" w:hAnsiTheme="minorHAnsi" w:cstheme="minorHAnsi"/>
          <w:b/>
          <w:bCs/>
          <w:lang w:val="en-US"/>
        </w:rPr>
      </w:pPr>
      <w:r w:rsidRPr="00AC2720">
        <w:rPr>
          <w:rFonts w:asciiTheme="minorHAnsi" w:hAnsiTheme="minorHAnsi" w:cstheme="minorHAnsi"/>
          <w:b/>
          <w:bCs/>
          <w:lang w:val="en-US"/>
        </w:rPr>
        <w:t xml:space="preserve">IMPLICATIONS </w:t>
      </w:r>
    </w:p>
    <w:p w14:paraId="28FC41BA" w14:textId="77777777" w:rsidR="002C565A" w:rsidRPr="00AC2720" w:rsidRDefault="002C565A" w:rsidP="002C565A">
      <w:pPr>
        <w:spacing w:before="160" w:line="240" w:lineRule="auto"/>
        <w:jc w:val="both"/>
        <w:rPr>
          <w:rFonts w:asciiTheme="minorHAnsi" w:hAnsiTheme="minorHAnsi" w:cstheme="minorHAnsi"/>
        </w:rPr>
      </w:pPr>
    </w:p>
    <w:p w14:paraId="0144442C" w14:textId="381B0EA2" w:rsidR="002C565A" w:rsidRPr="00AC2720" w:rsidRDefault="001630C1" w:rsidP="002C565A">
      <w:pPr>
        <w:spacing w:before="160" w:line="240" w:lineRule="auto"/>
        <w:jc w:val="both"/>
        <w:rPr>
          <w:rFonts w:asciiTheme="minorHAnsi" w:hAnsiTheme="minorHAnsi" w:cstheme="minorHAnsi"/>
        </w:rPr>
      </w:pPr>
      <w:r w:rsidRPr="00AC2720">
        <w:rPr>
          <w:rFonts w:asciiTheme="minorHAnsi" w:hAnsiTheme="minorHAnsi" w:cstheme="minorHAnsi"/>
        </w:rPr>
        <w:t xml:space="preserve">The impact of COVID-19 has profound and long-term structural and transformational changes </w:t>
      </w:r>
      <w:r w:rsidR="001E1E9F" w:rsidRPr="00AC2720">
        <w:rPr>
          <w:rFonts w:asciiTheme="minorHAnsi" w:hAnsiTheme="minorHAnsi" w:cstheme="minorHAnsi"/>
        </w:rPr>
        <w:t xml:space="preserve">for </w:t>
      </w:r>
      <w:r w:rsidRPr="00AC2720">
        <w:rPr>
          <w:rFonts w:asciiTheme="minorHAnsi" w:hAnsiTheme="minorHAnsi" w:cstheme="minorHAnsi"/>
        </w:rPr>
        <w:t xml:space="preserve">the banking industry. The data of our study was collected prior to the pandemic. </w:t>
      </w:r>
      <w:r w:rsidR="001E1E9F" w:rsidRPr="00AC2720">
        <w:rPr>
          <w:rFonts w:asciiTheme="minorHAnsi" w:hAnsiTheme="minorHAnsi" w:cstheme="minorHAnsi"/>
        </w:rPr>
        <w:t xml:space="preserve">Moreover, </w:t>
      </w:r>
      <w:r w:rsidR="001E1E9F" w:rsidRPr="00AC2720">
        <w:rPr>
          <w:rFonts w:asciiTheme="minorHAnsi" w:hAnsiTheme="minorHAnsi" w:cstheme="minorHAnsi"/>
          <w:lang w:val="en-US"/>
        </w:rPr>
        <w:t>f</w:t>
      </w:r>
      <w:r w:rsidRPr="00AC2720">
        <w:rPr>
          <w:rFonts w:asciiTheme="minorHAnsi" w:hAnsiTheme="minorHAnsi" w:cstheme="minorHAnsi"/>
          <w:lang w:val="en-US"/>
        </w:rPr>
        <w:t>uture studies are encouraged to investigate generational customer differences which may impact the relationships in our model.</w:t>
      </w:r>
      <w:r w:rsidR="00AE6560" w:rsidRPr="00AC2720">
        <w:rPr>
          <w:rFonts w:asciiTheme="minorHAnsi" w:hAnsiTheme="minorHAnsi" w:cstheme="minorHAnsi"/>
          <w:lang w:val="en-US"/>
        </w:rPr>
        <w:t xml:space="preserve"> </w:t>
      </w:r>
      <w:r w:rsidR="00AE6560" w:rsidRPr="00AC2720">
        <w:rPr>
          <w:rFonts w:asciiTheme="minorHAnsi" w:hAnsiTheme="minorHAnsi" w:cstheme="minorHAnsi"/>
        </w:rPr>
        <w:t xml:space="preserve">For instance, Gen Y customers (e.g., 25-40 years old) </w:t>
      </w:r>
      <w:r w:rsidR="001E1E9F" w:rsidRPr="00AC2720">
        <w:rPr>
          <w:rFonts w:asciiTheme="minorHAnsi" w:hAnsiTheme="minorHAnsi" w:cstheme="minorHAnsi"/>
        </w:rPr>
        <w:t>had</w:t>
      </w:r>
      <w:r w:rsidR="00AE6560" w:rsidRPr="00AC2720">
        <w:rPr>
          <w:rFonts w:asciiTheme="minorHAnsi" w:hAnsiTheme="minorHAnsi" w:cstheme="minorHAnsi"/>
        </w:rPr>
        <w:t xml:space="preserve"> the highest switching rate</w:t>
      </w:r>
      <w:r w:rsidR="001E1E9F" w:rsidRPr="00AC2720">
        <w:rPr>
          <w:rFonts w:asciiTheme="minorHAnsi" w:hAnsiTheme="minorHAnsi" w:cstheme="minorHAnsi"/>
        </w:rPr>
        <w:t>s</w:t>
      </w:r>
      <w:r w:rsidR="00AE6560" w:rsidRPr="00AC2720">
        <w:rPr>
          <w:rFonts w:asciiTheme="minorHAnsi" w:hAnsiTheme="minorHAnsi" w:cstheme="minorHAnsi"/>
        </w:rPr>
        <w:t xml:space="preserve"> among all generations during the COVID period.</w:t>
      </w:r>
      <w:r w:rsidR="00783083" w:rsidRPr="00AC2720">
        <w:rPr>
          <w:rFonts w:asciiTheme="minorHAnsi" w:hAnsiTheme="minorHAnsi" w:cstheme="minorHAnsi"/>
        </w:rPr>
        <w:t xml:space="preserve"> It is unclear whether switching costs </w:t>
      </w:r>
      <w:r w:rsidR="001E1E9F" w:rsidRPr="00AC2720">
        <w:rPr>
          <w:rFonts w:asciiTheme="minorHAnsi" w:hAnsiTheme="minorHAnsi" w:cstheme="minorHAnsi"/>
        </w:rPr>
        <w:t xml:space="preserve">display the same effectiveness for </w:t>
      </w:r>
      <w:r w:rsidR="00783083" w:rsidRPr="00AC2720">
        <w:rPr>
          <w:rFonts w:asciiTheme="minorHAnsi" w:hAnsiTheme="minorHAnsi" w:cstheme="minorHAnsi"/>
        </w:rPr>
        <w:t xml:space="preserve">these customers. </w:t>
      </w:r>
    </w:p>
    <w:p w14:paraId="72AD3955" w14:textId="77777777" w:rsidR="00A06410" w:rsidRPr="00AC2720" w:rsidRDefault="00A06410" w:rsidP="002C565A">
      <w:pPr>
        <w:spacing w:before="160" w:line="240" w:lineRule="auto"/>
        <w:jc w:val="both"/>
        <w:rPr>
          <w:rFonts w:asciiTheme="minorHAnsi" w:hAnsiTheme="minorHAnsi" w:cstheme="minorHAnsi"/>
        </w:rPr>
      </w:pPr>
    </w:p>
    <w:p w14:paraId="32F7FCFD" w14:textId="77777777" w:rsidR="007C5D49" w:rsidRPr="00AC2720" w:rsidRDefault="003B3DAF" w:rsidP="002C565A">
      <w:pPr>
        <w:spacing w:before="160" w:line="240" w:lineRule="auto"/>
        <w:jc w:val="both"/>
        <w:rPr>
          <w:rFonts w:asciiTheme="minorHAnsi" w:hAnsiTheme="minorHAnsi" w:cstheme="minorHAnsi"/>
          <w:b/>
          <w:bCs/>
          <w:lang w:val="en-US"/>
        </w:rPr>
      </w:pPr>
      <w:r w:rsidRPr="00AC2720">
        <w:rPr>
          <w:rFonts w:asciiTheme="minorHAnsi" w:hAnsiTheme="minorHAnsi" w:cstheme="minorHAnsi"/>
          <w:lang w:val="en-US"/>
        </w:rPr>
        <w:t>SDT</w:t>
      </w:r>
      <w:r w:rsidRPr="00AC2720" w:rsidDel="003B3DAF">
        <w:rPr>
          <w:rFonts w:asciiTheme="minorHAnsi" w:hAnsiTheme="minorHAnsi" w:cstheme="minorHAnsi"/>
          <w:lang w:val="en-US"/>
        </w:rPr>
        <w:t xml:space="preserve"> </w:t>
      </w:r>
      <w:r w:rsidR="007C5D49" w:rsidRPr="00AC2720">
        <w:rPr>
          <w:rFonts w:asciiTheme="minorHAnsi" w:hAnsiTheme="minorHAnsi" w:cstheme="minorHAnsi"/>
          <w:lang w:val="en-US"/>
        </w:rPr>
        <w:t xml:space="preserve">provides the literature new insights into </w:t>
      </w:r>
      <w:r w:rsidR="00F41789" w:rsidRPr="00AC2720">
        <w:rPr>
          <w:rFonts w:asciiTheme="minorHAnsi" w:hAnsiTheme="minorHAnsi" w:cstheme="minorHAnsi"/>
          <w:lang w:val="en-US"/>
        </w:rPr>
        <w:t xml:space="preserve">perceived switching costs </w:t>
      </w:r>
      <w:r w:rsidR="007C5D49" w:rsidRPr="00AC2720">
        <w:rPr>
          <w:rFonts w:asciiTheme="minorHAnsi" w:hAnsiTheme="minorHAnsi" w:cstheme="minorHAnsi"/>
          <w:lang w:val="en-US"/>
        </w:rPr>
        <w:t xml:space="preserve">effects. </w:t>
      </w:r>
      <w:r w:rsidR="00031B6E" w:rsidRPr="00AC2720">
        <w:rPr>
          <w:rFonts w:asciiTheme="minorHAnsi" w:hAnsiTheme="minorHAnsi" w:cstheme="minorHAnsi"/>
          <w:lang w:val="en-US"/>
        </w:rPr>
        <w:t xml:space="preserve">Customers being unable to switch providers are discussed to engage in dysfunctional behaviors which have serious long-term consequences for the firm, such as malicious </w:t>
      </w:r>
      <w:r w:rsidR="001A6439" w:rsidRPr="00AC2720">
        <w:rPr>
          <w:rFonts w:asciiTheme="minorHAnsi" w:hAnsiTheme="minorHAnsi" w:cstheme="minorHAnsi"/>
          <w:lang w:val="en-US"/>
        </w:rPr>
        <w:t>WOM</w:t>
      </w:r>
      <w:r w:rsidR="00031B6E" w:rsidRPr="00AC2720">
        <w:rPr>
          <w:rFonts w:asciiTheme="minorHAnsi" w:hAnsiTheme="minorHAnsi" w:cstheme="minorHAnsi"/>
          <w:lang w:val="en-US"/>
        </w:rPr>
        <w:t xml:space="preserve"> or sabotage. The present study, therefore, examines the impact of various types of switching costs on these negative outcomes. SDT</w:t>
      </w:r>
      <w:r w:rsidR="00031B6E" w:rsidRPr="00AC2720" w:rsidDel="003B3DAF">
        <w:rPr>
          <w:rFonts w:asciiTheme="minorHAnsi" w:hAnsiTheme="minorHAnsi" w:cstheme="minorHAnsi"/>
          <w:lang w:val="en-US"/>
        </w:rPr>
        <w:t xml:space="preserve"> </w:t>
      </w:r>
      <w:r w:rsidR="00031B6E" w:rsidRPr="00AC2720">
        <w:rPr>
          <w:rFonts w:asciiTheme="minorHAnsi" w:hAnsiTheme="minorHAnsi" w:cstheme="minorHAnsi"/>
          <w:lang w:val="en-US"/>
        </w:rPr>
        <w:t xml:space="preserve">provides insights into the underlying mechanisms of these effects. </w:t>
      </w:r>
    </w:p>
    <w:p w14:paraId="6EB147CE" w14:textId="77777777" w:rsidR="003E55A8" w:rsidRPr="00AC2720" w:rsidRDefault="003E55A8" w:rsidP="002C565A">
      <w:pPr>
        <w:spacing w:before="160" w:line="240" w:lineRule="auto"/>
        <w:jc w:val="both"/>
        <w:rPr>
          <w:rFonts w:asciiTheme="minorHAnsi" w:hAnsiTheme="minorHAnsi" w:cstheme="minorHAnsi"/>
          <w:lang w:val="en-US"/>
        </w:rPr>
      </w:pPr>
    </w:p>
    <w:p w14:paraId="221CA3A2" w14:textId="77777777" w:rsidR="0030167E" w:rsidRPr="00AC2720" w:rsidRDefault="0016517F" w:rsidP="002C565A">
      <w:pPr>
        <w:spacing w:before="160" w:line="240" w:lineRule="auto"/>
        <w:ind w:left="426" w:hanging="426"/>
        <w:jc w:val="both"/>
        <w:rPr>
          <w:rFonts w:asciiTheme="minorHAnsi" w:hAnsiTheme="minorHAnsi" w:cstheme="minorHAnsi"/>
          <w:b/>
          <w:bCs/>
        </w:rPr>
      </w:pPr>
      <w:r w:rsidRPr="00AC2720">
        <w:rPr>
          <w:rFonts w:asciiTheme="minorHAnsi" w:hAnsiTheme="minorHAnsi" w:cstheme="minorHAnsi"/>
          <w:b/>
          <w:bCs/>
        </w:rPr>
        <w:t>REFERENCES</w:t>
      </w:r>
    </w:p>
    <w:p w14:paraId="3FBE4E66" w14:textId="77777777" w:rsidR="0016517F" w:rsidRPr="00AC2720" w:rsidRDefault="0016517F" w:rsidP="002C565A">
      <w:pPr>
        <w:spacing w:before="160" w:line="240" w:lineRule="auto"/>
        <w:jc w:val="both"/>
        <w:rPr>
          <w:rFonts w:asciiTheme="minorHAnsi" w:hAnsiTheme="minorHAnsi" w:cstheme="minorHAnsi"/>
        </w:rPr>
      </w:pPr>
    </w:p>
    <w:p w14:paraId="02D28303" w14:textId="77777777" w:rsidR="00957285" w:rsidRPr="00AC2720" w:rsidRDefault="00FF42C5" w:rsidP="002C565A">
      <w:pPr>
        <w:spacing w:before="160" w:line="240" w:lineRule="auto"/>
        <w:ind w:left="426" w:hanging="426"/>
        <w:jc w:val="both"/>
        <w:rPr>
          <w:rFonts w:asciiTheme="minorHAnsi" w:hAnsiTheme="minorHAnsi" w:cstheme="minorHAnsi"/>
        </w:rPr>
      </w:pPr>
      <w:proofErr w:type="spellStart"/>
      <w:r w:rsidRPr="00AC2720">
        <w:rPr>
          <w:rFonts w:asciiTheme="minorHAnsi" w:hAnsiTheme="minorHAnsi" w:cstheme="minorHAnsi"/>
        </w:rPr>
        <w:t>Blut</w:t>
      </w:r>
      <w:proofErr w:type="spellEnd"/>
      <w:r w:rsidR="00957285" w:rsidRPr="00AC2720">
        <w:rPr>
          <w:rFonts w:asciiTheme="minorHAnsi" w:hAnsiTheme="minorHAnsi" w:cstheme="minorHAnsi"/>
        </w:rPr>
        <w:t xml:space="preserve">, M., </w:t>
      </w:r>
      <w:r w:rsidRPr="00AC2720">
        <w:rPr>
          <w:rFonts w:asciiTheme="minorHAnsi" w:hAnsiTheme="minorHAnsi" w:cstheme="minorHAnsi"/>
        </w:rPr>
        <w:t>Beatty</w:t>
      </w:r>
      <w:r w:rsidR="00957285" w:rsidRPr="00AC2720">
        <w:rPr>
          <w:rFonts w:asciiTheme="minorHAnsi" w:hAnsiTheme="minorHAnsi" w:cstheme="minorHAnsi"/>
        </w:rPr>
        <w:t xml:space="preserve">, S. E., </w:t>
      </w:r>
      <w:r w:rsidRPr="00AC2720">
        <w:rPr>
          <w:rFonts w:asciiTheme="minorHAnsi" w:hAnsiTheme="minorHAnsi" w:cstheme="minorHAnsi"/>
        </w:rPr>
        <w:t>Evanschitzky</w:t>
      </w:r>
      <w:r w:rsidR="00957285" w:rsidRPr="00AC2720">
        <w:rPr>
          <w:rFonts w:asciiTheme="minorHAnsi" w:hAnsiTheme="minorHAnsi" w:cstheme="minorHAnsi"/>
        </w:rPr>
        <w:t>, H.</w:t>
      </w:r>
      <w:r w:rsidRPr="00AC2720">
        <w:rPr>
          <w:rFonts w:asciiTheme="minorHAnsi" w:hAnsiTheme="minorHAnsi" w:cstheme="minorHAnsi"/>
        </w:rPr>
        <w:t>,</w:t>
      </w:r>
      <w:r w:rsidR="00957285" w:rsidRPr="00AC2720">
        <w:rPr>
          <w:rFonts w:asciiTheme="minorHAnsi" w:hAnsiTheme="minorHAnsi" w:cstheme="minorHAnsi"/>
        </w:rPr>
        <w:t xml:space="preserve"> </w:t>
      </w:r>
      <w:r w:rsidRPr="00AC2720">
        <w:rPr>
          <w:rFonts w:asciiTheme="minorHAnsi" w:hAnsiTheme="minorHAnsi" w:cstheme="minorHAnsi"/>
        </w:rPr>
        <w:t>and Brock</w:t>
      </w:r>
      <w:r w:rsidR="00957285" w:rsidRPr="00AC2720">
        <w:rPr>
          <w:rFonts w:asciiTheme="minorHAnsi" w:hAnsiTheme="minorHAnsi" w:cstheme="minorHAnsi"/>
        </w:rPr>
        <w:t xml:space="preserve">, C. </w:t>
      </w:r>
      <w:r w:rsidRPr="00AC2720">
        <w:rPr>
          <w:rFonts w:asciiTheme="minorHAnsi" w:hAnsiTheme="minorHAnsi" w:cstheme="minorHAnsi"/>
        </w:rPr>
        <w:t>(</w:t>
      </w:r>
      <w:r w:rsidR="00957285" w:rsidRPr="00AC2720">
        <w:rPr>
          <w:rFonts w:asciiTheme="minorHAnsi" w:hAnsiTheme="minorHAnsi" w:cstheme="minorHAnsi"/>
        </w:rPr>
        <w:t>2014</w:t>
      </w:r>
      <w:r w:rsidRPr="00AC2720">
        <w:rPr>
          <w:rFonts w:asciiTheme="minorHAnsi" w:hAnsiTheme="minorHAnsi" w:cstheme="minorHAnsi"/>
        </w:rPr>
        <w:t>) ‘</w:t>
      </w:r>
      <w:r w:rsidR="00957285" w:rsidRPr="00AC2720">
        <w:rPr>
          <w:rFonts w:asciiTheme="minorHAnsi" w:hAnsiTheme="minorHAnsi" w:cstheme="minorHAnsi"/>
        </w:rPr>
        <w:t>The impact of service characteristics on the switching costs–customer loyalty link</w:t>
      </w:r>
      <w:r w:rsidR="002450B2" w:rsidRPr="00AC2720">
        <w:rPr>
          <w:rFonts w:asciiTheme="minorHAnsi" w:hAnsiTheme="minorHAnsi" w:cstheme="minorHAnsi"/>
        </w:rPr>
        <w:t>’,</w:t>
      </w:r>
      <w:r w:rsidR="00957285" w:rsidRPr="00AC2720">
        <w:rPr>
          <w:rFonts w:asciiTheme="minorHAnsi" w:hAnsiTheme="minorHAnsi" w:cstheme="minorHAnsi"/>
        </w:rPr>
        <w:t xml:space="preserve"> </w:t>
      </w:r>
      <w:r w:rsidR="00957285" w:rsidRPr="00AC2720">
        <w:rPr>
          <w:rFonts w:asciiTheme="minorHAnsi" w:hAnsiTheme="minorHAnsi" w:cstheme="minorHAnsi"/>
          <w:i/>
          <w:iCs/>
        </w:rPr>
        <w:t>Journal of Retailing</w:t>
      </w:r>
      <w:r w:rsidR="00957285" w:rsidRPr="00AC2720">
        <w:rPr>
          <w:rFonts w:asciiTheme="minorHAnsi" w:hAnsiTheme="minorHAnsi" w:cstheme="minorHAnsi"/>
        </w:rPr>
        <w:t>, 90</w:t>
      </w:r>
      <w:r w:rsidR="002450B2" w:rsidRPr="00AC2720">
        <w:rPr>
          <w:rFonts w:asciiTheme="minorHAnsi" w:hAnsiTheme="minorHAnsi" w:cstheme="minorHAnsi"/>
        </w:rPr>
        <w:t xml:space="preserve"> (2)</w:t>
      </w:r>
      <w:r w:rsidR="00957285" w:rsidRPr="00AC2720">
        <w:rPr>
          <w:rFonts w:asciiTheme="minorHAnsi" w:hAnsiTheme="minorHAnsi" w:cstheme="minorHAnsi"/>
        </w:rPr>
        <w:t xml:space="preserve">, </w:t>
      </w:r>
      <w:r w:rsidR="002450B2" w:rsidRPr="00AC2720">
        <w:rPr>
          <w:rFonts w:asciiTheme="minorHAnsi" w:hAnsiTheme="minorHAnsi" w:cstheme="minorHAnsi"/>
        </w:rPr>
        <w:t xml:space="preserve">pp. </w:t>
      </w:r>
      <w:r w:rsidR="00957285" w:rsidRPr="00AC2720">
        <w:rPr>
          <w:rFonts w:asciiTheme="minorHAnsi" w:hAnsiTheme="minorHAnsi" w:cstheme="minorHAnsi"/>
        </w:rPr>
        <w:t>275-290.</w:t>
      </w:r>
    </w:p>
    <w:p w14:paraId="60F8C967" w14:textId="77777777" w:rsidR="00957285" w:rsidRPr="00AC2720" w:rsidRDefault="00FF42C5" w:rsidP="002C565A">
      <w:pPr>
        <w:spacing w:before="160" w:line="240" w:lineRule="auto"/>
        <w:ind w:left="426" w:hanging="426"/>
        <w:jc w:val="both"/>
        <w:rPr>
          <w:rFonts w:asciiTheme="minorHAnsi" w:hAnsiTheme="minorHAnsi" w:cstheme="minorHAnsi"/>
        </w:rPr>
      </w:pPr>
      <w:proofErr w:type="spellStart"/>
      <w:r w:rsidRPr="00AC2720">
        <w:rPr>
          <w:rFonts w:asciiTheme="minorHAnsi" w:hAnsiTheme="minorHAnsi" w:cstheme="minorHAnsi"/>
        </w:rPr>
        <w:t>Blut</w:t>
      </w:r>
      <w:proofErr w:type="spellEnd"/>
      <w:r w:rsidR="00957285" w:rsidRPr="00AC2720">
        <w:rPr>
          <w:rFonts w:asciiTheme="minorHAnsi" w:hAnsiTheme="minorHAnsi" w:cstheme="minorHAnsi"/>
        </w:rPr>
        <w:t xml:space="preserve">, M., </w:t>
      </w:r>
      <w:proofErr w:type="spellStart"/>
      <w:r w:rsidRPr="00AC2720">
        <w:rPr>
          <w:rFonts w:asciiTheme="minorHAnsi" w:hAnsiTheme="minorHAnsi" w:cstheme="minorHAnsi"/>
        </w:rPr>
        <w:t>Frennea</w:t>
      </w:r>
      <w:proofErr w:type="spellEnd"/>
      <w:r w:rsidR="00957285" w:rsidRPr="00AC2720">
        <w:rPr>
          <w:rFonts w:asciiTheme="minorHAnsi" w:hAnsiTheme="minorHAnsi" w:cstheme="minorHAnsi"/>
        </w:rPr>
        <w:t xml:space="preserve">, C. M., </w:t>
      </w:r>
      <w:r w:rsidRPr="00AC2720">
        <w:rPr>
          <w:rFonts w:asciiTheme="minorHAnsi" w:hAnsiTheme="minorHAnsi" w:cstheme="minorHAnsi"/>
        </w:rPr>
        <w:t>Mittal</w:t>
      </w:r>
      <w:r w:rsidR="00957285" w:rsidRPr="00AC2720">
        <w:rPr>
          <w:rFonts w:asciiTheme="minorHAnsi" w:hAnsiTheme="minorHAnsi" w:cstheme="minorHAnsi"/>
        </w:rPr>
        <w:t>, V.</w:t>
      </w:r>
      <w:r w:rsidRPr="00AC2720">
        <w:rPr>
          <w:rFonts w:asciiTheme="minorHAnsi" w:hAnsiTheme="minorHAnsi" w:cstheme="minorHAnsi"/>
        </w:rPr>
        <w:t>,</w:t>
      </w:r>
      <w:r w:rsidR="00957285" w:rsidRPr="00AC2720">
        <w:rPr>
          <w:rFonts w:asciiTheme="minorHAnsi" w:hAnsiTheme="minorHAnsi" w:cstheme="minorHAnsi"/>
        </w:rPr>
        <w:t xml:space="preserve"> </w:t>
      </w:r>
      <w:r w:rsidRPr="00AC2720">
        <w:rPr>
          <w:rFonts w:asciiTheme="minorHAnsi" w:hAnsiTheme="minorHAnsi" w:cstheme="minorHAnsi"/>
        </w:rPr>
        <w:t>and</w:t>
      </w:r>
      <w:r w:rsidR="00957285" w:rsidRPr="00AC2720">
        <w:rPr>
          <w:rFonts w:asciiTheme="minorHAnsi" w:hAnsiTheme="minorHAnsi" w:cstheme="minorHAnsi"/>
        </w:rPr>
        <w:t xml:space="preserve"> </w:t>
      </w:r>
      <w:r w:rsidRPr="00AC2720">
        <w:rPr>
          <w:rFonts w:asciiTheme="minorHAnsi" w:hAnsiTheme="minorHAnsi" w:cstheme="minorHAnsi"/>
        </w:rPr>
        <w:t>Mothersbaugh</w:t>
      </w:r>
      <w:r w:rsidR="00957285" w:rsidRPr="00AC2720">
        <w:rPr>
          <w:rFonts w:asciiTheme="minorHAnsi" w:hAnsiTheme="minorHAnsi" w:cstheme="minorHAnsi"/>
        </w:rPr>
        <w:t xml:space="preserve">, D. L. </w:t>
      </w:r>
      <w:r w:rsidRPr="00AC2720">
        <w:rPr>
          <w:rFonts w:asciiTheme="minorHAnsi" w:hAnsiTheme="minorHAnsi" w:cstheme="minorHAnsi"/>
        </w:rPr>
        <w:t>(</w:t>
      </w:r>
      <w:r w:rsidR="00957285" w:rsidRPr="00AC2720">
        <w:rPr>
          <w:rFonts w:asciiTheme="minorHAnsi" w:hAnsiTheme="minorHAnsi" w:cstheme="minorHAnsi"/>
        </w:rPr>
        <w:t>2015</w:t>
      </w:r>
      <w:r w:rsidRPr="00AC2720">
        <w:rPr>
          <w:rFonts w:asciiTheme="minorHAnsi" w:hAnsiTheme="minorHAnsi" w:cstheme="minorHAnsi"/>
        </w:rPr>
        <w:t>) ‘</w:t>
      </w:r>
      <w:r w:rsidR="00957285" w:rsidRPr="00AC2720">
        <w:rPr>
          <w:rFonts w:asciiTheme="minorHAnsi" w:hAnsiTheme="minorHAnsi" w:cstheme="minorHAnsi"/>
        </w:rPr>
        <w:t xml:space="preserve">How procedural, </w:t>
      </w:r>
      <w:proofErr w:type="gramStart"/>
      <w:r w:rsidR="00957285" w:rsidRPr="00AC2720">
        <w:rPr>
          <w:rFonts w:asciiTheme="minorHAnsi" w:hAnsiTheme="minorHAnsi" w:cstheme="minorHAnsi"/>
        </w:rPr>
        <w:t>financial</w:t>
      </w:r>
      <w:proofErr w:type="gramEnd"/>
      <w:r w:rsidR="00957285" w:rsidRPr="00AC2720">
        <w:rPr>
          <w:rFonts w:asciiTheme="minorHAnsi" w:hAnsiTheme="minorHAnsi" w:cstheme="minorHAnsi"/>
        </w:rPr>
        <w:t xml:space="preserve"> and relational switching costs affect customer satisfaction, repurchase intentions, and repurchase </w:t>
      </w:r>
      <w:proofErr w:type="spellStart"/>
      <w:r w:rsidR="00957285" w:rsidRPr="00AC2720">
        <w:rPr>
          <w:rFonts w:asciiTheme="minorHAnsi" w:hAnsiTheme="minorHAnsi" w:cstheme="minorHAnsi"/>
        </w:rPr>
        <w:t>behavior</w:t>
      </w:r>
      <w:proofErr w:type="spellEnd"/>
      <w:r w:rsidR="00957285" w:rsidRPr="00AC2720">
        <w:rPr>
          <w:rFonts w:asciiTheme="minorHAnsi" w:hAnsiTheme="minorHAnsi" w:cstheme="minorHAnsi"/>
        </w:rPr>
        <w:t>: A meta-analysis</w:t>
      </w:r>
      <w:r w:rsidR="002450B2" w:rsidRPr="00AC2720">
        <w:rPr>
          <w:rFonts w:asciiTheme="minorHAnsi" w:hAnsiTheme="minorHAnsi" w:cstheme="minorHAnsi"/>
        </w:rPr>
        <w:t>’,</w:t>
      </w:r>
      <w:r w:rsidR="00957285" w:rsidRPr="00AC2720">
        <w:rPr>
          <w:rFonts w:asciiTheme="minorHAnsi" w:hAnsiTheme="minorHAnsi" w:cstheme="minorHAnsi"/>
        </w:rPr>
        <w:t xml:space="preserve"> </w:t>
      </w:r>
      <w:r w:rsidR="00957285" w:rsidRPr="00AC2720">
        <w:rPr>
          <w:rFonts w:asciiTheme="minorHAnsi" w:hAnsiTheme="minorHAnsi" w:cstheme="minorHAnsi"/>
          <w:i/>
          <w:iCs/>
        </w:rPr>
        <w:t>International Journal of Research in Marketing</w:t>
      </w:r>
      <w:r w:rsidR="00957285" w:rsidRPr="00AC2720">
        <w:rPr>
          <w:rFonts w:asciiTheme="minorHAnsi" w:hAnsiTheme="minorHAnsi" w:cstheme="minorHAnsi"/>
        </w:rPr>
        <w:t>, 32</w:t>
      </w:r>
      <w:r w:rsidR="002450B2" w:rsidRPr="00AC2720">
        <w:rPr>
          <w:rFonts w:asciiTheme="minorHAnsi" w:hAnsiTheme="minorHAnsi" w:cstheme="minorHAnsi"/>
        </w:rPr>
        <w:t xml:space="preserve"> (2)</w:t>
      </w:r>
      <w:r w:rsidR="00957285" w:rsidRPr="00AC2720">
        <w:rPr>
          <w:rFonts w:asciiTheme="minorHAnsi" w:hAnsiTheme="minorHAnsi" w:cstheme="minorHAnsi"/>
        </w:rPr>
        <w:t xml:space="preserve">, </w:t>
      </w:r>
      <w:r w:rsidR="002450B2" w:rsidRPr="00AC2720">
        <w:rPr>
          <w:rFonts w:asciiTheme="minorHAnsi" w:hAnsiTheme="minorHAnsi" w:cstheme="minorHAnsi"/>
        </w:rPr>
        <w:t xml:space="preserve">pp. </w:t>
      </w:r>
      <w:r w:rsidR="00957285" w:rsidRPr="00AC2720">
        <w:rPr>
          <w:rFonts w:asciiTheme="minorHAnsi" w:hAnsiTheme="minorHAnsi" w:cstheme="minorHAnsi"/>
        </w:rPr>
        <w:t>226-229.</w:t>
      </w:r>
    </w:p>
    <w:p w14:paraId="435360EB" w14:textId="77777777" w:rsidR="00957285" w:rsidRPr="00AC2720" w:rsidRDefault="00FF42C5" w:rsidP="002C565A">
      <w:pPr>
        <w:spacing w:before="160" w:line="240" w:lineRule="auto"/>
        <w:ind w:left="426" w:hanging="426"/>
        <w:jc w:val="both"/>
        <w:rPr>
          <w:rFonts w:asciiTheme="minorHAnsi" w:hAnsiTheme="minorHAnsi" w:cstheme="minorHAnsi"/>
        </w:rPr>
      </w:pPr>
      <w:r w:rsidRPr="00AC2720">
        <w:rPr>
          <w:rFonts w:asciiTheme="minorHAnsi" w:hAnsiTheme="minorHAnsi" w:cstheme="minorHAnsi"/>
        </w:rPr>
        <w:t>Burnham</w:t>
      </w:r>
      <w:r w:rsidR="00957285" w:rsidRPr="00AC2720">
        <w:rPr>
          <w:rFonts w:asciiTheme="minorHAnsi" w:hAnsiTheme="minorHAnsi" w:cstheme="minorHAnsi"/>
        </w:rPr>
        <w:t xml:space="preserve">, T. A., </w:t>
      </w:r>
      <w:r w:rsidRPr="00AC2720">
        <w:rPr>
          <w:rFonts w:asciiTheme="minorHAnsi" w:hAnsiTheme="minorHAnsi" w:cstheme="minorHAnsi"/>
        </w:rPr>
        <w:t>Frels</w:t>
      </w:r>
      <w:r w:rsidR="00957285" w:rsidRPr="00AC2720">
        <w:rPr>
          <w:rFonts w:asciiTheme="minorHAnsi" w:hAnsiTheme="minorHAnsi" w:cstheme="minorHAnsi"/>
        </w:rPr>
        <w:t>, J. K.</w:t>
      </w:r>
      <w:r w:rsidRPr="00AC2720">
        <w:rPr>
          <w:rFonts w:asciiTheme="minorHAnsi" w:hAnsiTheme="minorHAnsi" w:cstheme="minorHAnsi"/>
        </w:rPr>
        <w:t>,</w:t>
      </w:r>
      <w:r w:rsidR="00957285" w:rsidRPr="00AC2720">
        <w:rPr>
          <w:rFonts w:asciiTheme="minorHAnsi" w:hAnsiTheme="minorHAnsi" w:cstheme="minorHAnsi"/>
        </w:rPr>
        <w:t xml:space="preserve"> </w:t>
      </w:r>
      <w:r w:rsidRPr="00AC2720">
        <w:rPr>
          <w:rFonts w:asciiTheme="minorHAnsi" w:hAnsiTheme="minorHAnsi" w:cstheme="minorHAnsi"/>
        </w:rPr>
        <w:t>and</w:t>
      </w:r>
      <w:r w:rsidR="00957285" w:rsidRPr="00AC2720">
        <w:rPr>
          <w:rFonts w:asciiTheme="minorHAnsi" w:hAnsiTheme="minorHAnsi" w:cstheme="minorHAnsi"/>
        </w:rPr>
        <w:t xml:space="preserve"> </w:t>
      </w:r>
      <w:r w:rsidRPr="00AC2720">
        <w:rPr>
          <w:rFonts w:asciiTheme="minorHAnsi" w:hAnsiTheme="minorHAnsi" w:cstheme="minorHAnsi"/>
        </w:rPr>
        <w:t>Mahajan</w:t>
      </w:r>
      <w:r w:rsidR="00957285" w:rsidRPr="00AC2720">
        <w:rPr>
          <w:rFonts w:asciiTheme="minorHAnsi" w:hAnsiTheme="minorHAnsi" w:cstheme="minorHAnsi"/>
        </w:rPr>
        <w:t xml:space="preserve">, V. </w:t>
      </w:r>
      <w:r w:rsidRPr="00AC2720">
        <w:rPr>
          <w:rFonts w:asciiTheme="minorHAnsi" w:hAnsiTheme="minorHAnsi" w:cstheme="minorHAnsi"/>
        </w:rPr>
        <w:t>(</w:t>
      </w:r>
      <w:r w:rsidR="00957285" w:rsidRPr="00AC2720">
        <w:rPr>
          <w:rFonts w:asciiTheme="minorHAnsi" w:hAnsiTheme="minorHAnsi" w:cstheme="minorHAnsi"/>
        </w:rPr>
        <w:t>2003</w:t>
      </w:r>
      <w:r w:rsidRPr="00AC2720">
        <w:rPr>
          <w:rFonts w:asciiTheme="minorHAnsi" w:hAnsiTheme="minorHAnsi" w:cstheme="minorHAnsi"/>
        </w:rPr>
        <w:t>) ‘</w:t>
      </w:r>
      <w:r w:rsidR="00957285" w:rsidRPr="00AC2720">
        <w:rPr>
          <w:rFonts w:asciiTheme="minorHAnsi" w:hAnsiTheme="minorHAnsi" w:cstheme="minorHAnsi"/>
        </w:rPr>
        <w:t>Consumer switching costs: A typology, antecedents, and consequences</w:t>
      </w:r>
      <w:r w:rsidR="002450B2" w:rsidRPr="00AC2720">
        <w:rPr>
          <w:rFonts w:asciiTheme="minorHAnsi" w:hAnsiTheme="minorHAnsi" w:cstheme="minorHAnsi"/>
        </w:rPr>
        <w:t>’,</w:t>
      </w:r>
      <w:r w:rsidR="00957285" w:rsidRPr="00AC2720">
        <w:rPr>
          <w:rFonts w:asciiTheme="minorHAnsi" w:hAnsiTheme="minorHAnsi" w:cstheme="minorHAnsi"/>
        </w:rPr>
        <w:t xml:space="preserve"> </w:t>
      </w:r>
      <w:r w:rsidR="00957285" w:rsidRPr="00AC2720">
        <w:rPr>
          <w:rFonts w:asciiTheme="minorHAnsi" w:hAnsiTheme="minorHAnsi" w:cstheme="minorHAnsi"/>
          <w:i/>
          <w:iCs/>
        </w:rPr>
        <w:t xml:space="preserve">Journal of the Academy of </w:t>
      </w:r>
      <w:r w:rsidR="002450B2" w:rsidRPr="00AC2720">
        <w:rPr>
          <w:rFonts w:asciiTheme="minorHAnsi" w:hAnsiTheme="minorHAnsi" w:cstheme="minorHAnsi"/>
          <w:i/>
          <w:iCs/>
        </w:rPr>
        <w:t xml:space="preserve">Marketing </w:t>
      </w:r>
      <w:r w:rsidR="00957285" w:rsidRPr="00AC2720">
        <w:rPr>
          <w:rFonts w:asciiTheme="minorHAnsi" w:hAnsiTheme="minorHAnsi" w:cstheme="minorHAnsi"/>
          <w:i/>
          <w:iCs/>
        </w:rPr>
        <w:t>Science</w:t>
      </w:r>
      <w:r w:rsidR="00957285" w:rsidRPr="00AC2720">
        <w:rPr>
          <w:rFonts w:asciiTheme="minorHAnsi" w:hAnsiTheme="minorHAnsi" w:cstheme="minorHAnsi"/>
        </w:rPr>
        <w:t>, 31</w:t>
      </w:r>
      <w:r w:rsidR="002450B2" w:rsidRPr="00AC2720">
        <w:rPr>
          <w:rFonts w:asciiTheme="minorHAnsi" w:hAnsiTheme="minorHAnsi" w:cstheme="minorHAnsi"/>
        </w:rPr>
        <w:t xml:space="preserve"> (2)</w:t>
      </w:r>
      <w:r w:rsidR="00957285" w:rsidRPr="00AC2720">
        <w:rPr>
          <w:rFonts w:asciiTheme="minorHAnsi" w:hAnsiTheme="minorHAnsi" w:cstheme="minorHAnsi"/>
        </w:rPr>
        <w:t>,</w:t>
      </w:r>
      <w:r w:rsidR="002450B2" w:rsidRPr="00AC2720">
        <w:rPr>
          <w:rFonts w:asciiTheme="minorHAnsi" w:hAnsiTheme="minorHAnsi" w:cstheme="minorHAnsi"/>
        </w:rPr>
        <w:t xml:space="preserve"> pp.</w:t>
      </w:r>
      <w:r w:rsidR="00957285" w:rsidRPr="00AC2720">
        <w:rPr>
          <w:rFonts w:asciiTheme="minorHAnsi" w:hAnsiTheme="minorHAnsi" w:cstheme="minorHAnsi"/>
        </w:rPr>
        <w:t xml:space="preserve"> 109-126.</w:t>
      </w:r>
    </w:p>
    <w:p w14:paraId="70B9E272" w14:textId="77777777" w:rsidR="00957285" w:rsidRPr="00AC2720" w:rsidRDefault="00FF42C5" w:rsidP="002C565A">
      <w:pPr>
        <w:spacing w:before="160" w:line="240" w:lineRule="auto"/>
        <w:ind w:left="426" w:hanging="426"/>
        <w:jc w:val="both"/>
        <w:rPr>
          <w:rFonts w:asciiTheme="minorHAnsi" w:hAnsiTheme="minorHAnsi" w:cstheme="minorHAnsi"/>
        </w:rPr>
      </w:pPr>
      <w:r w:rsidRPr="00AC2720">
        <w:rPr>
          <w:rFonts w:asciiTheme="minorHAnsi" w:hAnsiTheme="minorHAnsi" w:cstheme="minorHAnsi"/>
        </w:rPr>
        <w:t>Deci</w:t>
      </w:r>
      <w:r w:rsidR="00957285" w:rsidRPr="00AC2720">
        <w:rPr>
          <w:rFonts w:asciiTheme="minorHAnsi" w:hAnsiTheme="minorHAnsi" w:cstheme="minorHAnsi"/>
        </w:rPr>
        <w:t xml:space="preserve">, E. L. </w:t>
      </w:r>
      <w:r w:rsidRPr="00AC2720">
        <w:rPr>
          <w:rFonts w:asciiTheme="minorHAnsi" w:hAnsiTheme="minorHAnsi" w:cstheme="minorHAnsi"/>
        </w:rPr>
        <w:t>and Ryan</w:t>
      </w:r>
      <w:r w:rsidR="00957285" w:rsidRPr="00AC2720">
        <w:rPr>
          <w:rFonts w:asciiTheme="minorHAnsi" w:hAnsiTheme="minorHAnsi" w:cstheme="minorHAnsi"/>
        </w:rPr>
        <w:t xml:space="preserve">, R. M. </w:t>
      </w:r>
      <w:r w:rsidRPr="00AC2720">
        <w:rPr>
          <w:rFonts w:asciiTheme="minorHAnsi" w:hAnsiTheme="minorHAnsi" w:cstheme="minorHAnsi"/>
        </w:rPr>
        <w:t>(</w:t>
      </w:r>
      <w:r w:rsidR="00957285" w:rsidRPr="00AC2720">
        <w:rPr>
          <w:rFonts w:asciiTheme="minorHAnsi" w:hAnsiTheme="minorHAnsi" w:cstheme="minorHAnsi"/>
        </w:rPr>
        <w:t>1985</w:t>
      </w:r>
      <w:r w:rsidRPr="00AC2720">
        <w:rPr>
          <w:rFonts w:asciiTheme="minorHAnsi" w:hAnsiTheme="minorHAnsi" w:cstheme="minorHAnsi"/>
        </w:rPr>
        <w:t>) ‘</w:t>
      </w:r>
      <w:r w:rsidR="00957285" w:rsidRPr="00AC2720">
        <w:rPr>
          <w:rFonts w:asciiTheme="minorHAnsi" w:hAnsiTheme="minorHAnsi" w:cstheme="minorHAnsi"/>
        </w:rPr>
        <w:t>The general causality orientations scale: Self-determination in personality</w:t>
      </w:r>
      <w:r w:rsidR="002450B2" w:rsidRPr="00AC2720">
        <w:rPr>
          <w:rFonts w:asciiTheme="minorHAnsi" w:hAnsiTheme="minorHAnsi" w:cstheme="minorHAnsi"/>
        </w:rPr>
        <w:t>’,</w:t>
      </w:r>
      <w:r w:rsidR="00957285" w:rsidRPr="00AC2720">
        <w:rPr>
          <w:rFonts w:asciiTheme="minorHAnsi" w:hAnsiTheme="minorHAnsi" w:cstheme="minorHAnsi"/>
        </w:rPr>
        <w:t xml:space="preserve"> </w:t>
      </w:r>
      <w:r w:rsidR="00957285" w:rsidRPr="00AC2720">
        <w:rPr>
          <w:rFonts w:asciiTheme="minorHAnsi" w:hAnsiTheme="minorHAnsi" w:cstheme="minorHAnsi"/>
          <w:i/>
          <w:iCs/>
        </w:rPr>
        <w:t xml:space="preserve">Journal of </w:t>
      </w:r>
      <w:r w:rsidR="002450B2" w:rsidRPr="00AC2720">
        <w:rPr>
          <w:rFonts w:asciiTheme="minorHAnsi" w:hAnsiTheme="minorHAnsi" w:cstheme="minorHAnsi"/>
          <w:i/>
          <w:iCs/>
        </w:rPr>
        <w:t xml:space="preserve">Research </w:t>
      </w:r>
      <w:r w:rsidR="00957285" w:rsidRPr="00AC2720">
        <w:rPr>
          <w:rFonts w:asciiTheme="minorHAnsi" w:hAnsiTheme="minorHAnsi" w:cstheme="minorHAnsi"/>
          <w:i/>
          <w:iCs/>
        </w:rPr>
        <w:t xml:space="preserve">in </w:t>
      </w:r>
      <w:r w:rsidR="002450B2" w:rsidRPr="00AC2720">
        <w:rPr>
          <w:rFonts w:asciiTheme="minorHAnsi" w:hAnsiTheme="minorHAnsi" w:cstheme="minorHAnsi"/>
          <w:i/>
          <w:iCs/>
        </w:rPr>
        <w:t>Personality</w:t>
      </w:r>
      <w:r w:rsidRPr="00AC2720">
        <w:rPr>
          <w:rFonts w:asciiTheme="minorHAnsi" w:hAnsiTheme="minorHAnsi" w:cstheme="minorHAnsi"/>
        </w:rPr>
        <w:t>,</w:t>
      </w:r>
      <w:r w:rsidR="00957285" w:rsidRPr="00AC2720">
        <w:rPr>
          <w:rFonts w:asciiTheme="minorHAnsi" w:hAnsiTheme="minorHAnsi" w:cstheme="minorHAnsi"/>
        </w:rPr>
        <w:t xml:space="preserve"> 19</w:t>
      </w:r>
      <w:r w:rsidR="002450B2" w:rsidRPr="00AC2720">
        <w:rPr>
          <w:rFonts w:asciiTheme="minorHAnsi" w:hAnsiTheme="minorHAnsi" w:cstheme="minorHAnsi"/>
        </w:rPr>
        <w:t xml:space="preserve"> (2)</w:t>
      </w:r>
      <w:r w:rsidR="00957285" w:rsidRPr="00AC2720">
        <w:rPr>
          <w:rFonts w:asciiTheme="minorHAnsi" w:hAnsiTheme="minorHAnsi" w:cstheme="minorHAnsi"/>
        </w:rPr>
        <w:t xml:space="preserve">, </w:t>
      </w:r>
      <w:r w:rsidR="002450B2" w:rsidRPr="00AC2720">
        <w:rPr>
          <w:rFonts w:asciiTheme="minorHAnsi" w:hAnsiTheme="minorHAnsi" w:cstheme="minorHAnsi"/>
        </w:rPr>
        <w:t xml:space="preserve">pp. </w:t>
      </w:r>
      <w:r w:rsidR="00957285" w:rsidRPr="00AC2720">
        <w:rPr>
          <w:rFonts w:asciiTheme="minorHAnsi" w:hAnsiTheme="minorHAnsi" w:cstheme="minorHAnsi"/>
        </w:rPr>
        <w:t>109-134.</w:t>
      </w:r>
    </w:p>
    <w:p w14:paraId="26312FC5" w14:textId="77777777" w:rsidR="00957285" w:rsidRPr="00AC2720" w:rsidRDefault="00FF42C5" w:rsidP="002C565A">
      <w:pPr>
        <w:spacing w:before="160" w:line="240" w:lineRule="auto"/>
        <w:ind w:left="426" w:hanging="426"/>
        <w:jc w:val="both"/>
        <w:rPr>
          <w:rFonts w:asciiTheme="minorHAnsi" w:hAnsiTheme="minorHAnsi" w:cstheme="minorHAnsi"/>
        </w:rPr>
      </w:pPr>
      <w:r w:rsidRPr="00AC2720">
        <w:rPr>
          <w:rFonts w:asciiTheme="minorHAnsi" w:hAnsiTheme="minorHAnsi" w:cstheme="minorHAnsi"/>
        </w:rPr>
        <w:t>Deci</w:t>
      </w:r>
      <w:r w:rsidR="00957285" w:rsidRPr="00AC2720">
        <w:rPr>
          <w:rFonts w:asciiTheme="minorHAnsi" w:hAnsiTheme="minorHAnsi" w:cstheme="minorHAnsi"/>
        </w:rPr>
        <w:t xml:space="preserve">, E. L. </w:t>
      </w:r>
      <w:r w:rsidRPr="00AC2720">
        <w:rPr>
          <w:rFonts w:asciiTheme="minorHAnsi" w:hAnsiTheme="minorHAnsi" w:cstheme="minorHAnsi"/>
        </w:rPr>
        <w:t>and Ryan</w:t>
      </w:r>
      <w:r w:rsidR="00957285" w:rsidRPr="00AC2720">
        <w:rPr>
          <w:rFonts w:asciiTheme="minorHAnsi" w:hAnsiTheme="minorHAnsi" w:cstheme="minorHAnsi"/>
        </w:rPr>
        <w:t xml:space="preserve">, R. M. </w:t>
      </w:r>
      <w:r w:rsidRPr="00AC2720">
        <w:rPr>
          <w:rFonts w:asciiTheme="minorHAnsi" w:hAnsiTheme="minorHAnsi" w:cstheme="minorHAnsi"/>
        </w:rPr>
        <w:t>(</w:t>
      </w:r>
      <w:r w:rsidR="00957285" w:rsidRPr="00AC2720">
        <w:rPr>
          <w:rFonts w:asciiTheme="minorHAnsi" w:hAnsiTheme="minorHAnsi" w:cstheme="minorHAnsi"/>
        </w:rPr>
        <w:t>2000</w:t>
      </w:r>
      <w:r w:rsidRPr="00AC2720">
        <w:rPr>
          <w:rFonts w:asciiTheme="minorHAnsi" w:hAnsiTheme="minorHAnsi" w:cstheme="minorHAnsi"/>
        </w:rPr>
        <w:t>) ‘</w:t>
      </w:r>
      <w:r w:rsidR="00957285" w:rsidRPr="00AC2720">
        <w:rPr>
          <w:rFonts w:asciiTheme="minorHAnsi" w:hAnsiTheme="minorHAnsi" w:cstheme="minorHAnsi"/>
        </w:rPr>
        <w:t>The</w:t>
      </w:r>
      <w:r w:rsidRPr="00AC2720">
        <w:rPr>
          <w:rFonts w:asciiTheme="minorHAnsi" w:hAnsiTheme="minorHAnsi" w:cstheme="minorHAnsi"/>
        </w:rPr>
        <w:t xml:space="preserve"> </w:t>
      </w:r>
      <w:r w:rsidR="00957285" w:rsidRPr="00AC2720">
        <w:rPr>
          <w:rFonts w:asciiTheme="minorHAnsi" w:hAnsiTheme="minorHAnsi" w:cstheme="minorHAnsi"/>
        </w:rPr>
        <w:t>"what" and</w:t>
      </w:r>
      <w:r w:rsidRPr="00AC2720">
        <w:rPr>
          <w:rFonts w:asciiTheme="minorHAnsi" w:hAnsiTheme="minorHAnsi" w:cstheme="minorHAnsi"/>
        </w:rPr>
        <w:t xml:space="preserve"> </w:t>
      </w:r>
      <w:r w:rsidR="00957285" w:rsidRPr="00AC2720">
        <w:rPr>
          <w:rFonts w:asciiTheme="minorHAnsi" w:hAnsiTheme="minorHAnsi" w:cstheme="minorHAnsi"/>
        </w:rPr>
        <w:t xml:space="preserve">"why" of goal pursuits: Human needs and the self-determination of </w:t>
      </w:r>
      <w:proofErr w:type="spellStart"/>
      <w:r w:rsidR="00957285" w:rsidRPr="00AC2720">
        <w:rPr>
          <w:rFonts w:asciiTheme="minorHAnsi" w:hAnsiTheme="minorHAnsi" w:cstheme="minorHAnsi"/>
        </w:rPr>
        <w:t>behavior</w:t>
      </w:r>
      <w:proofErr w:type="spellEnd"/>
      <w:r w:rsidRPr="00AC2720">
        <w:rPr>
          <w:rFonts w:asciiTheme="minorHAnsi" w:hAnsiTheme="minorHAnsi" w:cstheme="minorHAnsi"/>
        </w:rPr>
        <w:t>’,</w:t>
      </w:r>
      <w:r w:rsidR="00957285" w:rsidRPr="00AC2720">
        <w:rPr>
          <w:rFonts w:asciiTheme="minorHAnsi" w:hAnsiTheme="minorHAnsi" w:cstheme="minorHAnsi"/>
        </w:rPr>
        <w:t xml:space="preserve"> </w:t>
      </w:r>
      <w:r w:rsidR="00957285" w:rsidRPr="00AC2720">
        <w:rPr>
          <w:rFonts w:asciiTheme="minorHAnsi" w:hAnsiTheme="minorHAnsi" w:cstheme="minorHAnsi"/>
          <w:i/>
          <w:iCs/>
        </w:rPr>
        <w:t xml:space="preserve">Psychological </w:t>
      </w:r>
      <w:r w:rsidR="002450B2" w:rsidRPr="00AC2720">
        <w:rPr>
          <w:rFonts w:asciiTheme="minorHAnsi" w:hAnsiTheme="minorHAnsi" w:cstheme="minorHAnsi"/>
          <w:i/>
          <w:iCs/>
        </w:rPr>
        <w:t>Inquiry</w:t>
      </w:r>
      <w:r w:rsidR="00957285" w:rsidRPr="00AC2720">
        <w:rPr>
          <w:rFonts w:asciiTheme="minorHAnsi" w:hAnsiTheme="minorHAnsi" w:cstheme="minorHAnsi"/>
        </w:rPr>
        <w:t>, 11</w:t>
      </w:r>
      <w:r w:rsidR="002450B2" w:rsidRPr="00AC2720">
        <w:rPr>
          <w:rFonts w:asciiTheme="minorHAnsi" w:hAnsiTheme="minorHAnsi" w:cstheme="minorHAnsi"/>
        </w:rPr>
        <w:t xml:space="preserve"> (4)</w:t>
      </w:r>
      <w:r w:rsidR="00957285" w:rsidRPr="00AC2720">
        <w:rPr>
          <w:rFonts w:asciiTheme="minorHAnsi" w:hAnsiTheme="minorHAnsi" w:cstheme="minorHAnsi"/>
        </w:rPr>
        <w:t xml:space="preserve">, </w:t>
      </w:r>
      <w:r w:rsidR="002450B2" w:rsidRPr="00AC2720">
        <w:rPr>
          <w:rFonts w:asciiTheme="minorHAnsi" w:hAnsiTheme="minorHAnsi" w:cstheme="minorHAnsi"/>
        </w:rPr>
        <w:t xml:space="preserve">pp. </w:t>
      </w:r>
      <w:r w:rsidR="00957285" w:rsidRPr="00AC2720">
        <w:rPr>
          <w:rFonts w:asciiTheme="minorHAnsi" w:hAnsiTheme="minorHAnsi" w:cstheme="minorHAnsi"/>
        </w:rPr>
        <w:t>227-268.</w:t>
      </w:r>
    </w:p>
    <w:p w14:paraId="480251E3" w14:textId="77777777" w:rsidR="00C20F35" w:rsidRPr="00AC2720" w:rsidRDefault="00C20F35" w:rsidP="00C20F35">
      <w:pPr>
        <w:spacing w:before="160" w:line="240" w:lineRule="auto"/>
        <w:ind w:left="426" w:hanging="426"/>
        <w:jc w:val="both"/>
        <w:rPr>
          <w:rFonts w:asciiTheme="minorHAnsi" w:hAnsiTheme="minorHAnsi" w:cstheme="minorHAnsi"/>
          <w:lang w:val="en-US"/>
        </w:rPr>
      </w:pPr>
      <w:r w:rsidRPr="00AC2720">
        <w:rPr>
          <w:rFonts w:asciiTheme="minorHAnsi" w:hAnsiTheme="minorHAnsi" w:cstheme="minorHAnsi"/>
          <w:lang w:val="en-US"/>
        </w:rPr>
        <w:lastRenderedPageBreak/>
        <w:t>Jones, M. A., Reynolds, K.</w:t>
      </w:r>
      <w:r w:rsidR="00102B24" w:rsidRPr="00AC2720">
        <w:rPr>
          <w:rFonts w:asciiTheme="minorHAnsi" w:hAnsiTheme="minorHAnsi" w:cstheme="minorHAnsi"/>
          <w:lang w:val="en-US"/>
        </w:rPr>
        <w:t xml:space="preserve"> </w:t>
      </w:r>
      <w:r w:rsidRPr="00AC2720">
        <w:rPr>
          <w:rFonts w:asciiTheme="minorHAnsi" w:hAnsiTheme="minorHAnsi" w:cstheme="minorHAnsi"/>
          <w:lang w:val="en-US"/>
        </w:rPr>
        <w:t>E., Mothersbaugh, D. L. and Beatty, S.</w:t>
      </w:r>
      <w:r w:rsidR="00102B24" w:rsidRPr="00AC2720">
        <w:rPr>
          <w:rFonts w:asciiTheme="minorHAnsi" w:hAnsiTheme="minorHAnsi" w:cstheme="minorHAnsi"/>
          <w:lang w:val="en-US"/>
        </w:rPr>
        <w:t xml:space="preserve"> </w:t>
      </w:r>
      <w:r w:rsidRPr="00AC2720">
        <w:rPr>
          <w:rFonts w:asciiTheme="minorHAnsi" w:hAnsiTheme="minorHAnsi" w:cstheme="minorHAnsi"/>
          <w:lang w:val="en-US"/>
        </w:rPr>
        <w:t xml:space="preserve">E. (2007) </w:t>
      </w:r>
      <w:r w:rsidR="00102B24" w:rsidRPr="00AC2720">
        <w:rPr>
          <w:rFonts w:asciiTheme="minorHAnsi" w:hAnsiTheme="minorHAnsi" w:cstheme="minorHAnsi"/>
        </w:rPr>
        <w:t>‘</w:t>
      </w:r>
      <w:r w:rsidRPr="00AC2720">
        <w:rPr>
          <w:rFonts w:asciiTheme="minorHAnsi" w:hAnsiTheme="minorHAnsi" w:cstheme="minorHAnsi"/>
          <w:lang w:val="en-US"/>
        </w:rPr>
        <w:t>The positive and negative effects of switching costs on relational outcomes</w:t>
      </w:r>
      <w:r w:rsidR="00102B24" w:rsidRPr="00AC2720">
        <w:rPr>
          <w:rFonts w:asciiTheme="minorHAnsi" w:hAnsiTheme="minorHAnsi" w:cstheme="minorHAnsi"/>
        </w:rPr>
        <w:t>’,</w:t>
      </w:r>
      <w:r w:rsidRPr="00AC2720">
        <w:rPr>
          <w:rFonts w:asciiTheme="minorHAnsi" w:hAnsiTheme="minorHAnsi" w:cstheme="minorHAnsi"/>
          <w:lang w:val="en-US"/>
        </w:rPr>
        <w:t xml:space="preserve"> </w:t>
      </w:r>
      <w:r w:rsidRPr="00AC2720">
        <w:rPr>
          <w:rFonts w:asciiTheme="minorHAnsi" w:hAnsiTheme="minorHAnsi" w:cstheme="minorHAnsi"/>
          <w:i/>
          <w:iCs/>
          <w:lang w:val="en-US"/>
        </w:rPr>
        <w:t>Journal of Service Research</w:t>
      </w:r>
      <w:r w:rsidRPr="00AC2720">
        <w:rPr>
          <w:rFonts w:asciiTheme="minorHAnsi" w:hAnsiTheme="minorHAnsi" w:cstheme="minorHAnsi"/>
          <w:lang w:val="en-US"/>
        </w:rPr>
        <w:t>,</w:t>
      </w:r>
      <w:r w:rsidR="00102B24" w:rsidRPr="00AC2720">
        <w:rPr>
          <w:rFonts w:asciiTheme="minorHAnsi" w:hAnsiTheme="minorHAnsi" w:cstheme="minorHAnsi"/>
          <w:lang w:val="en-US"/>
        </w:rPr>
        <w:t xml:space="preserve"> </w:t>
      </w:r>
      <w:r w:rsidRPr="00AC2720">
        <w:rPr>
          <w:rFonts w:asciiTheme="minorHAnsi" w:hAnsiTheme="minorHAnsi" w:cstheme="minorHAnsi"/>
          <w:lang w:val="en-US"/>
        </w:rPr>
        <w:t>9</w:t>
      </w:r>
      <w:r w:rsidR="00102B24" w:rsidRPr="00AC2720">
        <w:rPr>
          <w:rFonts w:asciiTheme="minorHAnsi" w:hAnsiTheme="minorHAnsi" w:cstheme="minorHAnsi"/>
          <w:lang w:val="en-US"/>
        </w:rPr>
        <w:t xml:space="preserve"> (</w:t>
      </w:r>
      <w:r w:rsidRPr="00AC2720">
        <w:rPr>
          <w:rFonts w:asciiTheme="minorHAnsi" w:hAnsiTheme="minorHAnsi" w:cstheme="minorHAnsi"/>
          <w:lang w:val="en-US"/>
        </w:rPr>
        <w:t>4</w:t>
      </w:r>
      <w:r w:rsidR="00102B24" w:rsidRPr="00AC2720">
        <w:rPr>
          <w:rFonts w:asciiTheme="minorHAnsi" w:hAnsiTheme="minorHAnsi" w:cstheme="minorHAnsi"/>
          <w:lang w:val="en-US"/>
        </w:rPr>
        <w:t>)</w:t>
      </w:r>
      <w:r w:rsidRPr="00AC2720">
        <w:rPr>
          <w:rFonts w:asciiTheme="minorHAnsi" w:hAnsiTheme="minorHAnsi" w:cstheme="minorHAnsi"/>
          <w:lang w:val="en-US"/>
        </w:rPr>
        <w:t>, pp. 335-355.</w:t>
      </w:r>
    </w:p>
    <w:p w14:paraId="1C0C4995" w14:textId="77777777" w:rsidR="009E472E" w:rsidRPr="00AC2720" w:rsidRDefault="00FF42C5" w:rsidP="00F66800">
      <w:pPr>
        <w:spacing w:before="160" w:line="240" w:lineRule="auto"/>
        <w:ind w:left="426" w:hanging="426"/>
        <w:jc w:val="both"/>
        <w:rPr>
          <w:rFonts w:asciiTheme="minorHAnsi" w:hAnsiTheme="minorHAnsi" w:cstheme="minorHAnsi"/>
          <w:lang w:val="en-US"/>
        </w:rPr>
      </w:pPr>
      <w:r w:rsidRPr="00AC2720">
        <w:rPr>
          <w:rFonts w:asciiTheme="minorHAnsi" w:hAnsiTheme="minorHAnsi" w:cstheme="minorHAnsi"/>
        </w:rPr>
        <w:t>Ryan</w:t>
      </w:r>
      <w:r w:rsidR="00957285" w:rsidRPr="00AC2720">
        <w:rPr>
          <w:rFonts w:asciiTheme="minorHAnsi" w:hAnsiTheme="minorHAnsi" w:cstheme="minorHAnsi"/>
        </w:rPr>
        <w:t xml:space="preserve">, R. M. </w:t>
      </w:r>
      <w:r w:rsidRPr="00AC2720">
        <w:rPr>
          <w:rFonts w:asciiTheme="minorHAnsi" w:hAnsiTheme="minorHAnsi" w:cstheme="minorHAnsi"/>
        </w:rPr>
        <w:t>and Connell</w:t>
      </w:r>
      <w:r w:rsidR="00957285" w:rsidRPr="00AC2720">
        <w:rPr>
          <w:rFonts w:asciiTheme="minorHAnsi" w:hAnsiTheme="minorHAnsi" w:cstheme="minorHAnsi"/>
        </w:rPr>
        <w:t xml:space="preserve">, J. P. </w:t>
      </w:r>
      <w:r w:rsidRPr="00AC2720">
        <w:rPr>
          <w:rFonts w:asciiTheme="minorHAnsi" w:hAnsiTheme="minorHAnsi" w:cstheme="minorHAnsi"/>
        </w:rPr>
        <w:t>(</w:t>
      </w:r>
      <w:r w:rsidR="00957285" w:rsidRPr="00AC2720">
        <w:rPr>
          <w:rFonts w:asciiTheme="minorHAnsi" w:hAnsiTheme="minorHAnsi" w:cstheme="minorHAnsi"/>
        </w:rPr>
        <w:t>1989</w:t>
      </w:r>
      <w:r w:rsidRPr="00AC2720">
        <w:rPr>
          <w:rFonts w:asciiTheme="minorHAnsi" w:hAnsiTheme="minorHAnsi" w:cstheme="minorHAnsi"/>
        </w:rPr>
        <w:t>) ‘</w:t>
      </w:r>
      <w:r w:rsidR="00957285" w:rsidRPr="00AC2720">
        <w:rPr>
          <w:rFonts w:asciiTheme="minorHAnsi" w:hAnsiTheme="minorHAnsi" w:cstheme="minorHAnsi"/>
        </w:rPr>
        <w:t>Perceived locus of causality and internalization: examining reasons for acting in two domains</w:t>
      </w:r>
      <w:r w:rsidRPr="00AC2720">
        <w:rPr>
          <w:rFonts w:asciiTheme="minorHAnsi" w:hAnsiTheme="minorHAnsi" w:cstheme="minorHAnsi"/>
        </w:rPr>
        <w:t>’,</w:t>
      </w:r>
      <w:r w:rsidR="00957285" w:rsidRPr="00AC2720">
        <w:rPr>
          <w:rFonts w:asciiTheme="minorHAnsi" w:hAnsiTheme="minorHAnsi" w:cstheme="minorHAnsi"/>
        </w:rPr>
        <w:t xml:space="preserve"> </w:t>
      </w:r>
      <w:r w:rsidR="00957285" w:rsidRPr="00AC2720">
        <w:rPr>
          <w:rFonts w:asciiTheme="minorHAnsi" w:hAnsiTheme="minorHAnsi" w:cstheme="minorHAnsi"/>
          <w:i/>
          <w:iCs/>
        </w:rPr>
        <w:t xml:space="preserve">Journal of </w:t>
      </w:r>
      <w:r w:rsidR="002450B2" w:rsidRPr="00AC2720">
        <w:rPr>
          <w:rFonts w:asciiTheme="minorHAnsi" w:hAnsiTheme="minorHAnsi" w:cstheme="minorHAnsi"/>
          <w:i/>
          <w:iCs/>
        </w:rPr>
        <w:t xml:space="preserve">Personality </w:t>
      </w:r>
      <w:r w:rsidR="00957285" w:rsidRPr="00AC2720">
        <w:rPr>
          <w:rFonts w:asciiTheme="minorHAnsi" w:hAnsiTheme="minorHAnsi" w:cstheme="minorHAnsi"/>
          <w:i/>
          <w:iCs/>
        </w:rPr>
        <w:t xml:space="preserve">and </w:t>
      </w:r>
      <w:r w:rsidR="002450B2" w:rsidRPr="00AC2720">
        <w:rPr>
          <w:rFonts w:asciiTheme="minorHAnsi" w:hAnsiTheme="minorHAnsi" w:cstheme="minorHAnsi"/>
          <w:i/>
          <w:iCs/>
        </w:rPr>
        <w:t>S</w:t>
      </w:r>
      <w:r w:rsidR="00957285" w:rsidRPr="00AC2720">
        <w:rPr>
          <w:rFonts w:asciiTheme="minorHAnsi" w:hAnsiTheme="minorHAnsi" w:cstheme="minorHAnsi"/>
          <w:i/>
          <w:iCs/>
        </w:rPr>
        <w:t xml:space="preserve">ocial </w:t>
      </w:r>
      <w:r w:rsidR="002450B2" w:rsidRPr="00AC2720">
        <w:rPr>
          <w:rFonts w:asciiTheme="minorHAnsi" w:hAnsiTheme="minorHAnsi" w:cstheme="minorHAnsi"/>
          <w:i/>
          <w:iCs/>
        </w:rPr>
        <w:t>Psychology</w:t>
      </w:r>
      <w:r w:rsidR="00957285" w:rsidRPr="00AC2720">
        <w:rPr>
          <w:rFonts w:asciiTheme="minorHAnsi" w:hAnsiTheme="minorHAnsi" w:cstheme="minorHAnsi"/>
        </w:rPr>
        <w:t>, 57</w:t>
      </w:r>
      <w:r w:rsidR="002450B2" w:rsidRPr="00AC2720">
        <w:rPr>
          <w:rFonts w:asciiTheme="minorHAnsi" w:hAnsiTheme="minorHAnsi" w:cstheme="minorHAnsi"/>
        </w:rPr>
        <w:t xml:space="preserve"> (5)</w:t>
      </w:r>
      <w:r w:rsidR="00957285" w:rsidRPr="00AC2720">
        <w:rPr>
          <w:rFonts w:asciiTheme="minorHAnsi" w:hAnsiTheme="minorHAnsi" w:cstheme="minorHAnsi"/>
        </w:rPr>
        <w:t xml:space="preserve">, </w:t>
      </w:r>
      <w:r w:rsidR="002450B2" w:rsidRPr="00AC2720">
        <w:rPr>
          <w:rFonts w:asciiTheme="minorHAnsi" w:hAnsiTheme="minorHAnsi" w:cstheme="minorHAnsi"/>
        </w:rPr>
        <w:t xml:space="preserve">pp. </w:t>
      </w:r>
      <w:r w:rsidR="00957285" w:rsidRPr="00AC2720">
        <w:rPr>
          <w:rFonts w:asciiTheme="minorHAnsi" w:hAnsiTheme="minorHAnsi" w:cstheme="minorHAnsi"/>
        </w:rPr>
        <w:t>749</w:t>
      </w:r>
      <w:r w:rsidR="002450B2" w:rsidRPr="00AC2720">
        <w:rPr>
          <w:rFonts w:asciiTheme="minorHAnsi" w:hAnsiTheme="minorHAnsi" w:cstheme="minorHAnsi"/>
        </w:rPr>
        <w:t>-761</w:t>
      </w:r>
      <w:r w:rsidR="00957285" w:rsidRPr="00AC2720">
        <w:rPr>
          <w:rFonts w:asciiTheme="minorHAnsi" w:hAnsiTheme="minorHAnsi" w:cstheme="minorHAnsi"/>
        </w:rPr>
        <w:t>.</w:t>
      </w:r>
    </w:p>
    <w:sectPr w:rsidR="009E472E" w:rsidRPr="00AC2720" w:rsidSect="00783618">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6F5"/>
    <w:rsid w:val="00011E46"/>
    <w:rsid w:val="00015C12"/>
    <w:rsid w:val="00031B6E"/>
    <w:rsid w:val="0004139E"/>
    <w:rsid w:val="00043EE0"/>
    <w:rsid w:val="00047DB3"/>
    <w:rsid w:val="00054323"/>
    <w:rsid w:val="000B0F81"/>
    <w:rsid w:val="000F7109"/>
    <w:rsid w:val="001015B7"/>
    <w:rsid w:val="00102B24"/>
    <w:rsid w:val="001630C1"/>
    <w:rsid w:val="0016517F"/>
    <w:rsid w:val="0017167B"/>
    <w:rsid w:val="00187253"/>
    <w:rsid w:val="001A6439"/>
    <w:rsid w:val="001C30E4"/>
    <w:rsid w:val="001E1E9F"/>
    <w:rsid w:val="002221D8"/>
    <w:rsid w:val="00225ED8"/>
    <w:rsid w:val="002450B2"/>
    <w:rsid w:val="002C565A"/>
    <w:rsid w:val="002F1FBF"/>
    <w:rsid w:val="002F3433"/>
    <w:rsid w:val="0030167E"/>
    <w:rsid w:val="00370EEA"/>
    <w:rsid w:val="003B3DAF"/>
    <w:rsid w:val="003C0157"/>
    <w:rsid w:val="003C5ACC"/>
    <w:rsid w:val="003D5E51"/>
    <w:rsid w:val="003E442E"/>
    <w:rsid w:val="003E55A8"/>
    <w:rsid w:val="003F08B4"/>
    <w:rsid w:val="00412B9F"/>
    <w:rsid w:val="00422DCA"/>
    <w:rsid w:val="00434EF3"/>
    <w:rsid w:val="004375B5"/>
    <w:rsid w:val="00451060"/>
    <w:rsid w:val="00492244"/>
    <w:rsid w:val="00543D3A"/>
    <w:rsid w:val="005F44FC"/>
    <w:rsid w:val="0060704C"/>
    <w:rsid w:val="006200A5"/>
    <w:rsid w:val="0076793D"/>
    <w:rsid w:val="00783083"/>
    <w:rsid w:val="00783618"/>
    <w:rsid w:val="007C5D49"/>
    <w:rsid w:val="007D1324"/>
    <w:rsid w:val="007D13BE"/>
    <w:rsid w:val="0085031B"/>
    <w:rsid w:val="0086073D"/>
    <w:rsid w:val="008762ED"/>
    <w:rsid w:val="008935ED"/>
    <w:rsid w:val="008A50F4"/>
    <w:rsid w:val="008C703C"/>
    <w:rsid w:val="008D00EC"/>
    <w:rsid w:val="008D0DDA"/>
    <w:rsid w:val="008E33CA"/>
    <w:rsid w:val="009054D4"/>
    <w:rsid w:val="00905C40"/>
    <w:rsid w:val="0092308E"/>
    <w:rsid w:val="00941F45"/>
    <w:rsid w:val="00957285"/>
    <w:rsid w:val="009A0FE3"/>
    <w:rsid w:val="009D26F5"/>
    <w:rsid w:val="009E472E"/>
    <w:rsid w:val="00A027AF"/>
    <w:rsid w:val="00A06410"/>
    <w:rsid w:val="00AB43B4"/>
    <w:rsid w:val="00AC2720"/>
    <w:rsid w:val="00AC7D24"/>
    <w:rsid w:val="00AD2816"/>
    <w:rsid w:val="00AE6560"/>
    <w:rsid w:val="00B038DE"/>
    <w:rsid w:val="00BD740A"/>
    <w:rsid w:val="00BF7969"/>
    <w:rsid w:val="00BF7CFA"/>
    <w:rsid w:val="00C15976"/>
    <w:rsid w:val="00C168FC"/>
    <w:rsid w:val="00C20F35"/>
    <w:rsid w:val="00C21114"/>
    <w:rsid w:val="00C269A3"/>
    <w:rsid w:val="00C35009"/>
    <w:rsid w:val="00C579F1"/>
    <w:rsid w:val="00C64BE0"/>
    <w:rsid w:val="00C763B9"/>
    <w:rsid w:val="00C932FE"/>
    <w:rsid w:val="00CD7A13"/>
    <w:rsid w:val="00D33F60"/>
    <w:rsid w:val="00D53492"/>
    <w:rsid w:val="00D71B39"/>
    <w:rsid w:val="00D84107"/>
    <w:rsid w:val="00D860B7"/>
    <w:rsid w:val="00DB6AE9"/>
    <w:rsid w:val="00DD0858"/>
    <w:rsid w:val="00E739E4"/>
    <w:rsid w:val="00E82235"/>
    <w:rsid w:val="00EC24AC"/>
    <w:rsid w:val="00F046AD"/>
    <w:rsid w:val="00F10486"/>
    <w:rsid w:val="00F41789"/>
    <w:rsid w:val="00F66800"/>
    <w:rsid w:val="00F83509"/>
    <w:rsid w:val="00FB0A1D"/>
    <w:rsid w:val="00FB3623"/>
    <w:rsid w:val="00FF42C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2BFA2"/>
  <w15:chartTrackingRefBased/>
  <w15:docId w15:val="{89412E5D-FA53-4E9C-887D-C304103BF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DengXian" w:hAnsi="Calibri"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6F5"/>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D26F5"/>
    <w:rPr>
      <w:color w:val="0000FF"/>
      <w:u w:val="single"/>
    </w:rPr>
  </w:style>
  <w:style w:type="character" w:styleId="UnresolvedMention">
    <w:name w:val="Unresolved Mention"/>
    <w:uiPriority w:val="99"/>
    <w:semiHidden/>
    <w:unhideWhenUsed/>
    <w:rsid w:val="008935ED"/>
    <w:rPr>
      <w:color w:val="605E5C"/>
      <w:shd w:val="clear" w:color="auto" w:fill="E1DFDD"/>
    </w:rPr>
  </w:style>
  <w:style w:type="paragraph" w:styleId="NormalWeb">
    <w:name w:val="Normal (Web)"/>
    <w:basedOn w:val="Normal"/>
    <w:uiPriority w:val="99"/>
    <w:unhideWhenUsed/>
    <w:rsid w:val="00C579F1"/>
    <w:pPr>
      <w:spacing w:before="100" w:beforeAutospacing="1" w:after="100" w:afterAutospacing="1" w:line="240" w:lineRule="auto"/>
    </w:pPr>
    <w:rPr>
      <w:rFonts w:ascii="Times New Roman" w:eastAsia="Times New Roman" w:hAnsi="Times New Roman"/>
      <w:sz w:val="24"/>
      <w:szCs w:val="24"/>
      <w:lang w:val="en-US" w:eastAsia="en-US"/>
    </w:rPr>
  </w:style>
  <w:style w:type="paragraph" w:styleId="Revision">
    <w:name w:val="Revision"/>
    <w:hidden/>
    <w:uiPriority w:val="99"/>
    <w:semiHidden/>
    <w:rsid w:val="00FF42C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arkus.blut@durham.ac.uk" TargetMode="External"/><Relationship Id="rId5" Type="http://schemas.openxmlformats.org/officeDocument/2006/relationships/hyperlink" Target="mailto:llu@cardiffmet.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0B7F2EC1-B8B2-4793-B445-D10757887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1433</Words>
  <Characters>8173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9587</CharactersWithSpaces>
  <SharedDoc>false</SharedDoc>
  <HLinks>
    <vt:vector size="12" baseType="variant">
      <vt:variant>
        <vt:i4>7405659</vt:i4>
      </vt:variant>
      <vt:variant>
        <vt:i4>3</vt:i4>
      </vt:variant>
      <vt:variant>
        <vt:i4>0</vt:i4>
      </vt:variant>
      <vt:variant>
        <vt:i4>5</vt:i4>
      </vt:variant>
      <vt:variant>
        <vt:lpwstr>mailto:markus.blut@durham.ac.uk</vt:lpwstr>
      </vt:variant>
      <vt:variant>
        <vt:lpwstr/>
      </vt:variant>
      <vt:variant>
        <vt:i4>3670099</vt:i4>
      </vt:variant>
      <vt:variant>
        <vt:i4>0</vt:i4>
      </vt:variant>
      <vt:variant>
        <vt:i4>0</vt:i4>
      </vt:variant>
      <vt:variant>
        <vt:i4>5</vt:i4>
      </vt:variant>
      <vt:variant>
        <vt:lpwstr>mailto:llu@cardiffmet.ac.uk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Lu</dc:creator>
  <cp:keywords/>
  <dc:description/>
  <cp:lastModifiedBy>Lu, Lucy</cp:lastModifiedBy>
  <cp:revision>3</cp:revision>
  <dcterms:created xsi:type="dcterms:W3CDTF">2024-01-15T22:51:00Z</dcterms:created>
  <dcterms:modified xsi:type="dcterms:W3CDTF">2024-01-15T22:51:00Z</dcterms:modified>
</cp:coreProperties>
</file>