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FE222" w14:textId="10D09229" w:rsidR="00F02227" w:rsidRPr="00930B2B" w:rsidRDefault="00F02227" w:rsidP="00F02227">
      <w:pPr>
        <w:ind w:left="480" w:hangingChars="200" w:hanging="480"/>
        <w:rPr>
          <w:rFonts w:ascii="黑体" w:eastAsia="黑体" w:hAnsi="黑体" w:cs="Times New Roman" w:hint="eastAsia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编码说明</w:t>
      </w:r>
      <w:r w:rsidRPr="00930B2B">
        <w:rPr>
          <w:rFonts w:ascii="黑体" w:eastAsia="黑体" w:hAnsi="黑体" w:cs="Times New Roman" w:hint="eastAsia"/>
          <w:sz w:val="24"/>
          <w:szCs w:val="24"/>
        </w:rPr>
        <w:t>：</w:t>
      </w:r>
    </w:p>
    <w:p w14:paraId="712336D2" w14:textId="09A6F150" w:rsidR="00F02227" w:rsidRDefault="00F02227" w:rsidP="00F02227">
      <w:pPr>
        <w:spacing w:line="360" w:lineRule="auto"/>
        <w:rPr>
          <w:rFonts w:ascii="Times New Roman" w:eastAsia="宋体" w:hAnsi="Times New Roman"/>
          <w:szCs w:val="21"/>
        </w:rPr>
      </w:pPr>
      <w:r w:rsidRPr="00D7114B">
        <w:rPr>
          <w:rFonts w:ascii="Times New Roman" w:eastAsia="宋体" w:hAnsi="Times New Roman" w:hint="eastAsia"/>
          <w:szCs w:val="21"/>
        </w:rPr>
        <w:t>任务绩效具体包含的变量有：工作绩效、任务绩效、角色内绩效、主客观绩效</w:t>
      </w:r>
      <w:r w:rsidRPr="00D7114B">
        <w:rPr>
          <w:rFonts w:ascii="Times New Roman" w:eastAsia="宋体" w:hAnsi="Times New Roman" w:hint="eastAsia"/>
          <w:szCs w:val="21"/>
        </w:rPr>
        <w:t>(</w:t>
      </w:r>
      <w:r w:rsidRPr="00D7114B">
        <w:rPr>
          <w:rFonts w:ascii="Times New Roman" w:eastAsia="宋体" w:hAnsi="Times New Roman" w:hint="eastAsia"/>
          <w:szCs w:val="21"/>
        </w:rPr>
        <w:t>刘豆豆</w:t>
      </w:r>
      <w:r w:rsidRPr="00D7114B">
        <w:rPr>
          <w:rFonts w:ascii="Times New Roman" w:eastAsia="宋体" w:hAnsi="Times New Roman" w:hint="eastAsia"/>
          <w:szCs w:val="21"/>
        </w:rPr>
        <w:t xml:space="preserve"> </w:t>
      </w:r>
      <w:r w:rsidRPr="00D7114B">
        <w:rPr>
          <w:rFonts w:ascii="Times New Roman" w:eastAsia="宋体" w:hAnsi="Times New Roman" w:hint="eastAsia"/>
          <w:szCs w:val="21"/>
        </w:rPr>
        <w:t>等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021</w:t>
      </w:r>
      <w:r w:rsidRPr="00D7114B">
        <w:rPr>
          <w:rFonts w:ascii="Times New Roman" w:eastAsia="宋体" w:hAnsi="Times New Roman" w:hint="eastAsia"/>
          <w:szCs w:val="21"/>
        </w:rPr>
        <w:t>)</w:t>
      </w:r>
      <w:r w:rsidRPr="00D7114B">
        <w:rPr>
          <w:rFonts w:ascii="Times New Roman" w:eastAsia="宋体" w:hAnsi="Times New Roman" w:hint="eastAsia"/>
          <w:szCs w:val="21"/>
        </w:rPr>
        <w:t>；组织公民绩效具体包含的变量有：组织公民行为、周边绩效、角色外行为、建言</w:t>
      </w:r>
      <w:r w:rsidRPr="00D7114B">
        <w:rPr>
          <w:rFonts w:ascii="Times New Roman" w:eastAsia="宋体" w:hAnsi="Times New Roman" w:hint="eastAsia"/>
          <w:szCs w:val="21"/>
        </w:rPr>
        <w:t>(</w:t>
      </w:r>
      <w:r w:rsidRPr="00D7114B">
        <w:rPr>
          <w:rFonts w:ascii="Times New Roman" w:eastAsia="宋体" w:hAnsi="Times New Roman" w:hint="eastAsia"/>
          <w:szCs w:val="21"/>
        </w:rPr>
        <w:t>不包含抑制性建言</w:t>
      </w:r>
      <w:r w:rsidRPr="00D7114B">
        <w:rPr>
          <w:rFonts w:ascii="Times New Roman" w:eastAsia="宋体" w:hAnsi="Times New Roman" w:hint="eastAsia"/>
          <w:szCs w:val="21"/>
        </w:rPr>
        <w:t>)</w:t>
      </w:r>
      <w:r w:rsidRPr="00D7114B">
        <w:rPr>
          <w:rFonts w:ascii="Times New Roman" w:eastAsia="宋体" w:hAnsi="Times New Roman" w:hint="eastAsia"/>
          <w:szCs w:val="21"/>
        </w:rPr>
        <w:t>、一般主动行为</w:t>
      </w:r>
      <w:r w:rsidRPr="00D7114B">
        <w:rPr>
          <w:rFonts w:ascii="Times New Roman" w:eastAsia="宋体" w:hAnsi="Times New Roman" w:hint="eastAsia"/>
          <w:szCs w:val="21"/>
        </w:rPr>
        <w:t>(</w:t>
      </w:r>
      <w:r w:rsidRPr="00D7114B">
        <w:rPr>
          <w:rFonts w:ascii="Times New Roman" w:eastAsia="宋体" w:hAnsi="Times New Roman"/>
          <w:szCs w:val="21"/>
        </w:rPr>
        <w:t>Belschak &amp; Den Hartog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010</w:t>
      </w:r>
      <w:r w:rsidRPr="00D7114B">
        <w:rPr>
          <w:rFonts w:ascii="Times New Roman" w:eastAsia="宋体" w:hAnsi="Times New Roman" w:hint="eastAsia"/>
          <w:szCs w:val="21"/>
        </w:rPr>
        <w:t xml:space="preserve">; </w:t>
      </w:r>
      <w:r w:rsidRPr="00D7114B">
        <w:rPr>
          <w:rFonts w:ascii="Times New Roman" w:eastAsia="宋体" w:hAnsi="Times New Roman"/>
          <w:szCs w:val="21"/>
        </w:rPr>
        <w:t>Chamberlin et al.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017</w:t>
      </w:r>
      <w:r w:rsidRPr="00D7114B">
        <w:rPr>
          <w:rFonts w:ascii="Times New Roman" w:eastAsia="宋体" w:hAnsi="Times New Roman" w:hint="eastAsia"/>
          <w:szCs w:val="21"/>
        </w:rPr>
        <w:t xml:space="preserve">; </w:t>
      </w:r>
      <w:r w:rsidRPr="00D7114B">
        <w:rPr>
          <w:rFonts w:ascii="Times New Roman" w:eastAsia="宋体" w:hAnsi="Times New Roman"/>
          <w:szCs w:val="21"/>
        </w:rPr>
        <w:t xml:space="preserve">Martin </w:t>
      </w:r>
      <w:r w:rsidRPr="00D7114B">
        <w:rPr>
          <w:rFonts w:ascii="Times New Roman" w:eastAsia="宋体" w:hAnsi="Times New Roman" w:hint="eastAsia"/>
          <w:szCs w:val="21"/>
        </w:rPr>
        <w:t>et</w:t>
      </w:r>
      <w:r w:rsidRPr="00D7114B">
        <w:rPr>
          <w:rFonts w:ascii="Times New Roman" w:eastAsia="宋体" w:hAnsi="Times New Roman"/>
          <w:szCs w:val="21"/>
        </w:rPr>
        <w:t xml:space="preserve"> al.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016</w:t>
      </w:r>
      <w:r w:rsidRPr="00D7114B">
        <w:rPr>
          <w:rFonts w:ascii="Times New Roman" w:eastAsia="宋体" w:hAnsi="Times New Roman" w:hint="eastAsia"/>
          <w:szCs w:val="21"/>
        </w:rPr>
        <w:t>)</w:t>
      </w:r>
      <w:r>
        <w:rPr>
          <w:rFonts w:ascii="Times New Roman" w:eastAsia="宋体" w:hAnsi="Times New Roman" w:hint="eastAsia"/>
          <w:szCs w:val="21"/>
        </w:rPr>
        <w:t>。</w:t>
      </w:r>
      <w:r w:rsidRPr="0046192C">
        <w:rPr>
          <w:rFonts w:ascii="Times New Roman" w:eastAsia="宋体" w:hAnsi="Times New Roman" w:hint="eastAsia"/>
          <w:szCs w:val="21"/>
        </w:rPr>
        <w:t>创新绩效具体包含的变量有：创新绩效、创造力、创新行为</w:t>
      </w:r>
      <w:r w:rsidRPr="0046192C">
        <w:rPr>
          <w:rFonts w:ascii="Times New Roman" w:eastAsia="宋体" w:hAnsi="Times New Roman" w:hint="eastAsia"/>
          <w:szCs w:val="21"/>
        </w:rPr>
        <w:t>(</w:t>
      </w:r>
      <w:r w:rsidRPr="0046192C">
        <w:rPr>
          <w:rFonts w:ascii="Times New Roman" w:eastAsia="宋体" w:hAnsi="Times New Roman" w:hint="eastAsia"/>
          <w:szCs w:val="21"/>
        </w:rPr>
        <w:t>林新奇</w:t>
      </w:r>
      <w:r w:rsidRPr="0046192C">
        <w:rPr>
          <w:rFonts w:ascii="Times New Roman" w:eastAsia="宋体" w:hAnsi="Times New Roman" w:hint="eastAsia"/>
          <w:szCs w:val="21"/>
        </w:rPr>
        <w:t xml:space="preserve"> </w:t>
      </w:r>
      <w:r w:rsidRPr="0046192C">
        <w:rPr>
          <w:rFonts w:ascii="Times New Roman" w:eastAsia="宋体" w:hAnsi="Times New Roman" w:hint="eastAsia"/>
          <w:szCs w:val="21"/>
        </w:rPr>
        <w:t>等</w:t>
      </w:r>
      <w:r w:rsidRPr="0046192C">
        <w:rPr>
          <w:rFonts w:ascii="Times New Roman" w:eastAsia="宋体" w:hAnsi="Times New Roman" w:hint="eastAsia"/>
          <w:szCs w:val="21"/>
        </w:rPr>
        <w:t>,  2022)</w:t>
      </w:r>
      <w:r>
        <w:rPr>
          <w:rFonts w:ascii="Times New Roman" w:eastAsia="宋体" w:hAnsi="Times New Roman" w:hint="eastAsia"/>
          <w:szCs w:val="21"/>
        </w:rPr>
        <w:t>。</w:t>
      </w:r>
      <w:r w:rsidRPr="00D7114B">
        <w:rPr>
          <w:rFonts w:ascii="Times New Roman" w:eastAsia="宋体" w:hAnsi="Times New Roman" w:hint="eastAsia"/>
          <w:szCs w:val="21"/>
        </w:rPr>
        <w:t>反生产绩效具体包含的变量有：反生产行为、职场偏差行为、越轨行为、时间偷窃、怠工、离职倾向</w:t>
      </w:r>
      <w:r w:rsidRPr="00D7114B">
        <w:rPr>
          <w:rFonts w:ascii="Times New Roman" w:eastAsia="宋体" w:hAnsi="Times New Roman" w:hint="eastAsia"/>
          <w:szCs w:val="21"/>
        </w:rPr>
        <w:t>(</w:t>
      </w:r>
      <w:r w:rsidRPr="00D7114B">
        <w:rPr>
          <w:rFonts w:ascii="Times New Roman" w:eastAsia="宋体" w:hAnsi="Times New Roman" w:hint="eastAsia"/>
          <w:szCs w:val="21"/>
        </w:rPr>
        <w:t>刘豆豆</w:t>
      </w:r>
      <w:r w:rsidRPr="00D7114B">
        <w:rPr>
          <w:rFonts w:ascii="Times New Roman" w:eastAsia="宋体" w:hAnsi="Times New Roman" w:hint="eastAsia"/>
          <w:szCs w:val="21"/>
        </w:rPr>
        <w:t xml:space="preserve"> </w:t>
      </w:r>
      <w:r w:rsidRPr="00D7114B">
        <w:rPr>
          <w:rFonts w:ascii="Times New Roman" w:eastAsia="宋体" w:hAnsi="Times New Roman" w:hint="eastAsia"/>
          <w:szCs w:val="21"/>
        </w:rPr>
        <w:t>等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021</w:t>
      </w:r>
      <w:r w:rsidRPr="00D7114B">
        <w:rPr>
          <w:rFonts w:ascii="Times New Roman" w:eastAsia="宋体" w:hAnsi="Times New Roman" w:hint="eastAsia"/>
          <w:szCs w:val="21"/>
        </w:rPr>
        <w:t>；</w:t>
      </w:r>
      <w:r w:rsidRPr="00D7114B">
        <w:rPr>
          <w:rFonts w:ascii="Times New Roman" w:eastAsia="宋体" w:hAnsi="Times New Roman"/>
          <w:szCs w:val="21"/>
        </w:rPr>
        <w:t>Carpenter &amp; Berry</w:t>
      </w:r>
      <w:r w:rsidRPr="00D7114B">
        <w:rPr>
          <w:rFonts w:ascii="Times New Roman" w:eastAsia="宋体" w:hAnsi="Times New Roman" w:hint="eastAsia"/>
          <w:szCs w:val="21"/>
        </w:rPr>
        <w:t xml:space="preserve">, </w:t>
      </w:r>
      <w:r w:rsidRPr="00D7114B">
        <w:rPr>
          <w:rFonts w:ascii="Times New Roman" w:eastAsia="宋体" w:hAnsi="Times New Roman"/>
          <w:szCs w:val="21"/>
        </w:rPr>
        <w:t>2017</w:t>
      </w:r>
      <w:r w:rsidRPr="00D7114B">
        <w:rPr>
          <w:rFonts w:ascii="Times New Roman" w:eastAsia="宋体" w:hAnsi="Times New Roman" w:hint="eastAsia"/>
          <w:szCs w:val="21"/>
        </w:rPr>
        <w:t>)</w:t>
      </w:r>
      <w:r w:rsidRPr="00D7114B">
        <w:rPr>
          <w:rFonts w:ascii="Times New Roman" w:eastAsia="宋体" w:hAnsi="Times New Roman" w:hint="eastAsia"/>
          <w:szCs w:val="21"/>
        </w:rPr>
        <w:t>。需要特别说明的是，尽管离职倾向本质上属于个体的态度反应，但是以往元分析中通常将其作为离职行为的代理变量进行分析</w:t>
      </w:r>
      <w:r w:rsidRPr="00D7114B">
        <w:rPr>
          <w:rFonts w:ascii="Times New Roman" w:eastAsia="宋体" w:hAnsi="Times New Roman" w:hint="eastAsia"/>
          <w:szCs w:val="21"/>
        </w:rPr>
        <w:t>(</w:t>
      </w:r>
      <w:r w:rsidRPr="00D7114B">
        <w:rPr>
          <w:rFonts w:ascii="Times New Roman" w:eastAsia="宋体" w:hAnsi="Times New Roman" w:hint="eastAsia"/>
          <w:szCs w:val="21"/>
        </w:rPr>
        <w:t>杨伟文</w:t>
      </w:r>
      <w:r w:rsidRPr="00D7114B">
        <w:rPr>
          <w:rFonts w:ascii="Times New Roman" w:eastAsia="宋体" w:hAnsi="Times New Roman" w:hint="eastAsia"/>
          <w:szCs w:val="21"/>
        </w:rPr>
        <w:t xml:space="preserve">, </w:t>
      </w:r>
      <w:r w:rsidRPr="00D7114B">
        <w:rPr>
          <w:rFonts w:ascii="Times New Roman" w:eastAsia="宋体" w:hAnsi="Times New Roman" w:hint="eastAsia"/>
          <w:szCs w:val="21"/>
        </w:rPr>
        <w:t>李超平</w:t>
      </w:r>
      <w:r w:rsidRPr="00D7114B">
        <w:rPr>
          <w:rFonts w:ascii="Times New Roman" w:eastAsia="宋体" w:hAnsi="Times New Roman" w:hint="eastAsia"/>
          <w:szCs w:val="21"/>
        </w:rPr>
        <w:t>, 2</w:t>
      </w:r>
      <w:r w:rsidRPr="00D7114B">
        <w:rPr>
          <w:rFonts w:ascii="Times New Roman" w:eastAsia="宋体" w:hAnsi="Times New Roman"/>
          <w:szCs w:val="21"/>
        </w:rPr>
        <w:t>021</w:t>
      </w:r>
      <w:r w:rsidRPr="00D7114B">
        <w:rPr>
          <w:rFonts w:ascii="Times New Roman" w:eastAsia="宋体" w:hAnsi="Times New Roman" w:hint="eastAsia"/>
          <w:szCs w:val="21"/>
        </w:rPr>
        <w:t xml:space="preserve">; </w:t>
      </w:r>
      <w:r w:rsidRPr="00D7114B">
        <w:rPr>
          <w:rFonts w:ascii="Times New Roman" w:eastAsia="宋体" w:hAnsi="Times New Roman"/>
          <w:szCs w:val="21"/>
        </w:rPr>
        <w:t>Sverke et al.</w:t>
      </w:r>
      <w:r w:rsidRPr="00D7114B">
        <w:rPr>
          <w:rFonts w:ascii="Times New Roman" w:eastAsia="宋体" w:hAnsi="Times New Roman" w:hint="eastAsia"/>
          <w:szCs w:val="21"/>
        </w:rPr>
        <w:t xml:space="preserve">, </w:t>
      </w:r>
      <w:r w:rsidRPr="00D7114B">
        <w:rPr>
          <w:rFonts w:ascii="Times New Roman" w:eastAsia="宋体" w:hAnsi="Times New Roman"/>
          <w:szCs w:val="21"/>
        </w:rPr>
        <w:t>2002</w:t>
      </w:r>
      <w:r w:rsidRPr="00D7114B">
        <w:rPr>
          <w:rFonts w:ascii="Times New Roman" w:eastAsia="宋体" w:hAnsi="Times New Roman" w:hint="eastAsia"/>
          <w:szCs w:val="21"/>
        </w:rPr>
        <w:t>)</w:t>
      </w:r>
      <w:r w:rsidRPr="00D7114B">
        <w:rPr>
          <w:rFonts w:ascii="Times New Roman" w:eastAsia="宋体" w:hAnsi="Times New Roman" w:hint="eastAsia"/>
          <w:szCs w:val="21"/>
        </w:rPr>
        <w:t>，因此本研究也采取了以往研究的做法并将其归入到反生产绩效中。</w:t>
      </w:r>
    </w:p>
    <w:p w14:paraId="1A66E3E1" w14:textId="77777777" w:rsidR="00F02227" w:rsidRPr="00930B2B" w:rsidRDefault="00F02227" w:rsidP="00F02227">
      <w:pPr>
        <w:rPr>
          <w:rFonts w:ascii="宋体" w:eastAsia="宋体" w:hAnsi="宋体" w:cs="Times New Roman" w:hint="eastAsia"/>
          <w:szCs w:val="21"/>
        </w:rPr>
      </w:pPr>
      <w:r w:rsidRPr="00930B2B">
        <w:rPr>
          <w:rFonts w:ascii="宋体" w:eastAsia="宋体" w:hAnsi="宋体" w:cs="Times New Roman" w:hint="eastAsia"/>
          <w:szCs w:val="21"/>
        </w:rPr>
        <w:t>参考文献：</w:t>
      </w:r>
    </w:p>
    <w:p w14:paraId="7840F46B" w14:textId="77777777" w:rsidR="00F02227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宋体" w:eastAsia="宋体" w:hAnsi="宋体" w:cs="Times New Roman"/>
          <w:szCs w:val="21"/>
        </w:rPr>
        <w:t>刘豆豆</w:t>
      </w:r>
      <w:r w:rsidRPr="00930B2B">
        <w:rPr>
          <w:rFonts w:ascii="Times New Roman" w:hAnsi="Times New Roman" w:cs="Times New Roman"/>
          <w:szCs w:val="21"/>
        </w:rPr>
        <w:t xml:space="preserve">, </w:t>
      </w:r>
      <w:r w:rsidRPr="00930B2B">
        <w:rPr>
          <w:rFonts w:ascii="宋体" w:eastAsia="宋体" w:hAnsi="宋体" w:cs="Times New Roman"/>
          <w:szCs w:val="21"/>
        </w:rPr>
        <w:t>胥彦</w:t>
      </w:r>
      <w:r w:rsidRPr="00930B2B">
        <w:rPr>
          <w:rFonts w:ascii="Times New Roman" w:hAnsi="Times New Roman" w:cs="Times New Roman"/>
          <w:szCs w:val="21"/>
        </w:rPr>
        <w:t xml:space="preserve">, </w:t>
      </w:r>
      <w:r w:rsidRPr="00930B2B">
        <w:rPr>
          <w:rFonts w:ascii="宋体" w:eastAsia="宋体" w:hAnsi="宋体" w:cs="Times New Roman"/>
          <w:szCs w:val="21"/>
        </w:rPr>
        <w:t>李超平</w:t>
      </w:r>
      <w:r w:rsidRPr="00930B2B">
        <w:rPr>
          <w:rFonts w:ascii="Times New Roman" w:hAnsi="Times New Roman" w:cs="Times New Roman"/>
          <w:szCs w:val="21"/>
        </w:rPr>
        <w:t xml:space="preserve">. (2021). </w:t>
      </w:r>
      <w:r w:rsidRPr="00930B2B">
        <w:rPr>
          <w:rFonts w:ascii="宋体" w:eastAsia="宋体" w:hAnsi="宋体" w:cs="Times New Roman"/>
          <w:szCs w:val="21"/>
        </w:rPr>
        <w:t>中国情境下家长式领导与员工绩效关系的元分析</w:t>
      </w:r>
      <w:r w:rsidRPr="00930B2B">
        <w:rPr>
          <w:rFonts w:ascii="Times New Roman" w:hAnsi="Times New Roman" w:cs="Times New Roman"/>
          <w:szCs w:val="21"/>
        </w:rPr>
        <w:t>. </w:t>
      </w:r>
      <w:r w:rsidRPr="00930B2B">
        <w:rPr>
          <w:rFonts w:ascii="宋体" w:eastAsia="宋体" w:hAnsi="宋体" w:cs="Times New Roman"/>
          <w:i/>
          <w:iCs/>
          <w:szCs w:val="21"/>
        </w:rPr>
        <w:t>心理科学进展</w:t>
      </w:r>
      <w:r w:rsidRPr="00930B2B">
        <w:rPr>
          <w:rFonts w:ascii="Times New Roman" w:hAnsi="Times New Roman" w:cs="Times New Roman" w:hint="eastAsia"/>
          <w:szCs w:val="21"/>
        </w:rPr>
        <w:t>,</w:t>
      </w:r>
      <w:r w:rsidRPr="00930B2B">
        <w:rPr>
          <w:rFonts w:ascii="Times New Roman" w:hAnsi="Times New Roman" w:cs="Times New Roman"/>
          <w:szCs w:val="21"/>
        </w:rPr>
        <w:t xml:space="preserve"> </w:t>
      </w:r>
      <w:r w:rsidRPr="00930B2B">
        <w:rPr>
          <w:rFonts w:ascii="Times New Roman" w:hAnsi="Times New Roman" w:cs="Times New Roman" w:hint="eastAsia"/>
          <w:i/>
          <w:iCs/>
          <w:szCs w:val="21"/>
        </w:rPr>
        <w:t>2</w:t>
      </w:r>
      <w:r w:rsidRPr="00930B2B">
        <w:rPr>
          <w:rFonts w:ascii="Times New Roman" w:hAnsi="Times New Roman" w:cs="Times New Roman"/>
          <w:i/>
          <w:iCs/>
          <w:szCs w:val="21"/>
        </w:rPr>
        <w:t>9</w:t>
      </w:r>
      <w:r w:rsidRPr="00930B2B">
        <w:rPr>
          <w:rFonts w:ascii="Times New Roman" w:hAnsi="Times New Roman" w:cs="Times New Roman"/>
          <w:szCs w:val="21"/>
        </w:rPr>
        <w:t>(10), 1829–1846.</w:t>
      </w:r>
    </w:p>
    <w:p w14:paraId="6EEDAA39" w14:textId="77777777" w:rsidR="00F02227" w:rsidRPr="0046192C" w:rsidRDefault="00F02227" w:rsidP="00F02227">
      <w:pPr>
        <w:ind w:left="420" w:hangingChars="200" w:hanging="420"/>
        <w:rPr>
          <w:rFonts w:ascii="Times New Roman" w:eastAsia="宋体" w:hAnsi="Times New Roman" w:cs="Times New Roman" w:hint="eastAsia"/>
          <w:szCs w:val="21"/>
        </w:rPr>
      </w:pPr>
      <w:r w:rsidRPr="0046192C">
        <w:rPr>
          <w:rFonts w:ascii="Times New Roman" w:eastAsia="宋体" w:hAnsi="Times New Roman" w:cs="Times New Roman"/>
          <w:szCs w:val="21"/>
        </w:rPr>
        <w:t>林新奇</w:t>
      </w:r>
      <w:r w:rsidRPr="0046192C">
        <w:rPr>
          <w:rFonts w:ascii="Times New Roman" w:eastAsia="宋体" w:hAnsi="Times New Roman" w:cs="Times New Roman"/>
          <w:szCs w:val="21"/>
        </w:rPr>
        <w:t xml:space="preserve">, </w:t>
      </w:r>
      <w:r w:rsidRPr="0046192C">
        <w:rPr>
          <w:rFonts w:ascii="Times New Roman" w:eastAsia="宋体" w:hAnsi="Times New Roman" w:cs="Times New Roman"/>
          <w:szCs w:val="21"/>
        </w:rPr>
        <w:t>栾宇翔</w:t>
      </w:r>
      <w:r w:rsidRPr="0046192C">
        <w:rPr>
          <w:rFonts w:ascii="Times New Roman" w:eastAsia="宋体" w:hAnsi="Times New Roman" w:cs="Times New Roman"/>
          <w:szCs w:val="21"/>
        </w:rPr>
        <w:t xml:space="preserve">, </w:t>
      </w:r>
      <w:r w:rsidRPr="0046192C">
        <w:rPr>
          <w:rFonts w:ascii="Times New Roman" w:eastAsia="宋体" w:hAnsi="Times New Roman" w:cs="Times New Roman"/>
          <w:szCs w:val="21"/>
        </w:rPr>
        <w:t>赵锴</w:t>
      </w:r>
      <w:r w:rsidRPr="0046192C">
        <w:rPr>
          <w:rFonts w:ascii="Times New Roman" w:eastAsia="宋体" w:hAnsi="Times New Roman" w:cs="Times New Roman"/>
          <w:szCs w:val="21"/>
        </w:rPr>
        <w:t xml:space="preserve">, </w:t>
      </w:r>
      <w:r w:rsidRPr="0046192C">
        <w:rPr>
          <w:rFonts w:ascii="Times New Roman" w:eastAsia="宋体" w:hAnsi="Times New Roman" w:cs="Times New Roman"/>
          <w:szCs w:val="21"/>
        </w:rPr>
        <w:t>赵国龙</w:t>
      </w:r>
      <w:r w:rsidRPr="0046192C">
        <w:rPr>
          <w:rFonts w:ascii="Times New Roman" w:eastAsia="宋体" w:hAnsi="Times New Roman" w:cs="Times New Roman"/>
          <w:szCs w:val="21"/>
        </w:rPr>
        <w:t xml:space="preserve">. (2022). </w:t>
      </w:r>
      <w:r w:rsidRPr="0046192C">
        <w:rPr>
          <w:rFonts w:ascii="Times New Roman" w:eastAsia="宋体" w:hAnsi="Times New Roman" w:cs="Times New Roman"/>
          <w:szCs w:val="21"/>
        </w:rPr>
        <w:t>领导风格与员工创新绩效关系的元分析：基于自我决定视角</w:t>
      </w:r>
      <w:r w:rsidRPr="0046192C">
        <w:rPr>
          <w:rFonts w:ascii="Times New Roman" w:eastAsia="宋体" w:hAnsi="Times New Roman" w:cs="Times New Roman"/>
          <w:szCs w:val="21"/>
        </w:rPr>
        <w:t xml:space="preserve">. </w:t>
      </w:r>
      <w:r w:rsidRPr="0046192C">
        <w:rPr>
          <w:rFonts w:ascii="Times New Roman" w:eastAsia="宋体" w:hAnsi="Times New Roman" w:cs="Times New Roman"/>
          <w:i/>
          <w:iCs/>
          <w:szCs w:val="21"/>
        </w:rPr>
        <w:t>心理科学进展</w:t>
      </w:r>
      <w:r w:rsidRPr="0046192C">
        <w:rPr>
          <w:rFonts w:ascii="Times New Roman" w:eastAsia="宋体" w:hAnsi="Times New Roman" w:cs="Times New Roman"/>
          <w:i/>
          <w:iCs/>
          <w:szCs w:val="21"/>
        </w:rPr>
        <w:t>, 30</w:t>
      </w:r>
      <w:r w:rsidRPr="0046192C">
        <w:rPr>
          <w:rFonts w:ascii="Times New Roman" w:eastAsia="宋体" w:hAnsi="Times New Roman" w:cs="Times New Roman"/>
          <w:szCs w:val="21"/>
        </w:rPr>
        <w:t>(4), 781–801.</w:t>
      </w:r>
    </w:p>
    <w:p w14:paraId="2EA84891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宋体" w:eastAsia="宋体" w:hAnsi="宋体" w:cs="Times New Roman"/>
          <w:szCs w:val="21"/>
        </w:rPr>
        <w:t>杨伟文</w:t>
      </w:r>
      <w:r w:rsidRPr="00930B2B">
        <w:rPr>
          <w:rFonts w:ascii="Times New Roman" w:hAnsi="Times New Roman" w:cs="Times New Roman"/>
          <w:szCs w:val="21"/>
        </w:rPr>
        <w:t xml:space="preserve">, </w:t>
      </w:r>
      <w:r w:rsidRPr="00930B2B">
        <w:rPr>
          <w:rFonts w:ascii="宋体" w:eastAsia="宋体" w:hAnsi="宋体" w:cs="Times New Roman"/>
          <w:szCs w:val="21"/>
        </w:rPr>
        <w:t>李超平</w:t>
      </w:r>
      <w:r w:rsidRPr="00930B2B">
        <w:rPr>
          <w:rFonts w:ascii="Times New Roman" w:hAnsi="Times New Roman" w:cs="Times New Roman"/>
          <w:szCs w:val="21"/>
        </w:rPr>
        <w:t xml:space="preserve">. (2021). </w:t>
      </w:r>
      <w:r w:rsidRPr="00930B2B">
        <w:rPr>
          <w:rFonts w:ascii="宋体" w:eastAsia="宋体" w:hAnsi="宋体" w:cs="Times New Roman"/>
          <w:szCs w:val="21"/>
        </w:rPr>
        <w:t>资质过剩感对个体绩效的作用效果及机制：基于情绪-认知加工系统与文化情境的元分析</w:t>
      </w:r>
      <w:r w:rsidRPr="00930B2B">
        <w:rPr>
          <w:rFonts w:ascii="Times New Roman" w:hAnsi="Times New Roman" w:cs="Times New Roman"/>
          <w:szCs w:val="21"/>
        </w:rPr>
        <w:t xml:space="preserve">. </w:t>
      </w:r>
      <w:r w:rsidRPr="00930B2B">
        <w:rPr>
          <w:rFonts w:ascii="宋体" w:eastAsia="宋体" w:hAnsi="宋体" w:cs="Times New Roman"/>
          <w:i/>
          <w:iCs/>
          <w:szCs w:val="21"/>
        </w:rPr>
        <w:t>心理学报</w:t>
      </w:r>
      <w:r w:rsidRPr="00930B2B">
        <w:rPr>
          <w:rFonts w:ascii="Times New Roman" w:hAnsi="Times New Roman" w:cs="Times New Roman"/>
          <w:szCs w:val="21"/>
        </w:rPr>
        <w:t xml:space="preserve">, </w:t>
      </w:r>
      <w:r w:rsidRPr="00930B2B">
        <w:rPr>
          <w:rFonts w:ascii="Times New Roman" w:hAnsi="Times New Roman" w:cs="Times New Roman"/>
          <w:i/>
          <w:iCs/>
          <w:szCs w:val="21"/>
        </w:rPr>
        <w:t>53</w:t>
      </w:r>
      <w:r w:rsidRPr="00930B2B">
        <w:rPr>
          <w:rFonts w:ascii="Times New Roman" w:hAnsi="Times New Roman" w:cs="Times New Roman"/>
          <w:szCs w:val="21"/>
        </w:rPr>
        <w:t>(5), 527–554.</w:t>
      </w:r>
    </w:p>
    <w:p w14:paraId="08F49FE5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Times New Roman" w:hAnsi="Times New Roman" w:cs="Times New Roman"/>
          <w:szCs w:val="21"/>
        </w:rPr>
        <w:t>Belschak, F. D., &amp; Den Hartog, D. N. (2010). Pro-self, prosocial, and pro-organizational foci of proactive behaviour: Differential antecedents and consequences. </w:t>
      </w:r>
      <w:r w:rsidRPr="00930B2B">
        <w:rPr>
          <w:rFonts w:ascii="Times New Roman" w:hAnsi="Times New Roman" w:cs="Times New Roman"/>
          <w:i/>
          <w:iCs/>
          <w:szCs w:val="21"/>
        </w:rPr>
        <w:t>Journal of Occupational and Organizational Psychology, 83</w:t>
      </w:r>
      <w:r w:rsidRPr="00930B2B">
        <w:rPr>
          <w:rFonts w:ascii="Times New Roman" w:hAnsi="Times New Roman" w:cs="Times New Roman"/>
          <w:szCs w:val="21"/>
        </w:rPr>
        <w:t>(2), 475–798.</w:t>
      </w:r>
    </w:p>
    <w:p w14:paraId="2BA6D707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Times New Roman" w:hAnsi="Times New Roman" w:cs="Times New Roman"/>
          <w:szCs w:val="21"/>
        </w:rPr>
        <w:t>Carpenter, N. C., &amp; Berry, C. M. (2017). Are counterproductive work behavior and withdrawal empirically distinct? A meta-analytic investigation. </w:t>
      </w:r>
      <w:r w:rsidRPr="00930B2B">
        <w:rPr>
          <w:rFonts w:ascii="Times New Roman" w:hAnsi="Times New Roman" w:cs="Times New Roman"/>
          <w:i/>
          <w:iCs/>
          <w:szCs w:val="21"/>
        </w:rPr>
        <w:t>Journal of Management, 43</w:t>
      </w:r>
      <w:r w:rsidRPr="00930B2B">
        <w:rPr>
          <w:rFonts w:ascii="Times New Roman" w:hAnsi="Times New Roman" w:cs="Times New Roman"/>
          <w:szCs w:val="21"/>
        </w:rPr>
        <w:t>(3), 834–863.</w:t>
      </w:r>
    </w:p>
    <w:p w14:paraId="3A940248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Times New Roman" w:hAnsi="Times New Roman" w:cs="Times New Roman"/>
          <w:szCs w:val="21"/>
        </w:rPr>
        <w:t>Chamberlin, M., Newton, D. W., &amp; Lepine, J. A. (2017). A meta‐analysis of voice and its promotive and prohibitive forms: Identification of key associations, distinctions, and future research directions. </w:t>
      </w:r>
      <w:r w:rsidRPr="00930B2B">
        <w:rPr>
          <w:rFonts w:ascii="Times New Roman" w:hAnsi="Times New Roman" w:cs="Times New Roman"/>
          <w:i/>
          <w:iCs/>
          <w:szCs w:val="21"/>
        </w:rPr>
        <w:t>Personnel Psychology, 70</w:t>
      </w:r>
      <w:r w:rsidRPr="00930B2B">
        <w:rPr>
          <w:rFonts w:ascii="Times New Roman" w:hAnsi="Times New Roman" w:cs="Times New Roman"/>
          <w:szCs w:val="21"/>
        </w:rPr>
        <w:t>(1), 11–71.</w:t>
      </w:r>
    </w:p>
    <w:p w14:paraId="5B285CB8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Times New Roman" w:hAnsi="Times New Roman" w:cs="Times New Roman"/>
          <w:szCs w:val="21"/>
        </w:rPr>
        <w:t xml:space="preserve">Martin, R., Guillaume, Y., Thomas, G., Lee, A., &amp; Epitropaki, O. (2016). Leader-member exchange (LMX) and performance: A meta-analytic review. </w:t>
      </w:r>
      <w:r w:rsidRPr="00930B2B">
        <w:rPr>
          <w:rFonts w:ascii="Times New Roman" w:hAnsi="Times New Roman" w:cs="Times New Roman"/>
          <w:i/>
          <w:iCs/>
          <w:szCs w:val="21"/>
        </w:rPr>
        <w:t>Personnel Psychology</w:t>
      </w:r>
      <w:r w:rsidRPr="00930B2B">
        <w:rPr>
          <w:rFonts w:ascii="Times New Roman" w:hAnsi="Times New Roman" w:cs="Times New Roman"/>
          <w:szCs w:val="21"/>
        </w:rPr>
        <w:t>,</w:t>
      </w:r>
      <w:r w:rsidRPr="00930B2B">
        <w:rPr>
          <w:rFonts w:ascii="Times New Roman" w:hAnsi="Times New Roman" w:cs="Times New Roman"/>
          <w:i/>
          <w:iCs/>
          <w:szCs w:val="21"/>
        </w:rPr>
        <w:t xml:space="preserve"> 69</w:t>
      </w:r>
      <w:r w:rsidRPr="00930B2B">
        <w:rPr>
          <w:rFonts w:ascii="Times New Roman" w:hAnsi="Times New Roman" w:cs="Times New Roman"/>
          <w:szCs w:val="21"/>
        </w:rPr>
        <w:t>(1), 67−121.</w:t>
      </w:r>
    </w:p>
    <w:p w14:paraId="3679F382" w14:textId="77777777" w:rsidR="00F02227" w:rsidRPr="00930B2B" w:rsidRDefault="00F02227" w:rsidP="00F02227">
      <w:pPr>
        <w:ind w:left="420" w:hangingChars="200" w:hanging="420"/>
        <w:rPr>
          <w:rFonts w:ascii="Times New Roman" w:hAnsi="Times New Roman" w:cs="Times New Roman"/>
          <w:szCs w:val="21"/>
        </w:rPr>
      </w:pPr>
      <w:r w:rsidRPr="00930B2B">
        <w:rPr>
          <w:rFonts w:ascii="Times New Roman" w:hAnsi="Times New Roman" w:cs="Times New Roman"/>
          <w:szCs w:val="21"/>
        </w:rPr>
        <w:t xml:space="preserve">Sverke, M., Hellgren, J., &amp; Naswall, K. (2002). No security: A meta-analysis and review of job insecurity and its consequences. </w:t>
      </w:r>
      <w:r w:rsidRPr="00930B2B">
        <w:rPr>
          <w:rFonts w:ascii="Times New Roman" w:hAnsi="Times New Roman" w:cs="Times New Roman"/>
          <w:i/>
          <w:iCs/>
          <w:szCs w:val="21"/>
        </w:rPr>
        <w:t>Journal of Occupational Health Psychology</w:t>
      </w:r>
      <w:r w:rsidRPr="00930B2B">
        <w:rPr>
          <w:rFonts w:ascii="Times New Roman" w:hAnsi="Times New Roman" w:cs="Times New Roman"/>
          <w:szCs w:val="21"/>
        </w:rPr>
        <w:t xml:space="preserve">, </w:t>
      </w:r>
      <w:r w:rsidRPr="00930B2B">
        <w:rPr>
          <w:rFonts w:ascii="Times New Roman" w:hAnsi="Times New Roman" w:cs="Times New Roman"/>
          <w:i/>
          <w:iCs/>
          <w:szCs w:val="21"/>
        </w:rPr>
        <w:t>7</w:t>
      </w:r>
      <w:r w:rsidRPr="00930B2B">
        <w:rPr>
          <w:rFonts w:ascii="Times New Roman" w:hAnsi="Times New Roman" w:cs="Times New Roman"/>
          <w:szCs w:val="21"/>
        </w:rPr>
        <w:t>(3), 242–264.</w:t>
      </w:r>
    </w:p>
    <w:p w14:paraId="6C0B26FA" w14:textId="77777777" w:rsidR="00454618" w:rsidRDefault="00454618">
      <w:pPr>
        <w:rPr>
          <w:rFonts w:hint="eastAsia"/>
        </w:rPr>
      </w:pPr>
    </w:p>
    <w:sectPr w:rsidR="00454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8ECC4" w14:textId="77777777" w:rsidR="008F5A9E" w:rsidRDefault="008F5A9E" w:rsidP="00F02227">
      <w:pPr>
        <w:rPr>
          <w:rFonts w:hint="eastAsia"/>
        </w:rPr>
      </w:pPr>
      <w:r>
        <w:separator/>
      </w:r>
    </w:p>
  </w:endnote>
  <w:endnote w:type="continuationSeparator" w:id="0">
    <w:p w14:paraId="08964504" w14:textId="77777777" w:rsidR="008F5A9E" w:rsidRDefault="008F5A9E" w:rsidP="00F022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0EC86" w14:textId="77777777" w:rsidR="008F5A9E" w:rsidRDefault="008F5A9E" w:rsidP="00F02227">
      <w:pPr>
        <w:rPr>
          <w:rFonts w:hint="eastAsia"/>
        </w:rPr>
      </w:pPr>
      <w:r>
        <w:separator/>
      </w:r>
    </w:p>
  </w:footnote>
  <w:footnote w:type="continuationSeparator" w:id="0">
    <w:p w14:paraId="1923321A" w14:textId="77777777" w:rsidR="008F5A9E" w:rsidRDefault="008F5A9E" w:rsidP="00F022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15F"/>
    <w:rsid w:val="00372740"/>
    <w:rsid w:val="003F3E49"/>
    <w:rsid w:val="00454618"/>
    <w:rsid w:val="00726E41"/>
    <w:rsid w:val="008D15D3"/>
    <w:rsid w:val="008F5A9E"/>
    <w:rsid w:val="00C51508"/>
    <w:rsid w:val="00E3615F"/>
    <w:rsid w:val="00F0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F94F2"/>
  <w15:chartTrackingRefBased/>
  <w15:docId w15:val="{7C4D0FAC-DE10-45FD-80E5-FA8BCEEA1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2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2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022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02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022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涵羽 唐</dc:creator>
  <cp:keywords/>
  <dc:description/>
  <cp:lastModifiedBy>涵羽 唐</cp:lastModifiedBy>
  <cp:revision>2</cp:revision>
  <dcterms:created xsi:type="dcterms:W3CDTF">2024-12-13T02:10:00Z</dcterms:created>
  <dcterms:modified xsi:type="dcterms:W3CDTF">2024-12-13T02:12:00Z</dcterms:modified>
</cp:coreProperties>
</file>