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E77C1" w14:textId="37A326B0" w:rsidR="00817875" w:rsidRPr="00CA7D54" w:rsidRDefault="00CA7D54" w:rsidP="00CA7D5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en-GB"/>
        </w:rPr>
        <w:t>Supplemental File</w:t>
      </w:r>
      <w:r w:rsidR="00FC5845" w:rsidRPr="00622D60">
        <w:rPr>
          <w:rFonts w:ascii="Times New Roman" w:hAnsi="Times New Roman" w:cs="Times New Roman"/>
          <w:b/>
          <w:bCs/>
          <w:sz w:val="32"/>
          <w:szCs w:val="32"/>
          <w:u w:val="single"/>
          <w:lang w:val="en-GB"/>
        </w:rPr>
        <w:t xml:space="preserve"> 2</w:t>
      </w:r>
      <w:r w:rsidR="00386AA2">
        <w:rPr>
          <w:rFonts w:ascii="Times New Roman" w:hAnsi="Times New Roman" w:cs="Times New Roman"/>
          <w:b/>
          <w:bCs/>
          <w:sz w:val="32"/>
          <w:szCs w:val="32"/>
          <w:u w:val="single"/>
          <w:lang w:val="en-GB"/>
        </w:rPr>
        <w:t>: Methods</w:t>
      </w:r>
      <w:r w:rsidR="00FC5845">
        <w:rPr>
          <w:rFonts w:ascii="Times New Roman" w:hAnsi="Times New Roman" w:cs="Times New Roman"/>
          <w:b/>
          <w:bCs/>
          <w:lang w:val="en-GB"/>
        </w:rPr>
        <w:br/>
      </w:r>
    </w:p>
    <w:p w14:paraId="5BB16BE5" w14:textId="77777777" w:rsidR="001E6020" w:rsidRPr="00CA7D54" w:rsidRDefault="001E6020" w:rsidP="001E6020">
      <w:pPr>
        <w:rPr>
          <w:rFonts w:ascii="Calibri" w:hAnsi="Calibri" w:cs="Calibri"/>
          <w:b/>
          <w:bCs/>
          <w:lang w:val="en-GB"/>
        </w:rPr>
      </w:pPr>
      <w:r w:rsidRPr="00CA7D54">
        <w:rPr>
          <w:rFonts w:ascii="Calibri" w:hAnsi="Calibri" w:cs="Calibri"/>
          <w:b/>
          <w:bCs/>
          <w:lang w:val="en-GB"/>
        </w:rPr>
        <w:t>Patient selection</w:t>
      </w:r>
    </w:p>
    <w:p w14:paraId="40852348" w14:textId="71DDDD57" w:rsidR="001E6020" w:rsidRPr="00CA7D54" w:rsidRDefault="001E6020" w:rsidP="001E6020">
      <w:pPr>
        <w:rPr>
          <w:rFonts w:ascii="Calibri" w:hAnsi="Calibri" w:cs="Calibri"/>
          <w:lang w:val="en-GB"/>
        </w:rPr>
      </w:pPr>
      <w:r w:rsidRPr="00CA7D54">
        <w:rPr>
          <w:rFonts w:ascii="Calibri" w:hAnsi="Calibri" w:cs="Calibri"/>
          <w:lang w:val="en-GB"/>
        </w:rPr>
        <w:t>Clinical data were obtained from the medical records of the patient</w:t>
      </w:r>
      <w:r w:rsidR="00FC5845" w:rsidRPr="00CA7D54">
        <w:rPr>
          <w:rFonts w:ascii="Calibri" w:hAnsi="Calibri" w:cs="Calibri"/>
          <w:lang w:val="en-GB"/>
        </w:rPr>
        <w:t>s</w:t>
      </w:r>
      <w:r w:rsidRPr="00CA7D54">
        <w:rPr>
          <w:rFonts w:ascii="Calibri" w:hAnsi="Calibri" w:cs="Calibri"/>
          <w:lang w:val="en-GB"/>
        </w:rPr>
        <w:t>. All participants provided informed consent for the publication of their medical history.</w:t>
      </w:r>
    </w:p>
    <w:p w14:paraId="4EA75AFF" w14:textId="77777777" w:rsidR="001E6020" w:rsidRPr="00CA7D54" w:rsidRDefault="001E6020" w:rsidP="001E6020">
      <w:pPr>
        <w:rPr>
          <w:rFonts w:ascii="Calibri" w:hAnsi="Calibri" w:cs="Calibri"/>
          <w:b/>
          <w:bCs/>
          <w:lang w:val="en-GB"/>
        </w:rPr>
      </w:pPr>
      <w:r w:rsidRPr="00CA7D54">
        <w:rPr>
          <w:rFonts w:ascii="Calibri" w:hAnsi="Calibri" w:cs="Calibri"/>
          <w:b/>
          <w:bCs/>
          <w:lang w:val="en-GB"/>
        </w:rPr>
        <w:t>Genetic analysis</w:t>
      </w:r>
    </w:p>
    <w:p w14:paraId="055ABA50" w14:textId="77777777" w:rsidR="001E6020" w:rsidRPr="00CA7D54" w:rsidRDefault="001E6020" w:rsidP="001E6020">
      <w:pPr>
        <w:rPr>
          <w:rFonts w:ascii="Calibri" w:hAnsi="Calibri" w:cs="Calibri"/>
          <w:lang w:val="en-GB"/>
        </w:rPr>
      </w:pPr>
      <w:r w:rsidRPr="00CA7D54">
        <w:rPr>
          <w:rFonts w:ascii="Calibri" w:hAnsi="Calibri" w:cs="Calibri"/>
          <w:lang w:val="en-GB"/>
        </w:rPr>
        <w:t>Genetic analysis was performed at the laboratory of Clinical Genetics at the Maastricht UMC+, the Netherlands. Genomic DNA was extracted from leukocytes from EDTA blood samples and purified using standard DNA extraction methods.</w:t>
      </w:r>
    </w:p>
    <w:p w14:paraId="04AA4218" w14:textId="3E915F69" w:rsidR="001E6020" w:rsidRPr="00CA7D54" w:rsidRDefault="001E6020" w:rsidP="001E6020">
      <w:pPr>
        <w:rPr>
          <w:rFonts w:ascii="Calibri" w:hAnsi="Calibri" w:cs="Calibri"/>
          <w:lang w:val="en-GB"/>
        </w:rPr>
      </w:pPr>
      <w:r w:rsidRPr="00CA7D54">
        <w:rPr>
          <w:rFonts w:ascii="Calibri" w:hAnsi="Calibri" w:cs="Calibri"/>
          <w:lang w:val="en-GB"/>
        </w:rPr>
        <w:t xml:space="preserve">All coding exons and immediate flanking intron regions of COL4A3, COL4A4 and COL4A5 (NCBI </w:t>
      </w:r>
      <w:proofErr w:type="spellStart"/>
      <w:r w:rsidRPr="00CA7D54">
        <w:rPr>
          <w:rFonts w:ascii="Calibri" w:hAnsi="Calibri" w:cs="Calibri"/>
          <w:lang w:val="en-GB"/>
        </w:rPr>
        <w:t>RefSeq</w:t>
      </w:r>
      <w:proofErr w:type="spellEnd"/>
      <w:r w:rsidRPr="00CA7D54">
        <w:rPr>
          <w:rFonts w:ascii="Calibri" w:hAnsi="Calibri" w:cs="Calibri"/>
          <w:lang w:val="en-GB"/>
        </w:rPr>
        <w:t xml:space="preserve"> COL4A3 NM_000091.4, COL4A4 NM_000092.4, COL4A5 NM_033380.2) were </w:t>
      </w:r>
      <w:proofErr w:type="spellStart"/>
      <w:r w:rsidRPr="00CA7D54">
        <w:rPr>
          <w:rFonts w:ascii="Calibri" w:hAnsi="Calibri" w:cs="Calibri"/>
          <w:lang w:val="en-GB"/>
        </w:rPr>
        <w:t>analyzed</w:t>
      </w:r>
      <w:proofErr w:type="spellEnd"/>
      <w:r w:rsidRPr="00CA7D54">
        <w:rPr>
          <w:rFonts w:ascii="Calibri" w:hAnsi="Calibri" w:cs="Calibri"/>
          <w:lang w:val="en-GB"/>
        </w:rPr>
        <w:t xml:space="preserve"> using NGS and single-molecule Molecular Inversion Probes (smMIP)</w:t>
      </w:r>
      <w:r w:rsidR="000951DC" w:rsidRPr="00CA7D54">
        <w:rPr>
          <w:rFonts w:ascii="Calibri" w:hAnsi="Calibri" w:cs="Calibri"/>
          <w:lang w:val="en-GB"/>
        </w:rPr>
        <w:t xml:space="preserve"> for SNV and CNV detection</w:t>
      </w:r>
      <w:r w:rsidRPr="00CA7D54">
        <w:rPr>
          <w:rFonts w:ascii="Calibri" w:hAnsi="Calibri" w:cs="Calibri"/>
          <w:lang w:val="en-GB"/>
        </w:rPr>
        <w:t xml:space="preserve">. </w:t>
      </w:r>
    </w:p>
    <w:p w14:paraId="12B63A95" w14:textId="3888F58B" w:rsidR="001E6020" w:rsidRPr="00CA7D54" w:rsidRDefault="000951DC" w:rsidP="001E6020">
      <w:pPr>
        <w:rPr>
          <w:rFonts w:ascii="Calibri" w:hAnsi="Calibri" w:cs="Calibri"/>
          <w:lang w:val="en-GB"/>
        </w:rPr>
      </w:pPr>
      <w:r w:rsidRPr="00CA7D54">
        <w:rPr>
          <w:rFonts w:ascii="Calibri" w:hAnsi="Calibri" w:cs="Calibri"/>
          <w:lang w:val="en-GB"/>
        </w:rPr>
        <w:t>Exon duplication or deletion (CNV) are validated using</w:t>
      </w:r>
      <w:r w:rsidRPr="00CA7D54" w:rsidDel="000951DC">
        <w:rPr>
          <w:rFonts w:ascii="Calibri" w:hAnsi="Calibri" w:cs="Calibri"/>
          <w:lang w:val="en-GB"/>
        </w:rPr>
        <w:t xml:space="preserve"> </w:t>
      </w:r>
      <w:r w:rsidR="001E6020" w:rsidRPr="00CA7D54">
        <w:rPr>
          <w:rFonts w:ascii="Calibri" w:hAnsi="Calibri" w:cs="Calibri"/>
          <w:lang w:val="en-GB"/>
        </w:rPr>
        <w:t xml:space="preserve">MLPA (MLPA kits: COL4A5: P191-B3 and P192-B3; COL4A3: P439-B1; COL4A4: P444-A1; MRC-Holland, Amsterdam, The Netherlands). </w:t>
      </w:r>
    </w:p>
    <w:p w14:paraId="73F231E1" w14:textId="77777777" w:rsidR="001E6020" w:rsidRPr="00CA7D54" w:rsidRDefault="001E6020" w:rsidP="001E6020">
      <w:pPr>
        <w:rPr>
          <w:rFonts w:ascii="Calibri" w:hAnsi="Calibri" w:cs="Calibri"/>
          <w:b/>
          <w:bCs/>
          <w:lang w:val="en-GB"/>
        </w:rPr>
      </w:pPr>
      <w:r w:rsidRPr="00CA7D54">
        <w:rPr>
          <w:rFonts w:ascii="Calibri" w:hAnsi="Calibri" w:cs="Calibri"/>
          <w:b/>
          <w:bCs/>
          <w:lang w:val="en-GB"/>
        </w:rPr>
        <w:t>Variant interpretation</w:t>
      </w:r>
    </w:p>
    <w:p w14:paraId="0FF8CCE5" w14:textId="67EE464B" w:rsidR="00931B3F" w:rsidRPr="00CA7D54" w:rsidRDefault="001E6020" w:rsidP="001E6020">
      <w:pPr>
        <w:rPr>
          <w:rFonts w:ascii="Calibri" w:hAnsi="Calibri" w:cs="Calibri"/>
          <w:lang w:val="en-GB"/>
        </w:rPr>
      </w:pPr>
      <w:r w:rsidRPr="00CA7D54">
        <w:rPr>
          <w:rFonts w:ascii="Calibri" w:hAnsi="Calibri" w:cs="Calibri"/>
          <w:lang w:val="en-GB"/>
        </w:rPr>
        <w:t>The pathogenicity of detected DNA variants was assessed using the American College of Medical Genetics and Genomics (ACMG 2015) guidelines for clinical sequence interpretation</w:t>
      </w:r>
      <w:r w:rsidR="00817875" w:rsidRPr="00CA7D54">
        <w:rPr>
          <w:rFonts w:ascii="Calibri" w:hAnsi="Calibri" w:cs="Calibri"/>
          <w:lang w:val="en-GB"/>
        </w:rPr>
        <w:t xml:space="preserve"> </w:t>
      </w:r>
      <w:r w:rsidR="00931B3F" w:rsidRPr="00CA7D54">
        <w:rPr>
          <w:rFonts w:ascii="Calibri" w:hAnsi="Calibri" w:cs="Calibri"/>
          <w:lang w:val="en-GB"/>
        </w:rPr>
        <w:fldChar w:fldCharType="begin"/>
      </w:r>
      <w:r w:rsidR="007A621F">
        <w:rPr>
          <w:rFonts w:ascii="Calibri" w:hAnsi="Calibri" w:cs="Calibri"/>
          <w:lang w:val="en-GB"/>
        </w:rPr>
        <w:instrText xml:space="preserve"> ADDIN EN.CITE &lt;EndNote&gt;&lt;Cite&gt;&lt;Author&gt;Richards&lt;/Author&gt;&lt;Year&gt;2015&lt;/Year&gt;&lt;RecNum&gt;113&lt;/RecNum&gt;&lt;DisplayText&gt;[1]&lt;/DisplayText&gt;&lt;record&gt;&lt;rec-number&gt;113&lt;/rec-number&gt;&lt;foreign-keys&gt;&lt;key app="EN" db-id="zpztf92prfd0w7e05sfv5r2ovxf0zvxsx9dw" timestamp="1649935138"&gt;113&lt;/key&gt;&lt;/foreign-keys&gt;&lt;ref-type name="Journal Article"&gt;17&lt;/ref-type&gt;&lt;contributors&gt;&lt;authors&gt;&lt;author&gt;Richards, Sue&lt;/author&gt;&lt;author&gt;Aziz, Nazneen&lt;/author&gt;&lt;author&gt;Bale, Sherri&lt;/author&gt;&lt;author&gt;Bick, David&lt;/author&gt;&lt;author&gt;Das, Soma&lt;/author&gt;&lt;author&gt;Gastier-Foster, Julie&lt;/author&gt;&lt;author&gt;Grody, Wayne W.&lt;/author&gt;&lt;author&gt;Hegde, Madhuri&lt;/author&gt;&lt;author&gt;Lyon, Elaine&lt;/author&gt;&lt;author&gt;Spector, Elaine&lt;/author&gt;&lt;author&gt;Voelkerding, Karl&lt;/author&gt;&lt;author&gt;Rehm, Heidi L.&lt;/author&gt;&lt;/authors&gt;&lt;/contributors&gt;&lt;titles&gt;&lt;title&gt;Standards and guidelines for the interpretation of sequence variants: a joint consensus recommendation of the American College of Medical Genetics and Genomics and the Association for Molecular Pathology&lt;/title&gt;&lt;secondary-title&gt;Genetics in Medicine&lt;/secondary-title&gt;&lt;/titles&gt;&lt;pages&gt;405-424&lt;/pages&gt;&lt;volume&gt;17&lt;/volume&gt;&lt;number&gt;5&lt;/number&gt;&lt;keywords&gt;&lt;keyword&gt;ACMG laboratory guideline&lt;/keyword&gt;&lt;keyword&gt;clinical genetic testing&lt;/keyword&gt;&lt;keyword&gt;interpretation&lt;/keyword&gt;&lt;keyword&gt;reporting&lt;/keyword&gt;&lt;keyword&gt;sequence&lt;/keyword&gt;&lt;keyword&gt;variant terminology&lt;/keyword&gt;&lt;keyword&gt;variant reporting&lt;/keyword&gt;&lt;/keywords&gt;&lt;dates&gt;&lt;year&gt;2015&lt;/year&gt;&lt;pub-dates&gt;&lt;date&gt;2015/05/01/&lt;/date&gt;&lt;/pub-dates&gt;&lt;/dates&gt;&lt;isbn&gt;1098-3600&lt;/isbn&gt;&lt;urls&gt;&lt;related-urls&gt;&lt;url&gt;https://www.sciencedirect.com/science/article/pii/S1098360021030318&lt;/url&gt;&lt;/related-urls&gt;&lt;/urls&gt;&lt;electronic-resource-num&gt;https://doi.org/10.1038/gim.2015.30&lt;/electronic-resource-num&gt;&lt;/record&gt;&lt;/Cite&gt;&lt;/EndNote&gt;</w:instrText>
      </w:r>
      <w:r w:rsidR="00931B3F" w:rsidRPr="00CA7D54">
        <w:rPr>
          <w:rFonts w:ascii="Calibri" w:hAnsi="Calibri" w:cs="Calibri"/>
          <w:lang w:val="en-GB"/>
        </w:rPr>
        <w:fldChar w:fldCharType="separate"/>
      </w:r>
      <w:r w:rsidR="007A621F">
        <w:rPr>
          <w:rFonts w:ascii="Calibri" w:hAnsi="Calibri" w:cs="Calibri"/>
          <w:noProof/>
          <w:lang w:val="en-GB"/>
        </w:rPr>
        <w:t>[1]</w:t>
      </w:r>
      <w:r w:rsidR="00931B3F" w:rsidRPr="00CA7D54">
        <w:rPr>
          <w:rFonts w:ascii="Calibri" w:hAnsi="Calibri" w:cs="Calibri"/>
          <w:lang w:val="en-GB"/>
        </w:rPr>
        <w:fldChar w:fldCharType="end"/>
      </w:r>
      <w:r w:rsidR="00817875" w:rsidRPr="00CA7D54">
        <w:rPr>
          <w:rFonts w:ascii="Calibri" w:hAnsi="Calibri" w:cs="Calibri"/>
          <w:lang w:val="en-GB"/>
        </w:rPr>
        <w:t xml:space="preserve">. </w:t>
      </w:r>
      <w:r w:rsidRPr="00CA7D54">
        <w:rPr>
          <w:rFonts w:ascii="Calibri" w:hAnsi="Calibri" w:cs="Calibri"/>
          <w:lang w:val="en-GB"/>
        </w:rPr>
        <w:t>To determine whether a mutation has been reported before we used our Alport population as a reference (&gt;480 patients) and consulted several online databases: Human Gene Mutation Database (HGMD</w:t>
      </w:r>
      <w:r w:rsidR="00050860" w:rsidRPr="00CA7D54">
        <w:rPr>
          <w:rFonts w:ascii="Calibri" w:hAnsi="Calibri" w:cs="Calibri"/>
          <w:lang w:val="en-GB"/>
        </w:rPr>
        <w:t xml:space="preserve"> Professional 2022.1</w:t>
      </w:r>
      <w:r w:rsidRPr="00CA7D54">
        <w:rPr>
          <w:rFonts w:ascii="Calibri" w:hAnsi="Calibri" w:cs="Calibri"/>
          <w:lang w:val="en-GB"/>
        </w:rPr>
        <w:t>), Leiden Open Variant Database (LOVD</w:t>
      </w:r>
      <w:r w:rsidR="00050860" w:rsidRPr="00CA7D54">
        <w:rPr>
          <w:rFonts w:ascii="Calibri" w:hAnsi="Calibri" w:cs="Calibri"/>
          <w:lang w:val="en-GB"/>
        </w:rPr>
        <w:t xml:space="preserve"> v.3.0</w:t>
      </w:r>
      <w:r w:rsidRPr="00CA7D54">
        <w:rPr>
          <w:rFonts w:ascii="Calibri" w:hAnsi="Calibri" w:cs="Calibri"/>
          <w:lang w:val="en-GB"/>
        </w:rPr>
        <w:t xml:space="preserve">) and </w:t>
      </w:r>
      <w:proofErr w:type="spellStart"/>
      <w:r w:rsidRPr="00CA7D54">
        <w:rPr>
          <w:rFonts w:ascii="Calibri" w:hAnsi="Calibri" w:cs="Calibri"/>
          <w:lang w:val="en-GB"/>
        </w:rPr>
        <w:t>ClinVar</w:t>
      </w:r>
      <w:proofErr w:type="spellEnd"/>
      <w:r w:rsidRPr="00CA7D54">
        <w:rPr>
          <w:rFonts w:ascii="Calibri" w:hAnsi="Calibri" w:cs="Calibri"/>
          <w:lang w:val="en-GB"/>
        </w:rPr>
        <w:t xml:space="preserve"> database.</w:t>
      </w:r>
    </w:p>
    <w:p w14:paraId="62B8B270" w14:textId="7F08E716" w:rsidR="00931B3F" w:rsidRDefault="00931B3F" w:rsidP="001E6020">
      <w:pPr>
        <w:rPr>
          <w:rFonts w:ascii="Times New Roman" w:hAnsi="Times New Roman" w:cs="Times New Roman"/>
          <w:lang w:val="en-GB"/>
        </w:rPr>
      </w:pPr>
    </w:p>
    <w:p w14:paraId="13964030" w14:textId="06293B65" w:rsidR="00931B3F" w:rsidRPr="00936D9F" w:rsidRDefault="00931B3F" w:rsidP="001E6020">
      <w:pPr>
        <w:rPr>
          <w:rFonts w:ascii="Calibri" w:hAnsi="Calibri" w:cs="Calibri"/>
          <w:lang w:val="en-GB"/>
        </w:rPr>
      </w:pPr>
    </w:p>
    <w:p w14:paraId="76D84FE1" w14:textId="76BED430" w:rsidR="00931B3F" w:rsidRPr="00936D9F" w:rsidRDefault="00931B3F" w:rsidP="001E6020">
      <w:pPr>
        <w:rPr>
          <w:rFonts w:ascii="Calibri" w:hAnsi="Calibri" w:cs="Calibri"/>
          <w:b/>
          <w:bCs/>
          <w:lang w:val="en-GB"/>
        </w:rPr>
      </w:pPr>
      <w:r w:rsidRPr="00936D9F">
        <w:rPr>
          <w:rFonts w:ascii="Calibri" w:hAnsi="Calibri" w:cs="Calibri"/>
          <w:b/>
          <w:bCs/>
          <w:lang w:val="en-GB"/>
        </w:rPr>
        <w:t>Reference:</w:t>
      </w:r>
    </w:p>
    <w:p w14:paraId="200C0B85" w14:textId="77777777" w:rsidR="007A621F" w:rsidRPr="007A621F" w:rsidRDefault="00931B3F" w:rsidP="007A621F">
      <w:pPr>
        <w:pStyle w:val="EndNoteBibliography"/>
      </w:pPr>
      <w:r>
        <w:rPr>
          <w:rFonts w:ascii="Times New Roman" w:hAnsi="Times New Roman" w:cs="Times New Roman"/>
          <w:lang w:val="en-GB"/>
        </w:rPr>
        <w:fldChar w:fldCharType="begin"/>
      </w:r>
      <w:r>
        <w:rPr>
          <w:rFonts w:ascii="Times New Roman" w:hAnsi="Times New Roman" w:cs="Times New Roman"/>
          <w:lang w:val="en-GB"/>
        </w:rPr>
        <w:instrText xml:space="preserve"> ADDIN EN.REFLIST </w:instrText>
      </w:r>
      <w:r>
        <w:rPr>
          <w:rFonts w:ascii="Times New Roman" w:hAnsi="Times New Roman" w:cs="Times New Roman"/>
          <w:lang w:val="en-GB"/>
        </w:rPr>
        <w:fldChar w:fldCharType="separate"/>
      </w:r>
      <w:r w:rsidR="007A621F" w:rsidRPr="007A621F">
        <w:t>1.</w:t>
      </w:r>
      <w:r w:rsidR="007A621F" w:rsidRPr="007A621F">
        <w:tab/>
        <w:t>Richards S, Aziz N, Bale S, Bick D, Das S, Gastier-Foster J, et al. Standards and guidelines for the interpretation of sequence variants: a joint consensus recommendation of the American College of Medical Genetics and Genomics and the Association for Molecular Pathology. Genetics in Medicine. 2015;17(5):405-24.</w:t>
      </w:r>
    </w:p>
    <w:p w14:paraId="200772AE" w14:textId="355885A6" w:rsidR="000951DC" w:rsidRPr="001E6020" w:rsidRDefault="00931B3F" w:rsidP="001E6020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fldChar w:fldCharType="end"/>
      </w:r>
    </w:p>
    <w:sectPr w:rsidR="000951DC" w:rsidRPr="001E60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 Bracket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pztf92prfd0w7e05sfv5r2ovxf0zvxsx9dw&quot;&gt;Literatuur Dipti PhD-Converted&lt;record-ids&gt;&lt;item&gt;113&lt;/item&gt;&lt;/record-ids&gt;&lt;/item&gt;&lt;/Libraries&gt;"/>
  </w:docVars>
  <w:rsids>
    <w:rsidRoot w:val="001E6020"/>
    <w:rsid w:val="00050860"/>
    <w:rsid w:val="00087011"/>
    <w:rsid w:val="000951DC"/>
    <w:rsid w:val="000C35B8"/>
    <w:rsid w:val="001128A6"/>
    <w:rsid w:val="001E6020"/>
    <w:rsid w:val="00307667"/>
    <w:rsid w:val="00386AA2"/>
    <w:rsid w:val="003D75DB"/>
    <w:rsid w:val="00622D60"/>
    <w:rsid w:val="007A0034"/>
    <w:rsid w:val="007A621F"/>
    <w:rsid w:val="007F535E"/>
    <w:rsid w:val="00817875"/>
    <w:rsid w:val="00880D42"/>
    <w:rsid w:val="00931B3F"/>
    <w:rsid w:val="00936D9F"/>
    <w:rsid w:val="00C15D1B"/>
    <w:rsid w:val="00CA7D54"/>
    <w:rsid w:val="00D63DCA"/>
    <w:rsid w:val="00F4432A"/>
    <w:rsid w:val="00FC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9D86"/>
  <w15:chartTrackingRefBased/>
  <w15:docId w15:val="{008C4F44-ACA8-4613-9689-8232C8D2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FC584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C584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C584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C584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C584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95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51DC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Standaard"/>
    <w:link w:val="EndNoteBibliographyTitleChar"/>
    <w:rsid w:val="00931B3F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Standaardalinea-lettertype"/>
    <w:link w:val="EndNoteBibliographyTitle"/>
    <w:rsid w:val="00931B3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ard"/>
    <w:link w:val="EndNoteBibliographyChar"/>
    <w:rsid w:val="00931B3F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Standaardalinea-lettertype"/>
    <w:link w:val="EndNoteBibliography"/>
    <w:rsid w:val="00931B3F"/>
    <w:rPr>
      <w:rFonts w:ascii="Calibri" w:hAnsi="Calibri" w:cs="Calibri"/>
      <w:noProof/>
      <w:lang w:val="en-US"/>
    </w:rPr>
  </w:style>
  <w:style w:type="character" w:styleId="Hyperlink">
    <w:name w:val="Hyperlink"/>
    <w:basedOn w:val="Standaardalinea-lettertype"/>
    <w:uiPriority w:val="99"/>
    <w:unhideWhenUsed/>
    <w:rsid w:val="00931B3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31B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527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Dipti</dc:creator>
  <cp:keywords/>
  <dc:description/>
  <cp:lastModifiedBy>Rao, Dipti</cp:lastModifiedBy>
  <cp:revision>10</cp:revision>
  <dcterms:created xsi:type="dcterms:W3CDTF">2022-11-23T12:37:00Z</dcterms:created>
  <dcterms:modified xsi:type="dcterms:W3CDTF">2023-01-20T17:03:00Z</dcterms:modified>
</cp:coreProperties>
</file>