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23424" w14:textId="77777777" w:rsidR="00B50234" w:rsidRDefault="00B50234" w:rsidP="00B50234">
      <w:pPr>
        <w:pStyle w:val="Heading1"/>
      </w:pPr>
      <w:r>
        <w:t>Supplementary materials</w:t>
      </w:r>
    </w:p>
    <w:p w14:paraId="0337276B" w14:textId="128787AB" w:rsidR="00B50234" w:rsidRPr="00FD5430" w:rsidRDefault="00B50234" w:rsidP="00B50234">
      <w:pPr>
        <w:pStyle w:val="Heading2"/>
      </w:pPr>
      <w:r w:rsidRPr="00FD5430">
        <w:t>Hg as a proxy for volcanism</w:t>
      </w:r>
    </w:p>
    <w:p w14:paraId="75EFDB48" w14:textId="3E4CE732" w:rsidR="00B50234" w:rsidRPr="00FD5430" w:rsidRDefault="00B50234" w:rsidP="00B50234">
      <w:r w:rsidRPr="00FD5430">
        <w:t>To account for the relationship between organic carbon and Hg (Supplementary Figure 1), both raw Hg concentrations and Hg normalised to TOC are presented. Oxidation of organic matter can lead to relative increased concentrations of Hg</w:t>
      </w:r>
      <w:r w:rsidRPr="00FD5430">
        <w:rPr>
          <w:noProof/>
          <w:vertAlign w:val="superscript"/>
        </w:rPr>
        <w:t xml:space="preserve"> </w:t>
      </w:r>
      <w:r w:rsidRPr="00FD5430">
        <w:rPr>
          <w:noProof/>
        </w:rPr>
        <w:t>and could provide a false indication of episodes of enhanced volcanic activity</w:t>
      </w:r>
      <w:r w:rsidRPr="00FD5430">
        <w:fldChar w:fldCharType="begin" w:fldLock="1"/>
      </w:r>
      <w:r w:rsidR="00996343">
        <w:instrText>ADDIN CSL_CITATION {"citationItems":[{"id":"ITEM-1","itemData":{"DOI":"10.1016/J.GCA.2023.04.015","ISSN":"0016-7037","abstract":"Volcanism is a dominant natural source of mercury (Hg) to the atmosphere, biosphere, ocean and sediments. In recent years, sedimentary Hg contents have emerged as a tool to reconstruct volcanic activity, and particularly activity of (subaerially emplaced) large igneous provinces in geological deep time. More specifically, Hg has shown potential as a useful proxy to illuminate the previously elusive impact of such large-scale volcanism on marine and terrestrial paleo-environments. While Hg is now widely applied as volcanism tracer, non-volcanic factors controlling sedimentary Hg content are generally not well constrained. Part of this uncertainty stems from our inability to directly observe a natural unperturbed “steady-state” environment as a baseline, as the modern Hg cycle is heavily influenced by anthropogenic activity. Here we focus on the effects of ambient redox conditions in the water column and shallow sediments (early diagenesis), quantify their influence on the geological Hg record and thereby contribute to constraining their potential impact on the use of Hg as a proxy for deep-time volcanic activity. Constraining these factors is of critical importance for the application of Hg as such a proxy. Many periods in the geological past for which records have been generated, such as the Mesozoic Oceanic Anoxic Events, are marked by a variety of high-amplitude environmental perturbations, including widespread deoxygenation and deposition of organic-rich sediments. We estimate the impact of redox changes and early diagenesis on the geological Hg record using a suite of (sub)recent–Pleistocene and Upper Cretaceous sediments representing oxic to euxinic marine conditions. Our sample set includes a transect through an oxygen minimum zone and cores that record transient shifts in oxygenation state, as well as post-depositional effects – all unrelated to volcanism, to the best of our knowledge. We find substantial alterations to the Hg record and the total organic carbon and total sulfur content, which are typically assumed to be the most common carrier phases of Hg in marine sediments. Moreover, these biases can lead to signal alteration on a par with those interpreted to result from volcanic activity. Geochemical modifications are ubiquitous and their potential magnitude implies that the factors leading to biases in the geological record warrant careful consideration before interpretation. Factors of particular concern to proxy application are (1) the d…","author":[{"dropping-particle":"","family":"Frieling","given":"Joost","non-dropping-particle":"","parse-names":false,"suffix":""},{"dropping-particle":"","family":"Mather","given":"Tamsin A.","non-dropping-particle":"","parse-names":false,"suffix":""},{"dropping-particle":"","family":"März","given":"Christian","non-dropping-particle":"","parse-names":false,"suffix":""},{"dropping-particle":"","family":"Jenkyns","given":"Hugh","non-dropping-particle":"","parse-names":false,"suffix":""},{"dropping-particle":"","family":"Hennekam","given":"Rick","non-dropping-particle":"","parse-names":false,"suffix":""},{"dropping-particle":"","family":"Reichart","given":"Gert-Jan","non-dropping-particle":"","parse-names":false,"suffix":""},{"dropping-particle":"","family":"Slomp","given":"Caroline","non-dropping-particle":"","parse-names":false,"suffix":""},{"dropping-particle":"","family":"Helmond","given":"Niels","non-dropping-particle":"Van","parse-names":false,"suffix":""}],"container-title":"Geochimica et Cosmochimica Acta","id":"ITEM-1","issued":{"date-parts":[["2023","6","15"]]},"page":"78-95","publisher":"Pergamon","title":"Effects of redox variability and early diagenesis on marine sedimentary Hg records","type":"article-journal","volume":"351"},"uris":["http://www.mendeley.com/documents/?uuid=b7955b3a-e8e7-3038-8c03-87438160450e"]}],"mendeley":{"formattedCitation":"&lt;sup&gt;1&lt;/sup&gt;","plainTextFormattedCitation":"1","previouslyFormattedCitation":"&lt;sup&gt;1&lt;/sup&gt;"},"properties":{"noteIndex":0},"schema":"https://github.com/citation-style-language/schema/raw/master/csl-citation.json"}</w:instrText>
      </w:r>
      <w:r w:rsidRPr="00FD5430">
        <w:fldChar w:fldCharType="separate"/>
      </w:r>
      <w:r w:rsidRPr="00B50234">
        <w:rPr>
          <w:noProof/>
          <w:vertAlign w:val="superscript"/>
        </w:rPr>
        <w:t>1</w:t>
      </w:r>
      <w:r w:rsidRPr="00FD5430">
        <w:fldChar w:fldCharType="end"/>
      </w:r>
      <w:r w:rsidRPr="00FD5430">
        <w:rPr>
          <w:noProof/>
        </w:rPr>
        <w:t>.</w:t>
      </w:r>
      <w:r w:rsidRPr="00FD5430">
        <w:t xml:space="preserve"> At Sites U1513 and U1516, we found no evidence of TOC oxidation in sediments below the </w:t>
      </w:r>
      <w:r>
        <w:t>low carbonate</w:t>
      </w:r>
      <w:r w:rsidRPr="00FD5430">
        <w:t xml:space="preserve"> horizon, with TOC values (0.3–1 %) typical of marine settings, and the preservation of exceptionally high TOC intervals in the lowermost interval of the </w:t>
      </w:r>
      <w:r>
        <w:t>low carbonate</w:t>
      </w:r>
      <w:r w:rsidRPr="00FD5430">
        <w:t xml:space="preserve"> horizons (Fig. 2). There is potential for organic carbon oxidation above the black shales in the earliest Turonian, which is characterised by very low TOC levels ~0.15%, and we have therefore not measured Hg in this interval. </w:t>
      </w:r>
    </w:p>
    <w:p w14:paraId="0DBC47D5" w14:textId="77777777" w:rsidR="00B50234" w:rsidRPr="00FD5430" w:rsidRDefault="00B50234" w:rsidP="00B50234"/>
    <w:p w14:paraId="0B1C655D" w14:textId="353B8F52" w:rsidR="00B50234" w:rsidRPr="00FD5430" w:rsidRDefault="00B50234" w:rsidP="00B50234">
      <w:r w:rsidRPr="00FD5430">
        <w:t>Euxinic conditions can result in the overprinting of Hg concentrations by comparatively better organic matter preservation and higher TOC values</w:t>
      </w:r>
      <w:r w:rsidRPr="00FD5430">
        <w:fldChar w:fldCharType="begin" w:fldLock="1"/>
      </w:r>
      <w:r w:rsidR="00CD7C67">
        <w:instrText xml:space="preserve">ADDIN CSL_CITATION {"citationItems":[{"id":"ITEM-1","itemData":{"DOI":"10.2475/08.2018.01","abstract":"Mercury (Hg) is increasingly being used as a sedimentary tracer of Large Igneous Province (LIP) volcanism, and supports hypotheses of a coincidence between the formation of several LIPs and episodes of mass extinction and major environmental perturbation. However, numerous important questions remain to be answered before Hg can be claimed as an unequivocal fingerprint of LIP volcanism, as well as an understanding of why some sedimentary records document clear Hg enrichment signals whilst others do not. Of particular importance is evaluating the impact of different volcanic styles on the global mercury cycle, as well as the role played by depositional processes in recording global Hg-cycle perturbations. Here, new mercury records of Cretaceous Oceanic Anoxic Event 2 (OAE 2: </w:instrText>
      </w:r>
      <w:r w:rsidR="00CD7C67">
        <w:rPr>
          <w:rFonts w:ascii="Cambria Math" w:hAnsi="Cambria Math" w:cs="Cambria Math"/>
        </w:rPr>
        <w:instrText>∼</w:instrText>
      </w:r>
      <w:r w:rsidR="00CD7C67">
        <w:instrText>94 Ma) and the latest Cretaceous (</w:instrText>
      </w:r>
      <w:r w:rsidR="00CD7C67">
        <w:rPr>
          <w:rFonts w:ascii="Cambria Math" w:hAnsi="Cambria Math" w:cs="Cambria Math"/>
        </w:rPr>
        <w:instrText>∼</w:instrText>
      </w:r>
      <w:r w:rsidR="00CD7C67">
        <w:instrText>67–66.0 Ma) are presented. OAE 2 is associated with the emplacement of multiple, predominantly submarine, LIPs; the latest Cretaceous with subaerial volcanism of the Deccan Traps. Both of these connections are strongly supported by previously published trends towards unradiogenic osmium- (Os) isotope values in globally distributed sedimentary records. Hg data from both events show considerable variation between different locations, attributed to the effectiveness of different sediment types in registering the Hg signal, with lithologically homogeneous records documenting more clear Hg enrichments than sections with major changes in lithology such as limestones to claystones or organic-rich shales. Crucially, there is no geographically consistent signal of sedimentary Hg enrichment in stratigraphic records of either OAE 2 or the latest Cretaceous that matches Os-isotope evidence for LIP emplacement, indicating that volcanism did not cause a global Hg perturbation throughout the entire eruptive history of the LIPs formed at those times. It is suggested that the discrepancy between Os-isotope and Hg trends in records of OAE 2 is caused by the limited dispersal range of Hg emitted from submarine volcanoes compared to the global-scale distribution of Os. A similar lack of correlation between these two proxies in uppermost Cretaceous strata indicates that, although subaerial volcanism can perturb the global Hg cycle, not all subaerial eruptions will do so. These results highlight the variable impact of different volcanogenic processes on the efficiency of Hg dispersal across the globe. Factors that could influence the impact of LIP eruptions on the global…","author":[{"dropping-particle":"","family":"Percival","given":"Lawrence M E","non-dropping-particle":"","parse-names":false,"suffix":""},{"dropping-particle":"","family":"Jenkyns","given":"Hugh C","non-dropping-particle":"","parse-names":false,"suffix":""},{"dropping-particle":"","family":"Mather","given":"Tamsin A","non-dropping-particle":"","parse-names":false,"suffix":""},{"dropping-particle":"","family":"Dickson","given":"Alexander J","non-dropping-particle":"","parse-names":false,"suffix":""},{"dropping-particle":"","family":"Batenburg","given":"Sietske J","non-dropping-particle":"","parse-names":false,"suffix":""},{"dropping-particle":"","family":"Ruhl","given":"Micha","non-dropping-particle":"","parse-names":false,"suffix":""},{"dropping-particle":"","family":"Hesselbo","given":"Stephen P","non-dropping-particle":"","parse-names":false,"suffix":""},{"dropping-particle":"","family":"Barclay","given":"Richard","non-dropping-particle":"","parse-names":false,"suffix":""},{"dropping-particle":"","family":"Jarvis","given":"Ian","non-dropping-particle":"","parse-names":false,"suffix":""},{"dropping-particle":"","family":"Robinson","given":"Stuart A","non-dropping-particle":"","parse-names":false,"suffix":""},{"dropping-particle":"","family":"Woelders","given":"Lineke","non-dropping-particle":"","parse-names":false,"suffix":""}],"container-title":"American Journal of Science","id":"ITEM-1","issue":"8","issued":{"date-parts":[["2018","10","1"]]},"page":"799 - 860","title":"Does large igneous province volcanism always perturb the mercury cycle? Comparing the records of Oceanic Anoxic Event 2 and the end-Cretaceous to other Mesozoic events","type":"article-journal","volume":"318"},"uris":["http://www.mendeley.com/documents/?uuid=19edda85-9e2e-4c50-b53a-dc77afac0e98"]}],"mendeley":{"formattedCitation":"&lt;sup&gt;2&lt;/sup&gt;","plainTextFormattedCitation":"2","previouslyFormattedCitation":"&lt;sup&gt;2&lt;/sup&gt;"},"properties":{"noteIndex":0},"schema":"https://github.com/citation-style-language/schema/raw/master/csl-citation.json"}</w:instrText>
      </w:r>
      <w:r w:rsidRPr="00FD5430">
        <w:fldChar w:fldCharType="separate"/>
      </w:r>
      <w:r w:rsidRPr="00B50234">
        <w:rPr>
          <w:noProof/>
          <w:vertAlign w:val="superscript"/>
        </w:rPr>
        <w:t>2</w:t>
      </w:r>
      <w:r w:rsidRPr="00FD5430">
        <w:fldChar w:fldCharType="end"/>
      </w:r>
      <w:r w:rsidRPr="00FD5430">
        <w:t xml:space="preserve">. A lack of photic zone </w:t>
      </w:r>
      <w:proofErr w:type="spellStart"/>
      <w:r w:rsidRPr="00FD5430">
        <w:t>euxinia</w:t>
      </w:r>
      <w:proofErr w:type="spellEnd"/>
      <w:r w:rsidRPr="00FD5430">
        <w:t xml:space="preserve"> is evidenced by the absence of </w:t>
      </w:r>
      <w:proofErr w:type="spellStart"/>
      <w:r w:rsidRPr="00FD5430">
        <w:t>isorenieratene</w:t>
      </w:r>
      <w:proofErr w:type="spellEnd"/>
      <w:r w:rsidRPr="00FD5430">
        <w:t xml:space="preserve"> (Supplementary Fig. 4) and benthic foraminifera assemblages do not suggest anoxic bottom waters below the </w:t>
      </w:r>
      <w:r>
        <w:t>low carbonate</w:t>
      </w:r>
      <w:r w:rsidRPr="00FD5430">
        <w:t xml:space="preserve"> horizon at Site U1516, with the presence of numerous epifaunal taxa (Fig. 6). Anoxic or </w:t>
      </w:r>
      <w:proofErr w:type="spellStart"/>
      <w:r w:rsidRPr="00FD5430">
        <w:t>dysoxic</w:t>
      </w:r>
      <w:proofErr w:type="spellEnd"/>
      <w:r w:rsidRPr="00FD5430">
        <w:t xml:space="preserve"> conditions are also suggested to result in reduced Hg preservation potential, rendering our Hg measurements across supposed anoxic periods (i.e. over the TOC spikes in the black shales) as minimum values. This increases our certainty that our data genuinely reflect an increase in environmental Hg concentrations, rather than reflecting post-depositional alteration. There is also no evidence of buried redox fronts from turbidity currents, also shown to produce peaks in Hg, due to a consistent grain size and lack of turbiditic sedimentary features</w:t>
      </w:r>
      <w:r w:rsidRPr="00FD5430">
        <w:fldChar w:fldCharType="begin" w:fldLock="1"/>
      </w:r>
      <w:r w:rsidR="005E4CCD">
        <w:instrText>ADDIN CSL_CITATION {"citationItems":[{"id":"ITEM-1","itemData":{"DOI":"10.14379/iodp.proc.369.2019","abstract":"Australia Cretaceous Climate and Tectonics. Proceedings of the International Ocean Discovery Program, 369: College Station, TX (International Ocean Discovery Program).","author":[{"dropping-particle":"","family":"Huber","given":"B.T.","non-dropping-particle":"","parse-names":false,"suffix":""},{"dropping-particle":"","family":"Hobbs","given":"R.W.","non-dropping-particle":"","parse-names":false,"suffix":""},{"dropping-particle":"","family":"Bogus","given":"K.A.","non-dropping-particle":"","parse-names":false,"suffix":""},{"dropping-particle":"","family":"and the Expedition 369 Scientists","given":"","non-dropping-particle":"","parse-names":false,"suffix":""}],"container-title":"Proceedings of the International Ocean Discovery Program","id":"ITEM-1","issued":{"date-parts":[["2019"]]},"title":"Proceedings of the International Ocean Discovery Program Volume 369 Australia Cretaceous Climate and Tectonics","type":"article-journal","volume":"369"},"uris":["http://www.mendeley.com/documents/?uuid=400c77a6-0fa0-3ccd-9458-62548548dbef"]}],"mendeley":{"formattedCitation":"&lt;sup&gt;3&lt;/sup&gt;","plainTextFormattedCitation":"3","previouslyFormattedCitation":"&lt;sup&gt;3&lt;/sup&gt;"},"properties":{"noteIndex":0},"schema":"https://github.com/citation-style-language/schema/raw/master/csl-citation.json"}</w:instrText>
      </w:r>
      <w:r w:rsidRPr="00FD5430">
        <w:fldChar w:fldCharType="separate"/>
      </w:r>
      <w:r w:rsidRPr="00B50234">
        <w:rPr>
          <w:noProof/>
          <w:vertAlign w:val="superscript"/>
        </w:rPr>
        <w:t>3</w:t>
      </w:r>
      <w:r w:rsidRPr="00FD5430">
        <w:fldChar w:fldCharType="end"/>
      </w:r>
      <w:r w:rsidRPr="00FD5430">
        <w:t>. Finally, Hg is concentrated closer to continents in modern settings</w:t>
      </w:r>
      <w:r w:rsidRPr="00FD5430">
        <w:fldChar w:fldCharType="begin" w:fldLock="1"/>
      </w:r>
      <w:r w:rsidR="005E4CCD">
        <w:instrText>ADDIN CSL_CITATION {"citationItems":[{"id":"ITEM-1","itemData":{"DOI":"10.1021/es502134t","ISSN":"15205851","PMID":"25066365","abstract":"Rivers are an important source of mercury (Hg) to marine ecosystems. Based on an analysis of compiled observations, we estimate global present-day Hg discharges from rivers to ocean margins are 27 ± 13 Mmol a-1 (5500 ± 2700 Mg a-1), of which 28% reaches the open ocean and the rest is deposited to ocean margin sediments. Globally, the source of Hg to the open ocean from rivers amounts to 30% of atmospheric inputs. This is larger than previously estimated due to accounting for elevated concentrations in Asian rivers and variability in offshore transport across different types of estuaries. Riverine inputs of Hg to the North Atlantic have decreased several-fold since the 1970s while inputs to the North Pacific have increased. These trends have large effects on Hg concentrations at ocean margins but are too small in the open ocean to explain observed declines of seawater concentrations in the North Atlantic or increases in the North Pacific. Burial of Hg in ocean margin sediments represents a major sink in the global Hg biogeochemical cycle that has not been previously considered. We find that including this sink in a fully coupled global biogeochemical box model helps to balance the large anthropogenic release of Hg from commercial products recently added to global inventories. It also implies that legacy anthropogenic Hg can be removed from active environmental cycling on a faster time scale (centuries instead of millennia). Natural environmental Hg levels are lower than previously estimated, implying a relatively larger impact from human activity. © 2014 American Chemical Society.","author":[{"dropping-particle":"","family":"Amos","given":"Helen M.","non-dropping-particle":"","parse-names":false,"suffix":""},{"dropping-particle":"","family":"Jacob","given":"Daniel J.","non-dropping-particle":"","parse-names":false,"suffix":""},{"dropping-particle":"","family":"Kocman","given":"David","non-dropping-particle":"","parse-names":false,"suffix":""},{"dropping-particle":"","family":"Horowitz","given":"Hannah M.","non-dropping-particle":"","parse-names":false,"suffix":""},{"dropping-particle":"","family":"Zhang","given":"Yanxu","non-dropping-particle":"","parse-names":false,"suffix":""},{"dropping-particle":"","family":"Dutkiewicz","given":"Stephanie","non-dropping-particle":"","parse-names":false,"suffix":""},{"dropping-particle":"","family":"Horvat","given":"Milena","non-dropping-particle":"","parse-names":false,"suffix":""},{"dropping-particle":"","family":"Corbitt","given":"Elizabeth S.","non-dropping-particle":"","parse-names":false,"suffix":""},{"dropping-particle":"","family":"Krabbenhoft","given":"David P.","non-dropping-particle":"","parse-names":false,"suffix":""},{"dropping-particle":"","family":"Sunderland","given":"Elsie M.","non-dropping-particle":"","parse-names":false,"suffix":""}],"container-title":"Environmental Science and Technology","id":"ITEM-1","issue":"16","issued":{"date-parts":[["2014","8","19"]]},"page":"9514-9522","publisher":"American Chemical Society","title":"Global biogeochemical implications of mercury discharges from rivers and sediment burial","type":"article-journal","volume":"48"},"uris":["http://www.mendeley.com/documents/?uuid=cac66c7a-b251-305c-8663-077941938fca"]}],"mendeley":{"formattedCitation":"&lt;sup&gt;4&lt;/sup&gt;","plainTextFormattedCitation":"4","previouslyFormattedCitation":"&lt;sup&gt;4&lt;/sup&gt;"},"properties":{"noteIndex":0},"schema":"https://github.com/citation-style-language/schema/raw/master/csl-citation.json"}</w:instrText>
      </w:r>
      <w:r w:rsidRPr="00FD5430">
        <w:fldChar w:fldCharType="separate"/>
      </w:r>
      <w:r w:rsidRPr="00B50234">
        <w:rPr>
          <w:noProof/>
          <w:vertAlign w:val="superscript"/>
        </w:rPr>
        <w:t>4</w:t>
      </w:r>
      <w:r w:rsidRPr="00FD5430">
        <w:fldChar w:fldCharType="end"/>
      </w:r>
      <w:r w:rsidRPr="00FD5430">
        <w:rPr>
          <w:noProof/>
        </w:rPr>
        <w:t>,</w:t>
      </w:r>
      <w:r>
        <w:rPr>
          <w:noProof/>
        </w:rPr>
        <w:t xml:space="preserve"> </w:t>
      </w:r>
      <w:r w:rsidRPr="00FD5430">
        <w:t>however, our sediments come from marine sites which were distal throughout the late Cenomanian and Turonian and so are unlikely to be affected by this phenomena</w:t>
      </w:r>
      <w:r w:rsidRPr="00FD5430">
        <w:fldChar w:fldCharType="begin" w:fldLock="1"/>
      </w:r>
      <w:r w:rsidR="005E4CCD">
        <w:instrText>ADDIN CSL_CITATION {"citationItems":[{"id":"ITEM-1","itemData":{"DOI":"10.14379/iodp.proc.369.2019","abstract":"Australia Cretaceous Climate and Tectonics. Proceedings of the International Ocean Discovery Program, 369: College Station, TX (International Ocean Discovery Program).","author":[{"dropping-particle":"","family":"Huber","given":"B.T.","non-dropping-particle":"","parse-names":false,"suffix":""},{"dropping-particle":"","family":"Hobbs","given":"R.W.","non-dropping-particle":"","parse-names":false,"suffix":""},{"dropping-particle":"","family":"Bogus","given":"K.A.","non-dropping-particle":"","parse-names":false,"suffix":""},{"dropping-particle":"","family":"and the Expedition 369 Scientists","given":"","non-dropping-particle":"","parse-names":false,"suffix":""}],"container-title":"Proceedings of the International Ocean Discovery Program","id":"ITEM-1","issued":{"date-parts":[["2019"]]},"title":"Proceedings of the International Ocean Discovery Program Volume 369 Australia Cretaceous Climate and Tectonics","type":"article-journal","volume":"369"},"uris":["http://www.mendeley.com/documents/?uuid=400c77a6-0fa0-3ccd-9458-62548548dbef"]}],"mendeley":{"formattedCitation":"&lt;sup&gt;3&lt;/sup&gt;","plainTextFormattedCitation":"3","previouslyFormattedCitation":"&lt;sup&gt;3&lt;/sup&gt;"},"properties":{"noteIndex":0},"schema":"https://github.com/citation-style-language/schema/raw/master/csl-citation.json"}</w:instrText>
      </w:r>
      <w:r w:rsidRPr="00FD5430">
        <w:fldChar w:fldCharType="separate"/>
      </w:r>
      <w:r w:rsidRPr="00B50234">
        <w:rPr>
          <w:noProof/>
          <w:vertAlign w:val="superscript"/>
        </w:rPr>
        <w:t>3</w:t>
      </w:r>
      <w:r w:rsidRPr="00FD5430">
        <w:fldChar w:fldCharType="end"/>
      </w:r>
      <w:r w:rsidRPr="00FD5430">
        <w:t xml:space="preserve">. We also see no correlation between our Hg data and proxies for terrigenous input (K/Al and </w:t>
      </w:r>
      <w:proofErr w:type="spellStart"/>
      <w:r w:rsidRPr="00FD5430">
        <w:t>εNd</w:t>
      </w:r>
      <w:proofErr w:type="spellEnd"/>
      <w:r w:rsidRPr="00FD5430">
        <w:t>; Fig. 6). We therefore consider changes in our Hg and Hg/TOC records as primarily influenced by volcanic activity.</w:t>
      </w:r>
    </w:p>
    <w:p w14:paraId="5B694FFD" w14:textId="77777777" w:rsidR="00B50234" w:rsidRDefault="00B50234" w:rsidP="00B50234">
      <w:pPr>
        <w:spacing w:line="276" w:lineRule="auto"/>
        <w:rPr>
          <w:b/>
          <w:bCs/>
          <w:color w:val="000000"/>
        </w:rPr>
      </w:pPr>
    </w:p>
    <w:p w14:paraId="722E8761" w14:textId="77777777" w:rsidR="00B50234" w:rsidRDefault="00B50234" w:rsidP="00B50234">
      <w:pPr>
        <w:pStyle w:val="Heading2"/>
      </w:pPr>
      <w:r>
        <w:t>Possible identification of OAE 1-d?</w:t>
      </w:r>
    </w:p>
    <w:p w14:paraId="7E0C98B5" w14:textId="77777777" w:rsidR="00B50234" w:rsidRDefault="00B50234" w:rsidP="00B50234">
      <w:pPr>
        <w:spacing w:line="276" w:lineRule="auto"/>
      </w:pPr>
      <w:r w:rsidRPr="00682A12">
        <w:t>At the base of Sites U1516 (540–490 m) and U1513 (295–268 m), there is little variability in Hg values with relatively low Hg concentrations and Hg/TOC values (Fig. 2). The exception is a single point spike in Hg (450 ng/g) and Hg/TOC (530 ppb/</w:t>
      </w:r>
      <w:proofErr w:type="spellStart"/>
      <w:r w:rsidRPr="00682A12">
        <w:t>wt</w:t>
      </w:r>
      <w:proofErr w:type="spellEnd"/>
      <w:r w:rsidRPr="00682A12">
        <w:t>%) at 505 m in Site U1516, at the speculative OAE 1d horizon, identified through both biostratigraphy and carbon isotope stratigraphy (grey shading, Fig. 2). Whilst the evidence for OAE1-d is inconclusive, otherwise low background levels of Hg and Hg/TOC through the Albian and Cenomanian demonstrate the magnitude of change across the OAE2 horizon, contextualising the severity of the event.</w:t>
      </w:r>
    </w:p>
    <w:p w14:paraId="444B5D5A" w14:textId="77777777" w:rsidR="00B50234" w:rsidRDefault="00B50234" w:rsidP="00B50234">
      <w:pPr>
        <w:spacing w:line="276" w:lineRule="auto"/>
        <w:rPr>
          <w:b/>
          <w:bCs/>
          <w:color w:val="000000"/>
        </w:rPr>
      </w:pPr>
    </w:p>
    <w:p w14:paraId="1A491A71" w14:textId="77777777" w:rsidR="00B50234" w:rsidRDefault="00B50234" w:rsidP="00B50234">
      <w:pPr>
        <w:spacing w:after="160" w:line="259" w:lineRule="auto"/>
        <w:rPr>
          <w:b/>
          <w:bCs/>
          <w:color w:val="000000"/>
          <w:sz w:val="22"/>
          <w:szCs w:val="22"/>
        </w:rPr>
      </w:pPr>
      <w:r>
        <w:rPr>
          <w:b/>
          <w:bCs/>
          <w:color w:val="000000"/>
          <w:sz w:val="22"/>
          <w:szCs w:val="22"/>
        </w:rPr>
        <w:br w:type="page"/>
      </w:r>
    </w:p>
    <w:p w14:paraId="02AC30AC" w14:textId="07D74C44" w:rsidR="00CD3FBA" w:rsidRDefault="00CD3FBA" w:rsidP="00417F4A">
      <w:pPr>
        <w:pStyle w:val="Heading2"/>
      </w:pPr>
      <w:r>
        <w:lastRenderedPageBreak/>
        <w:t>Tables</w:t>
      </w:r>
    </w:p>
    <w:p w14:paraId="0188253D" w14:textId="7F4484EB" w:rsidR="00B50234" w:rsidRPr="00B848F3" w:rsidRDefault="00B50234" w:rsidP="00B50234">
      <w:pPr>
        <w:spacing w:line="276" w:lineRule="auto"/>
        <w:rPr>
          <w:color w:val="000000"/>
          <w:sz w:val="22"/>
          <w:szCs w:val="22"/>
        </w:rPr>
      </w:pPr>
      <w:r w:rsidRPr="00B848F3">
        <w:rPr>
          <w:b/>
          <w:bCs/>
          <w:color w:val="000000"/>
          <w:sz w:val="22"/>
          <w:szCs w:val="22"/>
        </w:rPr>
        <w:t>Supplementary Table 1.</w:t>
      </w:r>
      <w:r w:rsidRPr="00B848F3">
        <w:rPr>
          <w:color w:val="000000"/>
          <w:sz w:val="22"/>
          <w:szCs w:val="22"/>
        </w:rPr>
        <w:t xml:space="preserve"> Planktic foraminifera and calcareous nannofossil </w:t>
      </w:r>
      <w:proofErr w:type="spellStart"/>
      <w:r w:rsidRPr="00B848F3">
        <w:rPr>
          <w:color w:val="000000"/>
          <w:sz w:val="22"/>
          <w:szCs w:val="22"/>
        </w:rPr>
        <w:t>bioevents</w:t>
      </w:r>
      <w:proofErr w:type="spellEnd"/>
      <w:r w:rsidRPr="00B848F3">
        <w:rPr>
          <w:color w:val="000000"/>
          <w:sz w:val="22"/>
          <w:szCs w:val="22"/>
        </w:rPr>
        <w:t xml:space="preserve"> at Site U1516</w:t>
      </w:r>
      <w:r w:rsidRPr="00B848F3">
        <w:rPr>
          <w:color w:val="000000"/>
          <w:sz w:val="22"/>
          <w:szCs w:val="22"/>
        </w:rPr>
        <w:fldChar w:fldCharType="begin" w:fldLock="1"/>
      </w:r>
      <w:r w:rsidR="005E4CCD">
        <w:rPr>
          <w:color w:val="000000"/>
          <w:sz w:val="22"/>
          <w:szCs w:val="22"/>
        </w:rPr>
        <w:instrText xml:space="preserve">ADDIN CSL_CITATION {"citationItems":[{"id":"ITEM-1","itemData":{"DOI":"10.1016/J.GLOPLACHA.2021.103595","ISSN":"0921-8181","abstract":"Planktonic foraminiferal population dynamics and benthic foraminiferal and radiolaria distributions combined with δ13C and δ18O measurements of both bulk carbonate and foraminifera provide clues concerning the paleoceanographic changes across the Cenomanian-Turonian boundary interval and the Oceanic Anoxic Event 2 (OAE 2) at southern high latitudes. Samples analyzed are from Integrated Ocean Discovery Program (IODP) Expedition 369 Site U1516 in the Mentelle Basin (eastern flank of the Naturaliste Plateau, Indian Ocean, SW Australia). Site U1516 was located at 60°–62°S paleolatitude during the mid-Cretaceous, and it is the first high latitude locality in the Southern Hemisphere where planktonic foraminifera are consistently recorded across the OAE 2 interval and its associated positive δ13C excursion. The sedimentary record at Site U1516 consists of a sequence of alternating black, dark greenish gray, and light greenish gray claystone in the Cenomanian that grade to white and light gray calcareous chalk interbedded with chert in the Turonian. The correlation between the δ13C and δ18O profiles at Site U1516 and the European reference section at Eastbourne (England) coupled with the integrated calcareous plankton biostratigraphy and stable isotopic data at Site U1516, indicate that a complete record of OAE 2 at Site U1516 was recovered. Below and in the lower part of OAE 2, the planktonic foraminiferal assemblages are dominated by small-sized (125–38 μm) opportunistic species of Microhedbergella and radiolaria indicating a dominantly eutrophic regime. Above the onset of OAE 2, a trough in the δ13C profile (Plenus Carbon Isotope Event: P-CIE) coinciding with a δ18O increase may correspond to the Plenus Cold Event as observed at low latitudes, although no evidence of cooling is registered in the microfossil assemblages. At Site U1516, the middle part of OAE 2 at the initiation of the plateau phase of the δ13C profile is masked by absence of carbonate, by the highest TOC values, and high biogenic silica (dominance of radiolaria) indicating this interval corresponded to a time of highly stressed eutrophic conditions with possible shoaling of the Carbonate Compensation Depth (CCD). Above this interval, bulk isotopic results yield lower δ13C values, and the CaCO3 increases are associated with the presence of even smaller-sized Microhedbergella showing cyclic fluctuations in absolute abundances with benthic foraminifera indicating dominantly eutrophic conditions …","author":[{"dropping-particle":"","family":"Petrizzo","given":"Maria Rose","non-dropping-particle":"","parse-names":false,"suffix":""},{"dropping-particle":"","family":"Watkins","given":"David K.","non-dropping-particle":"","parse-names":false,"suffix":""},{"dropping-particle":"","family":"MacLeod","given":"Kenneth G.","non-dropping-particle":"","parse-names":false,"suffix":""},{"dropping-particle":"","family":"Hasegawa","given":"Takashi","non-dropping-particle":"","parse-names":false,"suffix":""},{"dropping-particle":"","family":"Huber","given":"Brian T.","non-dropping-particle":"","parse-names":false,"suffix":""},{"dropping-particle":"","family":"Batenburg","given":"Sietske J.","non-dropping-particle":"","parse-names":false,"suffix":""},{"dropping-particle":"","family":"Kato","given":"Tomonori","non-dropping-particle":"","parse-names":false,"suffix":""}],"container-title":"Global and Planetary Change","id":"ITEM-1","issued":{"date-parts":[["2021","11","1"]]},"page":"103595","publisher":"Elsevier","title":"Exploring the paleoceanographic changes registered by planktonic foraminifera across the Cenomanian-Turonian boundary interval and Oceanic Anoxic Event 2 at southern high latitudes in the Mentelle Basin (SE Indian Ocean)","type":"article-journal","volume":"206"},"uris":["http://www.mendeley.com/documents/?uuid=6f1f66bd-cbb4-44fc-9330-921764b24cd5"]},{"id":"ITEM-2","itemData":{"DOI":"10.1029/2021PA004353","ISSN":"25724525","PMID":"35910494","abstract":"The latest Cenomanian to Santonian sedimentary record recovered at IODP Expedition 369 Site U1513 in the Mentelle Basin (SE Indian Ocean, paleolatitude 60°S at 85 Ma) is studied to interpret the paleoceanographic evolution in the Southern Hemisphere. The planktonic foraminiferal assemblage changes, the depth ecology preferences of different species, and the surface and seafloor temperature inferred from the stable isotopic values measured on foraminiferal tests provide meaningful information to the understanding of the Late Cretaceous climate. The hothouse climate during the Turonian-Santonian, characterized by weak latitudinal temperature gradients and high atmospheric CO2 concentrations, is followed by a progressive cooling during the Campanian. At Site U1513 the beginning of this climatic transition is nicely recorded within the Santonian, as indicated by an </w:instrText>
      </w:r>
      <w:r w:rsidR="005E4CCD">
        <w:rPr>
          <w:rFonts w:ascii="Cambria Math" w:hAnsi="Cambria Math" w:cs="Cambria Math"/>
          <w:color w:val="000000"/>
          <w:sz w:val="22"/>
          <w:szCs w:val="22"/>
        </w:rPr>
        <w:instrText>∼</w:instrText>
      </w:r>
      <w:r w:rsidR="005E4CCD">
        <w:rPr>
          <w:color w:val="000000"/>
          <w:sz w:val="22"/>
          <w:szCs w:val="22"/>
        </w:rPr>
        <w:instrText>1‰ increase in δ18O values of planktonic foraminifera suggesting a decline in surface water paleotemperatures of 4°C. The onset of cooling is mirrored by changes in the planktonic foraminiferal assemblages including extinctions among surface and deep dwellers, appearances and diversification of newly evolving taxa, and changes from predominantly epifaunal oxic to infaunal dysoxic/suboxic taxa among co-occurring benthic foraminifera. Overall, the data presented here document an interval in the Santonian during which the rate of southern high latitude cooling increased. Both surface and bottom waters were affected, although the cooling signal is more evident in the data for surface waters. This pattern of cooling ascribes the deterioration of the Late Cretaceous climate to decreased CO2 in the atmosphere and changes in the oceanic circulation correlated with enhanced meridional circulation.","author":[{"dropping-particle":"","family":"Petrizzo","given":"Maria Rose","non-dropping-particle":"","parse-names":false,"suffix":""},{"dropping-particle":"","family":"MacLeod","given":"Kenneth G.","non-dropping-particle":"","parse-names":false,"suffix":""},{"dropping-particle":"","family":"Watkins","given":"David K.","non-dropping-particle":"","parse-names":false,"suffix":""},{"dropping-particle":"","family":"Wolfgring","given":"Erik","non-dropping-particle":"","parse-names":false,"suffix":""},{"dropping-particle":"","family":"Huber","given":"Brian T.","non-dropping-particle":"","parse-names":false,"suffix":""}],"container-title":"Paleoceanography and Paleoclimatology","id":"ITEM-2","issue":"1","issued":{"date-parts":[["2022","1","1"]]},"publisher":"Wiley-Blackwell","title":"Late Cretaceous Paleoceanographic Evolution and the Onset of Cooling in the Santonian at Southern High Latitudes (IODP Site U1513, SE Indian Ocean)","type":"article-journal","volume":"37"},"uris":["http://www.mendeley.com/documents/?uuid=0d3711f2-2e19-36ba-83aa-090f0ec32d85"]},{"id":"ITEM-3","itemData":{"DOI":"10.1029/2022PA004474","ISSN":"2572-4525","author":[{"dropping-particle":"","family":"Petrizzo","given":"Maria Rose","non-dropping-particle":"","parse-names":false,"suffix":""},{"dropping-particle":"","family":"Amaglio","given":"Giulia","non-dropping-particle":"","parse-names":false,"suffix":""},{"dropping-particle":"","family":"Watkins","given":"David K.","non-dropping-particle":"","parse-names":false,"suffix":""},{"dropping-particle":"","family":"MacLeod","given":"Kenneth G.","non-dropping-particle":"","parse-names":false,"suffix":""},{"dropping-particle":"","family":"Huber","given":"Brian T.","non-dropping-particle":"","parse-names":false,"suffix":""},{"dropping-particle":"","family":"Hasegawa","given":"Takashi","non-dropping-particle":"","parse-names":false,"suffix":""},{"dropping-particle":"","family":"Wolfgring","given":"Erik","non-dropping-particle":"","parse-names":false,"suffix":""}],"container-title":"Paleoceanography and Paleoclimatology","id":"ITEM-3","issue":"9","issued":{"date-parts":[["2022","9","1"]]},"page":"e2022PA004474","publisher":"John Wiley &amp; Sons, Ltd","title":"Biotic and Paleoceanographic Changes Across the Late Cretaceous Oceanic Anoxic Event 2 in the Southern High Latitudes (IODP Sites U1513 and U1516, SE Indian Ocean)","type":"article-journal","volume":"37"},"uris":["http://www.mendeley.com/documents/?uuid=51fad3ef-87c5-35af-9c05-72016719ab23"]}],"mendeley":{"formattedCitation":"&lt;sup&gt;5–7&lt;/sup&gt;","plainTextFormattedCitation":"5–7","previouslyFormattedCitation":"&lt;sup&gt;5–7&lt;/sup&gt;"},"properties":{"noteIndex":0},"schema":"https://github.com/citation-style-language/schema/raw/master/csl-citation.json"}</w:instrText>
      </w:r>
      <w:r w:rsidRPr="00B848F3">
        <w:rPr>
          <w:color w:val="000000"/>
          <w:sz w:val="22"/>
          <w:szCs w:val="22"/>
        </w:rPr>
        <w:fldChar w:fldCharType="separate"/>
      </w:r>
      <w:r w:rsidRPr="00B50234">
        <w:rPr>
          <w:noProof/>
          <w:color w:val="000000"/>
          <w:sz w:val="22"/>
          <w:szCs w:val="22"/>
          <w:vertAlign w:val="superscript"/>
        </w:rPr>
        <w:t>5–7</w:t>
      </w:r>
      <w:r w:rsidRPr="00B848F3">
        <w:rPr>
          <w:color w:val="000000"/>
          <w:sz w:val="22"/>
          <w:szCs w:val="22"/>
        </w:rPr>
        <w:fldChar w:fldCharType="end"/>
      </w:r>
      <w:r w:rsidRPr="00B848F3">
        <w:rPr>
          <w:color w:val="000000"/>
          <w:sz w:val="22"/>
          <w:szCs w:val="22"/>
        </w:rPr>
        <w:t xml:space="preserve">. </w:t>
      </w:r>
      <w:proofErr w:type="spellStart"/>
      <w:r w:rsidRPr="00B848F3">
        <w:rPr>
          <w:i/>
          <w:iCs/>
          <w:color w:val="000000"/>
          <w:sz w:val="22"/>
          <w:szCs w:val="22"/>
        </w:rPr>
        <w:t>Axopodorhabdus</w:t>
      </w:r>
      <w:proofErr w:type="spellEnd"/>
      <w:r w:rsidRPr="00B848F3">
        <w:rPr>
          <w:i/>
          <w:iCs/>
          <w:color w:val="000000"/>
          <w:sz w:val="22"/>
          <w:szCs w:val="22"/>
        </w:rPr>
        <w:t xml:space="preserve"> </w:t>
      </w:r>
      <w:proofErr w:type="spellStart"/>
      <w:r w:rsidRPr="00B848F3">
        <w:rPr>
          <w:i/>
          <w:iCs/>
          <w:color w:val="000000"/>
          <w:sz w:val="22"/>
          <w:szCs w:val="22"/>
        </w:rPr>
        <w:t>biramiculatus</w:t>
      </w:r>
      <w:proofErr w:type="spellEnd"/>
      <w:r w:rsidRPr="00B848F3">
        <w:rPr>
          <w:color w:val="000000"/>
          <w:sz w:val="22"/>
          <w:szCs w:val="22"/>
        </w:rPr>
        <w:t xml:space="preserve"> = </w:t>
      </w:r>
      <w:proofErr w:type="spellStart"/>
      <w:r w:rsidRPr="00B848F3">
        <w:rPr>
          <w:i/>
          <w:iCs/>
          <w:color w:val="000000"/>
          <w:sz w:val="22"/>
          <w:szCs w:val="22"/>
        </w:rPr>
        <w:t>Axopodorhabdus</w:t>
      </w:r>
      <w:proofErr w:type="spellEnd"/>
      <w:r w:rsidRPr="00B848F3">
        <w:rPr>
          <w:i/>
          <w:iCs/>
          <w:color w:val="000000"/>
          <w:sz w:val="22"/>
          <w:szCs w:val="22"/>
        </w:rPr>
        <w:t xml:space="preserve"> </w:t>
      </w:r>
      <w:proofErr w:type="spellStart"/>
      <w:r w:rsidRPr="00B848F3">
        <w:rPr>
          <w:i/>
          <w:iCs/>
          <w:color w:val="000000"/>
          <w:sz w:val="22"/>
          <w:szCs w:val="22"/>
        </w:rPr>
        <w:t>albianus</w:t>
      </w:r>
      <w:proofErr w:type="spellEnd"/>
      <w:r w:rsidRPr="00B848F3">
        <w:rPr>
          <w:color w:val="000000"/>
          <w:sz w:val="22"/>
          <w:szCs w:val="22"/>
        </w:rPr>
        <w:t xml:space="preserve"> of some authors. FAD = first appearance datum; LAD = last appearance datum; LO = lowest occurrence; HO highest occurrence. Age of the </w:t>
      </w:r>
      <w:proofErr w:type="spellStart"/>
      <w:r w:rsidRPr="00B848F3">
        <w:rPr>
          <w:color w:val="000000"/>
          <w:sz w:val="22"/>
          <w:szCs w:val="22"/>
        </w:rPr>
        <w:t>bioevents</w:t>
      </w:r>
      <w:proofErr w:type="spellEnd"/>
      <w:r w:rsidRPr="00B848F3">
        <w:rPr>
          <w:color w:val="000000"/>
          <w:sz w:val="22"/>
          <w:szCs w:val="22"/>
        </w:rPr>
        <w:t xml:space="preserve"> according to </w:t>
      </w:r>
      <w:r w:rsidRPr="00B848F3">
        <w:rPr>
          <w:color w:val="000000"/>
          <w:sz w:val="22"/>
          <w:szCs w:val="22"/>
        </w:rPr>
        <w:fldChar w:fldCharType="begin" w:fldLock="1"/>
      </w:r>
      <w:r w:rsidR="005E4CCD">
        <w:rPr>
          <w:color w:val="000000"/>
          <w:sz w:val="22"/>
          <w:szCs w:val="22"/>
        </w:rPr>
        <w:instrText>ADDIN CSL_CITATION {"citationItems":[{"id":"ITEM-1","itemData":{"ISBN":"978-0-44-459425-9","author":[{"dropping-particle":"","family":"Gradstein","given":"Felix M.","non-dropping-particle":"","parse-names":false,"suffix":""},{"dropping-particle":"","family":"Ogg","given":"James G.","non-dropping-particle":"","parse-names":false,"suffix":""},{"dropping-particle":"","family":"Schmitz","given":"Mark D.","non-dropping-particle":"","parse-names":false,"suffix":""},{"dropping-particle":"","family":"Ogg","given":"Gabi M.","non-dropping-particle":"","parse-names":false,"suffix":""}],"editor":[{"dropping-particle":"","family":"Gradstein","given":"Felix M.","non-dropping-particle":"","parse-names":false,"suffix":""},{"dropping-particle":"","family":"Ogg","given":"James G","non-dropping-particle":"","parse-names":false,"suffix":""},{"dropping-particle":"","family":"Schmitz","given":"Mark D","non-dropping-particle":"","parse-names":false,"suffix":""},{"dropping-particle":"","family":"Ogg","given":"Gabi M","non-dropping-particle":"","parse-names":false,"suffix":""}],"id":"ITEM-1","issued":{"date-parts":[["2012"]]},"publisher":"Elsevier Science","title":"The Geologic time scale, 2012","type":"book"},"uris":["http://www.mendeley.com/documents/?uuid=9231bc1b-b0aa-345f-b93e-683a7cb2701a"]}],"mendeley":{"formattedCitation":"&lt;sup&gt;8&lt;/sup&gt;","manualFormatting":"Gradstein et al. (2012)","plainTextFormattedCitation":"8","previouslyFormattedCitation":"&lt;sup&gt;8&lt;/sup&gt;"},"properties":{"noteIndex":0},"schema":"https://github.com/citation-style-language/schema/raw/master/csl-citation.json"}</w:instrText>
      </w:r>
      <w:r w:rsidRPr="00B848F3">
        <w:rPr>
          <w:color w:val="000000"/>
          <w:sz w:val="22"/>
          <w:szCs w:val="22"/>
        </w:rPr>
        <w:fldChar w:fldCharType="separate"/>
      </w:r>
      <w:r w:rsidRPr="00B848F3">
        <w:rPr>
          <w:noProof/>
          <w:color w:val="000000"/>
          <w:sz w:val="22"/>
          <w:szCs w:val="22"/>
        </w:rPr>
        <w:t xml:space="preserve">Gradstein </w:t>
      </w:r>
      <w:r w:rsidRPr="00B848F3">
        <w:rPr>
          <w:i/>
          <w:noProof/>
          <w:color w:val="000000"/>
          <w:sz w:val="22"/>
          <w:szCs w:val="22"/>
        </w:rPr>
        <w:t>et al.</w:t>
      </w:r>
      <w:r w:rsidRPr="00B848F3">
        <w:rPr>
          <w:noProof/>
          <w:color w:val="000000"/>
          <w:sz w:val="22"/>
          <w:szCs w:val="22"/>
        </w:rPr>
        <w:t xml:space="preserve"> (2012)</w:t>
      </w:r>
      <w:r w:rsidRPr="00B848F3">
        <w:rPr>
          <w:color w:val="000000"/>
          <w:sz w:val="22"/>
          <w:szCs w:val="22"/>
        </w:rPr>
        <w:fldChar w:fldCharType="end"/>
      </w:r>
      <w:r w:rsidRPr="00B848F3">
        <w:rPr>
          <w:color w:val="000000"/>
          <w:sz w:val="22"/>
          <w:szCs w:val="22"/>
        </w:rPr>
        <w:t>. Top and bottom revised Core Composite depth below Sea Floor (</w:t>
      </w:r>
      <w:proofErr w:type="spellStart"/>
      <w:r w:rsidRPr="00B848F3">
        <w:rPr>
          <w:color w:val="000000"/>
          <w:sz w:val="22"/>
          <w:szCs w:val="22"/>
        </w:rPr>
        <w:t>rCCSF</w:t>
      </w:r>
      <w:proofErr w:type="spellEnd"/>
      <w:r w:rsidRPr="00B848F3">
        <w:rPr>
          <w:color w:val="000000"/>
          <w:sz w:val="22"/>
          <w:szCs w:val="22"/>
        </w:rPr>
        <w:t>) in meters, directly corresponds to CCSF-M.</w:t>
      </w:r>
    </w:p>
    <w:tbl>
      <w:tblPr>
        <w:tblStyle w:val="TableGridLight1"/>
        <w:tblW w:w="8207" w:type="dxa"/>
        <w:tblLook w:val="04A0" w:firstRow="1" w:lastRow="0" w:firstColumn="1" w:lastColumn="0" w:noHBand="0" w:noVBand="1"/>
      </w:tblPr>
      <w:tblGrid>
        <w:gridCol w:w="581"/>
        <w:gridCol w:w="1824"/>
        <w:gridCol w:w="1555"/>
        <w:gridCol w:w="851"/>
        <w:gridCol w:w="1555"/>
        <w:gridCol w:w="991"/>
        <w:gridCol w:w="850"/>
      </w:tblGrid>
      <w:tr w:rsidR="00B50234" w:rsidRPr="00B848F3" w14:paraId="33B7DEDD" w14:textId="77777777" w:rsidTr="006603F9">
        <w:tc>
          <w:tcPr>
            <w:tcW w:w="2405" w:type="dxa"/>
            <w:gridSpan w:val="2"/>
            <w:hideMark/>
          </w:tcPr>
          <w:p w14:paraId="5F0953E0" w14:textId="77777777" w:rsidR="00B50234" w:rsidRPr="00B848F3" w:rsidRDefault="00B50234" w:rsidP="006603F9">
            <w:pPr>
              <w:spacing w:after="225"/>
              <w:rPr>
                <w:rFonts w:cstheme="minorHAnsi"/>
                <w:b/>
                <w:bCs/>
                <w:color w:val="000000"/>
                <w:sz w:val="22"/>
                <w:szCs w:val="22"/>
              </w:rPr>
            </w:pPr>
            <w:r w:rsidRPr="00B848F3">
              <w:rPr>
                <w:rFonts w:cstheme="minorHAnsi"/>
                <w:b/>
                <w:bCs/>
                <w:color w:val="000000"/>
                <w:sz w:val="22"/>
                <w:szCs w:val="22"/>
              </w:rPr>
              <w:t>Event</w:t>
            </w:r>
          </w:p>
        </w:tc>
        <w:tc>
          <w:tcPr>
            <w:tcW w:w="1555" w:type="dxa"/>
            <w:hideMark/>
          </w:tcPr>
          <w:p w14:paraId="03E3937E" w14:textId="77777777" w:rsidR="00B50234" w:rsidRPr="00B848F3" w:rsidRDefault="00B50234" w:rsidP="006603F9">
            <w:pPr>
              <w:spacing w:after="225"/>
              <w:jc w:val="center"/>
              <w:rPr>
                <w:rFonts w:cstheme="minorHAnsi"/>
                <w:b/>
                <w:bCs/>
                <w:color w:val="000000"/>
                <w:sz w:val="22"/>
                <w:szCs w:val="22"/>
              </w:rPr>
            </w:pPr>
            <w:r w:rsidRPr="00B848F3">
              <w:rPr>
                <w:rFonts w:cstheme="minorHAnsi"/>
                <w:b/>
                <w:bCs/>
                <w:color w:val="000000"/>
                <w:sz w:val="22"/>
                <w:szCs w:val="22"/>
              </w:rPr>
              <w:t>Sample Top</w:t>
            </w:r>
          </w:p>
        </w:tc>
        <w:tc>
          <w:tcPr>
            <w:tcW w:w="851" w:type="dxa"/>
            <w:hideMark/>
          </w:tcPr>
          <w:p w14:paraId="4C9E02EB" w14:textId="77777777" w:rsidR="00B50234" w:rsidRPr="00B848F3" w:rsidRDefault="00B50234" w:rsidP="006603F9">
            <w:pPr>
              <w:spacing w:after="225"/>
              <w:jc w:val="center"/>
              <w:rPr>
                <w:rFonts w:cstheme="minorHAnsi"/>
                <w:b/>
                <w:bCs/>
                <w:color w:val="000000"/>
                <w:sz w:val="22"/>
                <w:szCs w:val="22"/>
              </w:rPr>
            </w:pPr>
            <w:r w:rsidRPr="00B848F3">
              <w:rPr>
                <w:rFonts w:cstheme="minorHAnsi"/>
                <w:b/>
                <w:bCs/>
                <w:color w:val="000000"/>
                <w:sz w:val="22"/>
                <w:szCs w:val="22"/>
              </w:rPr>
              <w:t xml:space="preserve">Top m </w:t>
            </w:r>
            <w:proofErr w:type="spellStart"/>
            <w:r w:rsidRPr="00B848F3">
              <w:rPr>
                <w:rFonts w:cstheme="minorHAnsi"/>
                <w:b/>
                <w:bCs/>
                <w:color w:val="000000"/>
                <w:sz w:val="22"/>
                <w:szCs w:val="22"/>
              </w:rPr>
              <w:t>rCCSF</w:t>
            </w:r>
            <w:proofErr w:type="spellEnd"/>
          </w:p>
        </w:tc>
        <w:tc>
          <w:tcPr>
            <w:tcW w:w="1555" w:type="dxa"/>
            <w:hideMark/>
          </w:tcPr>
          <w:p w14:paraId="64E2C969" w14:textId="77777777" w:rsidR="00B50234" w:rsidRPr="00B848F3" w:rsidRDefault="00B50234" w:rsidP="006603F9">
            <w:pPr>
              <w:spacing w:after="225"/>
              <w:jc w:val="center"/>
              <w:rPr>
                <w:rFonts w:cstheme="minorHAnsi"/>
                <w:b/>
                <w:bCs/>
                <w:color w:val="000000"/>
                <w:sz w:val="22"/>
                <w:szCs w:val="22"/>
              </w:rPr>
            </w:pPr>
            <w:r w:rsidRPr="00B848F3">
              <w:rPr>
                <w:rFonts w:cstheme="minorHAnsi"/>
                <w:b/>
                <w:bCs/>
                <w:color w:val="000000"/>
                <w:sz w:val="22"/>
                <w:szCs w:val="22"/>
              </w:rPr>
              <w:t>Sample Bottom</w:t>
            </w:r>
          </w:p>
        </w:tc>
        <w:tc>
          <w:tcPr>
            <w:tcW w:w="991" w:type="dxa"/>
            <w:hideMark/>
          </w:tcPr>
          <w:p w14:paraId="6B55AB64" w14:textId="77777777" w:rsidR="00B50234" w:rsidRPr="00B848F3" w:rsidRDefault="00B50234" w:rsidP="006603F9">
            <w:pPr>
              <w:spacing w:after="225"/>
              <w:jc w:val="center"/>
              <w:rPr>
                <w:rFonts w:cstheme="minorHAnsi"/>
                <w:b/>
                <w:bCs/>
                <w:color w:val="000000"/>
                <w:sz w:val="22"/>
                <w:szCs w:val="22"/>
              </w:rPr>
            </w:pPr>
            <w:r w:rsidRPr="00B848F3">
              <w:rPr>
                <w:rFonts w:cstheme="minorHAnsi"/>
                <w:b/>
                <w:bCs/>
                <w:color w:val="000000"/>
                <w:sz w:val="22"/>
                <w:szCs w:val="22"/>
              </w:rPr>
              <w:t xml:space="preserve">Bottom m </w:t>
            </w:r>
            <w:proofErr w:type="spellStart"/>
            <w:r w:rsidRPr="00B848F3">
              <w:rPr>
                <w:rFonts w:cstheme="minorHAnsi"/>
                <w:b/>
                <w:bCs/>
                <w:color w:val="000000"/>
                <w:sz w:val="22"/>
                <w:szCs w:val="22"/>
              </w:rPr>
              <w:t>rCCSF</w:t>
            </w:r>
            <w:proofErr w:type="spellEnd"/>
          </w:p>
        </w:tc>
        <w:tc>
          <w:tcPr>
            <w:tcW w:w="850" w:type="dxa"/>
            <w:hideMark/>
          </w:tcPr>
          <w:p w14:paraId="509D0AE5" w14:textId="77777777" w:rsidR="00B50234" w:rsidRPr="00B848F3" w:rsidRDefault="00B50234" w:rsidP="006603F9">
            <w:pPr>
              <w:spacing w:after="225"/>
              <w:jc w:val="center"/>
              <w:rPr>
                <w:rFonts w:cstheme="minorHAnsi"/>
                <w:b/>
                <w:bCs/>
                <w:sz w:val="22"/>
                <w:szCs w:val="22"/>
              </w:rPr>
            </w:pPr>
            <w:r w:rsidRPr="00B848F3">
              <w:rPr>
                <w:rFonts w:cstheme="minorHAnsi"/>
                <w:b/>
                <w:bCs/>
                <w:sz w:val="22"/>
                <w:szCs w:val="22"/>
              </w:rPr>
              <w:t>Age</w:t>
            </w:r>
          </w:p>
        </w:tc>
      </w:tr>
      <w:tr w:rsidR="00B50234" w:rsidRPr="00B848F3" w14:paraId="6FC9FA35" w14:textId="77777777" w:rsidTr="006603F9">
        <w:tc>
          <w:tcPr>
            <w:tcW w:w="0" w:type="auto"/>
          </w:tcPr>
          <w:p w14:paraId="2FED9ECD"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FAD</w:t>
            </w:r>
          </w:p>
        </w:tc>
        <w:tc>
          <w:tcPr>
            <w:tcW w:w="1824" w:type="dxa"/>
          </w:tcPr>
          <w:p w14:paraId="49F1E222" w14:textId="77777777" w:rsidR="00B50234" w:rsidRPr="00B848F3" w:rsidRDefault="00B50234" w:rsidP="006603F9">
            <w:pPr>
              <w:spacing w:after="225"/>
              <w:rPr>
                <w:rFonts w:cstheme="minorHAnsi"/>
                <w:i/>
                <w:iCs/>
                <w:color w:val="000000"/>
                <w:sz w:val="22"/>
                <w:szCs w:val="22"/>
              </w:rPr>
            </w:pPr>
            <w:proofErr w:type="spellStart"/>
            <w:r w:rsidRPr="00B848F3">
              <w:rPr>
                <w:rFonts w:cstheme="minorHAnsi"/>
                <w:i/>
                <w:iCs/>
                <w:color w:val="000000"/>
                <w:sz w:val="22"/>
                <w:szCs w:val="22"/>
              </w:rPr>
              <w:t>Eiffellitus</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eximius</w:t>
            </w:r>
            <w:proofErr w:type="spellEnd"/>
            <w:r w:rsidRPr="00B848F3">
              <w:rPr>
                <w:rFonts w:cstheme="minorHAnsi"/>
                <w:color w:val="000000"/>
                <w:sz w:val="22"/>
                <w:szCs w:val="22"/>
              </w:rPr>
              <w:t xml:space="preserve"> (s. Verbeek)</w:t>
            </w:r>
          </w:p>
        </w:tc>
        <w:tc>
          <w:tcPr>
            <w:tcW w:w="1555" w:type="dxa"/>
          </w:tcPr>
          <w:p w14:paraId="5F7D0D03"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U1516C-28R-1, 110–113 cm</w:t>
            </w:r>
          </w:p>
        </w:tc>
        <w:tc>
          <w:tcPr>
            <w:tcW w:w="851" w:type="dxa"/>
          </w:tcPr>
          <w:p w14:paraId="5B69240C" w14:textId="77777777" w:rsidR="00B50234" w:rsidRPr="00B848F3" w:rsidRDefault="00B50234" w:rsidP="006603F9">
            <w:pPr>
              <w:spacing w:after="225"/>
              <w:jc w:val="center"/>
              <w:rPr>
                <w:rFonts w:cstheme="minorHAnsi"/>
                <w:color w:val="2E2E2E"/>
                <w:sz w:val="22"/>
                <w:szCs w:val="22"/>
              </w:rPr>
            </w:pPr>
            <w:r w:rsidRPr="00B848F3">
              <w:rPr>
                <w:rFonts w:cstheme="minorHAnsi"/>
                <w:color w:val="000000"/>
                <w:sz w:val="22"/>
                <w:szCs w:val="22"/>
              </w:rPr>
              <w:t>446.70</w:t>
            </w:r>
          </w:p>
        </w:tc>
        <w:tc>
          <w:tcPr>
            <w:tcW w:w="1555" w:type="dxa"/>
          </w:tcPr>
          <w:p w14:paraId="6B98D924"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U1516C-28R-3, 105–108 cm</w:t>
            </w:r>
          </w:p>
        </w:tc>
        <w:tc>
          <w:tcPr>
            <w:tcW w:w="991" w:type="dxa"/>
          </w:tcPr>
          <w:p w14:paraId="61CF32C9"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449.33</w:t>
            </w:r>
          </w:p>
        </w:tc>
        <w:tc>
          <w:tcPr>
            <w:tcW w:w="850" w:type="dxa"/>
          </w:tcPr>
          <w:p w14:paraId="64DC3AD5"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92.99</w:t>
            </w:r>
          </w:p>
        </w:tc>
      </w:tr>
      <w:tr w:rsidR="00B50234" w:rsidRPr="00B848F3" w14:paraId="10965263" w14:textId="77777777" w:rsidTr="006603F9">
        <w:tc>
          <w:tcPr>
            <w:tcW w:w="0" w:type="auto"/>
          </w:tcPr>
          <w:p w14:paraId="3290B49F"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FAD</w:t>
            </w:r>
          </w:p>
        </w:tc>
        <w:tc>
          <w:tcPr>
            <w:tcW w:w="1824" w:type="dxa"/>
          </w:tcPr>
          <w:p w14:paraId="746E0ADB" w14:textId="77777777" w:rsidR="00B50234" w:rsidRPr="00B848F3" w:rsidRDefault="00B50234" w:rsidP="006603F9">
            <w:pPr>
              <w:spacing w:after="225"/>
              <w:rPr>
                <w:rFonts w:cstheme="minorHAnsi"/>
                <w:i/>
                <w:iCs/>
                <w:color w:val="000000"/>
                <w:sz w:val="22"/>
                <w:szCs w:val="22"/>
              </w:rPr>
            </w:pPr>
            <w:proofErr w:type="spellStart"/>
            <w:r w:rsidRPr="00B848F3">
              <w:rPr>
                <w:rFonts w:cstheme="minorHAnsi"/>
                <w:i/>
                <w:iCs/>
                <w:color w:val="000000"/>
                <w:sz w:val="22"/>
                <w:szCs w:val="22"/>
              </w:rPr>
              <w:t>Quadrum</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gartneri</w:t>
            </w:r>
            <w:proofErr w:type="spellEnd"/>
          </w:p>
        </w:tc>
        <w:tc>
          <w:tcPr>
            <w:tcW w:w="1555" w:type="dxa"/>
          </w:tcPr>
          <w:p w14:paraId="3CA35E42"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U1516C-30R-2, 95–96 cm</w:t>
            </w:r>
          </w:p>
        </w:tc>
        <w:tc>
          <w:tcPr>
            <w:tcW w:w="851" w:type="dxa"/>
          </w:tcPr>
          <w:p w14:paraId="6263D6A0"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461.68</w:t>
            </w:r>
          </w:p>
        </w:tc>
        <w:tc>
          <w:tcPr>
            <w:tcW w:w="1555" w:type="dxa"/>
          </w:tcPr>
          <w:p w14:paraId="2B2DB15C"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U1516C-30R-2, 134–137 cm</w:t>
            </w:r>
          </w:p>
        </w:tc>
        <w:tc>
          <w:tcPr>
            <w:tcW w:w="991" w:type="dxa"/>
          </w:tcPr>
          <w:p w14:paraId="12F9EC38"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462.06</w:t>
            </w:r>
          </w:p>
        </w:tc>
        <w:tc>
          <w:tcPr>
            <w:tcW w:w="850" w:type="dxa"/>
          </w:tcPr>
          <w:p w14:paraId="18E7D2FF"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93.55</w:t>
            </w:r>
          </w:p>
        </w:tc>
      </w:tr>
      <w:tr w:rsidR="00B50234" w:rsidRPr="00B848F3" w14:paraId="7495ABA1" w14:textId="77777777" w:rsidTr="006603F9">
        <w:tc>
          <w:tcPr>
            <w:tcW w:w="0" w:type="auto"/>
            <w:hideMark/>
          </w:tcPr>
          <w:p w14:paraId="71E359F5"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FAD</w:t>
            </w:r>
          </w:p>
        </w:tc>
        <w:tc>
          <w:tcPr>
            <w:tcW w:w="1824" w:type="dxa"/>
            <w:hideMark/>
          </w:tcPr>
          <w:p w14:paraId="39FEFC79" w14:textId="77777777" w:rsidR="00B50234" w:rsidRPr="00B848F3" w:rsidRDefault="00B50234" w:rsidP="006603F9">
            <w:pPr>
              <w:spacing w:after="225"/>
              <w:rPr>
                <w:rFonts w:cstheme="minorHAnsi"/>
                <w:color w:val="000000"/>
                <w:sz w:val="22"/>
                <w:szCs w:val="22"/>
              </w:rPr>
            </w:pPr>
            <w:proofErr w:type="spellStart"/>
            <w:r w:rsidRPr="00B848F3">
              <w:rPr>
                <w:rFonts w:cstheme="minorHAnsi"/>
                <w:i/>
                <w:iCs/>
                <w:color w:val="000000"/>
                <w:sz w:val="22"/>
                <w:szCs w:val="22"/>
              </w:rPr>
              <w:t>Eprolithus</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moratus</w:t>
            </w:r>
            <w:proofErr w:type="spellEnd"/>
          </w:p>
        </w:tc>
        <w:tc>
          <w:tcPr>
            <w:tcW w:w="1555" w:type="dxa"/>
            <w:hideMark/>
          </w:tcPr>
          <w:p w14:paraId="06287A2A"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U1516C-30R-3, 71–75 cm</w:t>
            </w:r>
          </w:p>
        </w:tc>
        <w:tc>
          <w:tcPr>
            <w:tcW w:w="851" w:type="dxa"/>
            <w:hideMark/>
          </w:tcPr>
          <w:p w14:paraId="59E34651"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462.92</w:t>
            </w:r>
          </w:p>
        </w:tc>
        <w:tc>
          <w:tcPr>
            <w:tcW w:w="1555" w:type="dxa"/>
            <w:hideMark/>
          </w:tcPr>
          <w:p w14:paraId="7F0D7FF1"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U1516C-30R-3, 131–133 cm</w:t>
            </w:r>
          </w:p>
        </w:tc>
        <w:tc>
          <w:tcPr>
            <w:tcW w:w="991" w:type="dxa"/>
            <w:hideMark/>
          </w:tcPr>
          <w:p w14:paraId="43F23DAE"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463.48</w:t>
            </w:r>
          </w:p>
        </w:tc>
        <w:tc>
          <w:tcPr>
            <w:tcW w:w="850" w:type="dxa"/>
            <w:hideMark/>
          </w:tcPr>
          <w:p w14:paraId="3F35233D"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93.73</w:t>
            </w:r>
          </w:p>
        </w:tc>
      </w:tr>
      <w:tr w:rsidR="00B50234" w:rsidRPr="00B848F3" w14:paraId="13A504B9" w14:textId="77777777" w:rsidTr="006603F9">
        <w:tc>
          <w:tcPr>
            <w:tcW w:w="0" w:type="auto"/>
            <w:hideMark/>
          </w:tcPr>
          <w:p w14:paraId="2CE642D7"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FAD</w:t>
            </w:r>
          </w:p>
        </w:tc>
        <w:tc>
          <w:tcPr>
            <w:tcW w:w="1824" w:type="dxa"/>
            <w:hideMark/>
          </w:tcPr>
          <w:p w14:paraId="189EF59E" w14:textId="77777777" w:rsidR="00B50234" w:rsidRPr="00B848F3" w:rsidRDefault="00B50234" w:rsidP="006603F9">
            <w:pPr>
              <w:spacing w:after="225"/>
              <w:rPr>
                <w:rFonts w:cstheme="minorHAnsi"/>
                <w:color w:val="000000"/>
                <w:sz w:val="22"/>
                <w:szCs w:val="22"/>
              </w:rPr>
            </w:pPr>
            <w:proofErr w:type="spellStart"/>
            <w:r w:rsidRPr="00B848F3">
              <w:rPr>
                <w:rFonts w:cstheme="minorHAnsi"/>
                <w:i/>
                <w:iCs/>
                <w:color w:val="000000"/>
                <w:sz w:val="22"/>
                <w:szCs w:val="22"/>
              </w:rPr>
              <w:t>Eprolithus</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octopetalus</w:t>
            </w:r>
            <w:proofErr w:type="spellEnd"/>
          </w:p>
        </w:tc>
        <w:tc>
          <w:tcPr>
            <w:tcW w:w="1555" w:type="dxa"/>
            <w:hideMark/>
          </w:tcPr>
          <w:p w14:paraId="25417B21"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U1516C-31R-2, 8–11 cm</w:t>
            </w:r>
          </w:p>
        </w:tc>
        <w:tc>
          <w:tcPr>
            <w:tcW w:w="851" w:type="dxa"/>
            <w:hideMark/>
          </w:tcPr>
          <w:p w14:paraId="5C1D5476"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465.79</w:t>
            </w:r>
          </w:p>
        </w:tc>
        <w:tc>
          <w:tcPr>
            <w:tcW w:w="1555" w:type="dxa"/>
            <w:hideMark/>
          </w:tcPr>
          <w:p w14:paraId="6C3E2AE6"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U1516C-31R-2, 97–100 cm</w:t>
            </w:r>
          </w:p>
        </w:tc>
        <w:tc>
          <w:tcPr>
            <w:tcW w:w="991" w:type="dxa"/>
            <w:hideMark/>
          </w:tcPr>
          <w:p w14:paraId="2800B94F"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466.68</w:t>
            </w:r>
          </w:p>
        </w:tc>
        <w:tc>
          <w:tcPr>
            <w:tcW w:w="850" w:type="dxa"/>
            <w:hideMark/>
          </w:tcPr>
          <w:p w14:paraId="3ED1DA00"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93.80</w:t>
            </w:r>
          </w:p>
        </w:tc>
      </w:tr>
      <w:tr w:rsidR="00B50234" w:rsidRPr="00B848F3" w14:paraId="271A57EC" w14:textId="77777777" w:rsidTr="006603F9">
        <w:tc>
          <w:tcPr>
            <w:tcW w:w="0" w:type="auto"/>
            <w:hideMark/>
          </w:tcPr>
          <w:p w14:paraId="3CB2F510"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LAD</w:t>
            </w:r>
          </w:p>
        </w:tc>
        <w:tc>
          <w:tcPr>
            <w:tcW w:w="1824" w:type="dxa"/>
            <w:hideMark/>
          </w:tcPr>
          <w:p w14:paraId="38704812" w14:textId="77777777" w:rsidR="00B50234" w:rsidRPr="00B848F3" w:rsidRDefault="00B50234" w:rsidP="006603F9">
            <w:pPr>
              <w:spacing w:after="225"/>
              <w:rPr>
                <w:rFonts w:cstheme="minorHAnsi"/>
                <w:color w:val="000000"/>
                <w:sz w:val="22"/>
                <w:szCs w:val="22"/>
              </w:rPr>
            </w:pPr>
            <w:proofErr w:type="spellStart"/>
            <w:r w:rsidRPr="00B848F3">
              <w:rPr>
                <w:rFonts w:cstheme="minorHAnsi"/>
                <w:i/>
                <w:iCs/>
                <w:color w:val="000000"/>
                <w:sz w:val="22"/>
                <w:szCs w:val="22"/>
              </w:rPr>
              <w:t>Helenea</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chiastia</w:t>
            </w:r>
            <w:proofErr w:type="spellEnd"/>
          </w:p>
        </w:tc>
        <w:tc>
          <w:tcPr>
            <w:tcW w:w="1555" w:type="dxa"/>
            <w:hideMark/>
          </w:tcPr>
          <w:p w14:paraId="4689AB89"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U1516C-31R-2, 8–11 cm</w:t>
            </w:r>
          </w:p>
        </w:tc>
        <w:tc>
          <w:tcPr>
            <w:tcW w:w="851" w:type="dxa"/>
            <w:hideMark/>
          </w:tcPr>
          <w:p w14:paraId="2A868E2C"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465.79</w:t>
            </w:r>
          </w:p>
        </w:tc>
        <w:tc>
          <w:tcPr>
            <w:tcW w:w="1555" w:type="dxa"/>
            <w:hideMark/>
          </w:tcPr>
          <w:p w14:paraId="0708FAF1"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U1516C-32R-1, 97–100 cm</w:t>
            </w:r>
          </w:p>
        </w:tc>
        <w:tc>
          <w:tcPr>
            <w:tcW w:w="991" w:type="dxa"/>
            <w:hideMark/>
          </w:tcPr>
          <w:p w14:paraId="7E8F9191"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470.89</w:t>
            </w:r>
          </w:p>
        </w:tc>
        <w:tc>
          <w:tcPr>
            <w:tcW w:w="850" w:type="dxa"/>
            <w:hideMark/>
          </w:tcPr>
          <w:p w14:paraId="64D05359"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93.90</w:t>
            </w:r>
          </w:p>
        </w:tc>
      </w:tr>
      <w:tr w:rsidR="00B50234" w:rsidRPr="00B848F3" w14:paraId="5515B113" w14:textId="77777777" w:rsidTr="006603F9">
        <w:tc>
          <w:tcPr>
            <w:tcW w:w="0" w:type="auto"/>
            <w:hideMark/>
          </w:tcPr>
          <w:p w14:paraId="38ABC35D"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LAD</w:t>
            </w:r>
          </w:p>
        </w:tc>
        <w:tc>
          <w:tcPr>
            <w:tcW w:w="1824" w:type="dxa"/>
            <w:hideMark/>
          </w:tcPr>
          <w:p w14:paraId="30729D54" w14:textId="77777777" w:rsidR="00B50234" w:rsidRPr="00B848F3" w:rsidRDefault="00B50234" w:rsidP="006603F9">
            <w:pPr>
              <w:spacing w:after="225"/>
              <w:rPr>
                <w:rFonts w:cstheme="minorHAnsi"/>
                <w:color w:val="000000"/>
                <w:sz w:val="22"/>
                <w:szCs w:val="22"/>
              </w:rPr>
            </w:pPr>
            <w:proofErr w:type="spellStart"/>
            <w:r w:rsidRPr="00B848F3">
              <w:rPr>
                <w:rFonts w:cstheme="minorHAnsi"/>
                <w:i/>
                <w:iCs/>
                <w:color w:val="000000"/>
                <w:sz w:val="22"/>
                <w:szCs w:val="22"/>
              </w:rPr>
              <w:t>Axopodorhabdus</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biramiculatus</w:t>
            </w:r>
            <w:proofErr w:type="spellEnd"/>
          </w:p>
        </w:tc>
        <w:tc>
          <w:tcPr>
            <w:tcW w:w="1555" w:type="dxa"/>
            <w:hideMark/>
          </w:tcPr>
          <w:p w14:paraId="380A717D"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U1516C-32R-1, 131–134 cm</w:t>
            </w:r>
          </w:p>
        </w:tc>
        <w:tc>
          <w:tcPr>
            <w:tcW w:w="851" w:type="dxa"/>
            <w:hideMark/>
          </w:tcPr>
          <w:p w14:paraId="03B09750"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471.24</w:t>
            </w:r>
          </w:p>
        </w:tc>
        <w:tc>
          <w:tcPr>
            <w:tcW w:w="1555" w:type="dxa"/>
            <w:hideMark/>
          </w:tcPr>
          <w:p w14:paraId="28A995CE"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U1516C-32R-2, 4–7 cm</w:t>
            </w:r>
          </w:p>
        </w:tc>
        <w:tc>
          <w:tcPr>
            <w:tcW w:w="991" w:type="dxa"/>
            <w:hideMark/>
          </w:tcPr>
          <w:p w14:paraId="0CE4CD17"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471.48</w:t>
            </w:r>
          </w:p>
        </w:tc>
        <w:tc>
          <w:tcPr>
            <w:tcW w:w="850" w:type="dxa"/>
            <w:hideMark/>
          </w:tcPr>
          <w:p w14:paraId="409CA93F"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94.20</w:t>
            </w:r>
          </w:p>
        </w:tc>
      </w:tr>
      <w:tr w:rsidR="00B50234" w:rsidRPr="00B848F3" w14:paraId="112560C4" w14:textId="77777777" w:rsidTr="006603F9">
        <w:tc>
          <w:tcPr>
            <w:tcW w:w="0" w:type="auto"/>
            <w:hideMark/>
          </w:tcPr>
          <w:p w14:paraId="3C3701EA"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LAD</w:t>
            </w:r>
          </w:p>
        </w:tc>
        <w:tc>
          <w:tcPr>
            <w:tcW w:w="1824" w:type="dxa"/>
            <w:hideMark/>
          </w:tcPr>
          <w:p w14:paraId="255149F2" w14:textId="77777777" w:rsidR="00B50234" w:rsidRPr="00B848F3" w:rsidRDefault="00B50234" w:rsidP="006603F9">
            <w:pPr>
              <w:spacing w:after="225"/>
              <w:rPr>
                <w:rFonts w:cstheme="minorHAnsi"/>
                <w:color w:val="000000"/>
                <w:sz w:val="22"/>
                <w:szCs w:val="22"/>
              </w:rPr>
            </w:pPr>
            <w:proofErr w:type="spellStart"/>
            <w:r w:rsidRPr="00B848F3">
              <w:rPr>
                <w:rFonts w:cstheme="minorHAnsi"/>
                <w:i/>
                <w:iCs/>
                <w:color w:val="000000"/>
                <w:sz w:val="22"/>
                <w:szCs w:val="22"/>
              </w:rPr>
              <w:t>Lithraphidites</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acutus</w:t>
            </w:r>
            <w:proofErr w:type="spellEnd"/>
          </w:p>
        </w:tc>
        <w:tc>
          <w:tcPr>
            <w:tcW w:w="1555" w:type="dxa"/>
            <w:hideMark/>
          </w:tcPr>
          <w:p w14:paraId="3A8E9DE2"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U1516C-32R-3, 111–113 cm</w:t>
            </w:r>
          </w:p>
        </w:tc>
        <w:tc>
          <w:tcPr>
            <w:tcW w:w="851" w:type="dxa"/>
            <w:hideMark/>
          </w:tcPr>
          <w:p w14:paraId="0C4BC032"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474.05</w:t>
            </w:r>
          </w:p>
        </w:tc>
        <w:tc>
          <w:tcPr>
            <w:tcW w:w="1555" w:type="dxa"/>
            <w:hideMark/>
          </w:tcPr>
          <w:p w14:paraId="5118F084"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U1516C-32R-CC, 1–5 cm</w:t>
            </w:r>
          </w:p>
        </w:tc>
        <w:tc>
          <w:tcPr>
            <w:tcW w:w="991" w:type="dxa"/>
            <w:hideMark/>
          </w:tcPr>
          <w:p w14:paraId="44CFD431"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474.12</w:t>
            </w:r>
          </w:p>
        </w:tc>
        <w:tc>
          <w:tcPr>
            <w:tcW w:w="850" w:type="dxa"/>
            <w:hideMark/>
          </w:tcPr>
          <w:p w14:paraId="740C2647"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94.40</w:t>
            </w:r>
          </w:p>
        </w:tc>
      </w:tr>
      <w:tr w:rsidR="00B50234" w:rsidRPr="00B848F3" w14:paraId="3906D538" w14:textId="77777777" w:rsidTr="006603F9">
        <w:tc>
          <w:tcPr>
            <w:tcW w:w="0" w:type="auto"/>
            <w:hideMark/>
          </w:tcPr>
          <w:p w14:paraId="61FDF320"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LAD</w:t>
            </w:r>
          </w:p>
        </w:tc>
        <w:tc>
          <w:tcPr>
            <w:tcW w:w="1824" w:type="dxa"/>
            <w:hideMark/>
          </w:tcPr>
          <w:p w14:paraId="66650E1B" w14:textId="77777777" w:rsidR="00B50234" w:rsidRPr="00B848F3" w:rsidRDefault="00B50234" w:rsidP="006603F9">
            <w:pPr>
              <w:spacing w:after="225"/>
              <w:rPr>
                <w:rFonts w:cstheme="minorHAnsi"/>
                <w:color w:val="000000"/>
                <w:sz w:val="22"/>
                <w:szCs w:val="22"/>
              </w:rPr>
            </w:pPr>
            <w:proofErr w:type="spellStart"/>
            <w:r w:rsidRPr="00B848F3">
              <w:rPr>
                <w:rFonts w:cstheme="minorHAnsi"/>
                <w:i/>
                <w:iCs/>
                <w:color w:val="000000"/>
                <w:sz w:val="22"/>
                <w:szCs w:val="22"/>
              </w:rPr>
              <w:t>Gartnerago</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nanum</w:t>
            </w:r>
            <w:proofErr w:type="spellEnd"/>
          </w:p>
        </w:tc>
        <w:tc>
          <w:tcPr>
            <w:tcW w:w="1555" w:type="dxa"/>
            <w:hideMark/>
          </w:tcPr>
          <w:p w14:paraId="4DDB08D6"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U1516C-33R-5, 3–7 cm</w:t>
            </w:r>
          </w:p>
        </w:tc>
        <w:tc>
          <w:tcPr>
            <w:tcW w:w="851" w:type="dxa"/>
            <w:hideMark/>
          </w:tcPr>
          <w:p w14:paraId="66EECA37"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479.29</w:t>
            </w:r>
          </w:p>
        </w:tc>
        <w:tc>
          <w:tcPr>
            <w:tcW w:w="1555" w:type="dxa"/>
            <w:hideMark/>
          </w:tcPr>
          <w:p w14:paraId="71D07CF7"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U1516C-33R-CC, 1–5 cm</w:t>
            </w:r>
          </w:p>
        </w:tc>
        <w:tc>
          <w:tcPr>
            <w:tcW w:w="991" w:type="dxa"/>
            <w:hideMark/>
          </w:tcPr>
          <w:p w14:paraId="6656F987"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480.07</w:t>
            </w:r>
          </w:p>
        </w:tc>
        <w:tc>
          <w:tcPr>
            <w:tcW w:w="850" w:type="dxa"/>
            <w:hideMark/>
          </w:tcPr>
          <w:p w14:paraId="31AF9C2A"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94.79</w:t>
            </w:r>
          </w:p>
        </w:tc>
      </w:tr>
      <w:tr w:rsidR="00B50234" w:rsidRPr="00B848F3" w14:paraId="07005C70" w14:textId="77777777" w:rsidTr="006603F9">
        <w:tc>
          <w:tcPr>
            <w:tcW w:w="0" w:type="auto"/>
            <w:hideMark/>
          </w:tcPr>
          <w:p w14:paraId="562E96A4" w14:textId="77777777" w:rsidR="00B50234" w:rsidRPr="00B848F3" w:rsidRDefault="00B50234" w:rsidP="006603F9">
            <w:pPr>
              <w:spacing w:after="225"/>
              <w:rPr>
                <w:rFonts w:cstheme="minorHAnsi"/>
                <w:color w:val="000000"/>
                <w:sz w:val="22"/>
                <w:szCs w:val="22"/>
              </w:rPr>
            </w:pPr>
            <w:r w:rsidRPr="00B848F3">
              <w:rPr>
                <w:rFonts w:cstheme="minorHAnsi"/>
                <w:color w:val="000000"/>
                <w:sz w:val="22"/>
                <w:szCs w:val="22"/>
              </w:rPr>
              <w:t>FAD</w:t>
            </w:r>
          </w:p>
        </w:tc>
        <w:tc>
          <w:tcPr>
            <w:tcW w:w="1824" w:type="dxa"/>
            <w:hideMark/>
          </w:tcPr>
          <w:p w14:paraId="5455EE7D" w14:textId="77777777" w:rsidR="00B50234" w:rsidRPr="00B848F3" w:rsidRDefault="00B50234" w:rsidP="006603F9">
            <w:pPr>
              <w:spacing w:after="225"/>
              <w:rPr>
                <w:rFonts w:cstheme="minorHAnsi"/>
                <w:color w:val="000000"/>
                <w:sz w:val="22"/>
                <w:szCs w:val="22"/>
              </w:rPr>
            </w:pPr>
            <w:proofErr w:type="spellStart"/>
            <w:r w:rsidRPr="00B848F3">
              <w:rPr>
                <w:rFonts w:cstheme="minorHAnsi"/>
                <w:i/>
                <w:iCs/>
                <w:color w:val="000000"/>
                <w:sz w:val="22"/>
                <w:szCs w:val="22"/>
              </w:rPr>
              <w:t>Lithraphidites</w:t>
            </w:r>
            <w:proofErr w:type="spellEnd"/>
            <w:r w:rsidRPr="00B848F3">
              <w:rPr>
                <w:rFonts w:cstheme="minorHAnsi"/>
                <w:i/>
                <w:iCs/>
                <w:color w:val="000000"/>
                <w:sz w:val="22"/>
                <w:szCs w:val="22"/>
              </w:rPr>
              <w:t xml:space="preserve"> </w:t>
            </w:r>
            <w:proofErr w:type="spellStart"/>
            <w:r w:rsidRPr="00B848F3">
              <w:rPr>
                <w:rFonts w:cstheme="minorHAnsi"/>
                <w:i/>
                <w:iCs/>
                <w:color w:val="000000"/>
                <w:sz w:val="22"/>
                <w:szCs w:val="22"/>
              </w:rPr>
              <w:t>acutus</w:t>
            </w:r>
            <w:proofErr w:type="spellEnd"/>
          </w:p>
        </w:tc>
        <w:tc>
          <w:tcPr>
            <w:tcW w:w="1555" w:type="dxa"/>
            <w:hideMark/>
          </w:tcPr>
          <w:p w14:paraId="7FAB143D"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U1516C-34R-4, 6–8 cm</w:t>
            </w:r>
          </w:p>
        </w:tc>
        <w:tc>
          <w:tcPr>
            <w:tcW w:w="851" w:type="dxa"/>
            <w:hideMark/>
          </w:tcPr>
          <w:p w14:paraId="61345867"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484.29</w:t>
            </w:r>
          </w:p>
        </w:tc>
        <w:tc>
          <w:tcPr>
            <w:tcW w:w="1555" w:type="dxa"/>
            <w:hideMark/>
          </w:tcPr>
          <w:p w14:paraId="30304528"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U1516C-35R-1, 87–90 cm</w:t>
            </w:r>
          </w:p>
        </w:tc>
        <w:tc>
          <w:tcPr>
            <w:tcW w:w="991" w:type="dxa"/>
            <w:hideMark/>
          </w:tcPr>
          <w:p w14:paraId="46D9CBEC"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485.76</w:t>
            </w:r>
          </w:p>
        </w:tc>
        <w:tc>
          <w:tcPr>
            <w:tcW w:w="850" w:type="dxa"/>
            <w:hideMark/>
          </w:tcPr>
          <w:p w14:paraId="2C710603" w14:textId="77777777" w:rsidR="00B50234" w:rsidRPr="00B848F3" w:rsidRDefault="00B50234" w:rsidP="006603F9">
            <w:pPr>
              <w:spacing w:after="225"/>
              <w:jc w:val="center"/>
              <w:rPr>
                <w:rFonts w:cstheme="minorHAnsi"/>
                <w:color w:val="000000"/>
                <w:sz w:val="22"/>
                <w:szCs w:val="22"/>
              </w:rPr>
            </w:pPr>
            <w:r w:rsidRPr="00B848F3">
              <w:rPr>
                <w:rFonts w:cstheme="minorHAnsi"/>
                <w:color w:val="000000"/>
                <w:sz w:val="22"/>
                <w:szCs w:val="22"/>
              </w:rPr>
              <w:t>96.16</w:t>
            </w:r>
          </w:p>
        </w:tc>
      </w:tr>
    </w:tbl>
    <w:p w14:paraId="33E6E2C5" w14:textId="77777777" w:rsidR="00B50234" w:rsidRPr="00764800" w:rsidRDefault="00B50234" w:rsidP="00B50234">
      <w:pPr>
        <w:spacing w:line="276" w:lineRule="auto"/>
        <w:rPr>
          <w:b/>
          <w:bCs/>
          <w:color w:val="000000"/>
        </w:rPr>
      </w:pPr>
    </w:p>
    <w:p w14:paraId="3B966E3E" w14:textId="77777777" w:rsidR="00B50234" w:rsidRDefault="00B50234" w:rsidP="00B50234">
      <w:pPr>
        <w:rPr>
          <w:b/>
          <w:bCs/>
          <w:color w:val="000000"/>
        </w:rPr>
      </w:pPr>
      <w:r>
        <w:rPr>
          <w:b/>
          <w:bCs/>
          <w:color w:val="000000"/>
        </w:rPr>
        <w:br w:type="page"/>
      </w:r>
    </w:p>
    <w:p w14:paraId="15100FBA" w14:textId="77777777" w:rsidR="00B50234" w:rsidRPr="00764800" w:rsidRDefault="00B50234" w:rsidP="00B50234">
      <w:pPr>
        <w:spacing w:line="276" w:lineRule="auto"/>
        <w:rPr>
          <w:b/>
          <w:bCs/>
          <w:color w:val="000000"/>
        </w:rPr>
      </w:pPr>
    </w:p>
    <w:p w14:paraId="243805D3" w14:textId="51559FFA" w:rsidR="00B50234" w:rsidRPr="00B848F3" w:rsidRDefault="00B50234" w:rsidP="00B50234">
      <w:pPr>
        <w:spacing w:line="276" w:lineRule="auto"/>
        <w:rPr>
          <w:color w:val="000000"/>
          <w:sz w:val="22"/>
          <w:szCs w:val="22"/>
        </w:rPr>
      </w:pPr>
      <w:r w:rsidRPr="00B848F3">
        <w:rPr>
          <w:b/>
          <w:bCs/>
          <w:color w:val="000000"/>
          <w:sz w:val="22"/>
          <w:szCs w:val="22"/>
        </w:rPr>
        <w:t>Supplementary Table 2.</w:t>
      </w:r>
      <w:r w:rsidRPr="00B848F3">
        <w:rPr>
          <w:color w:val="000000"/>
          <w:sz w:val="22"/>
          <w:szCs w:val="22"/>
        </w:rPr>
        <w:t xml:space="preserve"> Planktic foraminifera and calcareous nannofossil </w:t>
      </w:r>
      <w:proofErr w:type="spellStart"/>
      <w:r w:rsidRPr="00B848F3">
        <w:rPr>
          <w:color w:val="000000"/>
          <w:sz w:val="22"/>
          <w:szCs w:val="22"/>
        </w:rPr>
        <w:t>bioevents</w:t>
      </w:r>
      <w:proofErr w:type="spellEnd"/>
      <w:r w:rsidRPr="00B848F3">
        <w:rPr>
          <w:color w:val="000000"/>
          <w:sz w:val="22"/>
          <w:szCs w:val="22"/>
        </w:rPr>
        <w:t xml:space="preserve"> at Site U1513. The same abbreviations are used as in Supplementary Table 1.</w:t>
      </w:r>
      <w:r w:rsidRPr="00B848F3">
        <w:rPr>
          <w:color w:val="000000"/>
          <w:sz w:val="22"/>
          <w:szCs w:val="22"/>
        </w:rPr>
        <w:fldChar w:fldCharType="begin" w:fldLock="1"/>
      </w:r>
      <w:r w:rsidR="005E4CCD">
        <w:rPr>
          <w:color w:val="000000"/>
          <w:sz w:val="22"/>
          <w:szCs w:val="22"/>
        </w:rPr>
        <w:instrText>ADDIN CSL_CITATION {"citationItems":[{"id":"ITEM-1","itemData":{"DOI":"10.1029/2022PA004474","ISSN":"2572-4525","author":[{"dropping-particle":"","family":"Petrizzo","given":"Maria Rose","non-dropping-particle":"","parse-names":false,"suffix":""},{"dropping-particle":"","family":"Amaglio","given":"Giulia","non-dropping-particle":"","parse-names":false,"suffix":""},{"dropping-particle":"","family":"Watkins","given":"David K.","non-dropping-particle":"","parse-names":false,"suffix":""},{"dropping-particle":"","family":"MacLeod","given":"Kenneth G.","non-dropping-particle":"","parse-names":false,"suffix":""},{"dropping-particle":"","family":"Huber","given":"Brian T.","non-dropping-particle":"","parse-names":false,"suffix":""},{"dropping-particle":"","family":"Hasegawa","given":"Takashi","non-dropping-particle":"","parse-names":false,"suffix":""},{"dropping-particle":"","family":"Wolfgring","given":"Erik","non-dropping-particle":"","parse-names":false,"suffix":""}],"container-title":"Paleoceanography and Paleoclimatology","id":"ITEM-1","issue":"9","issued":{"date-parts":[["2022","9","1"]]},"page":"e2022PA004474","publisher":"John Wiley &amp; Sons, Ltd","title":"Biotic and Paleoceanographic Changes Across the Late Cretaceous Oceanic Anoxic Event 2 in the Southern High Latitudes (IODP Sites U1513 and U1516, SE Indian Ocean)","type":"article-journal","volume":"37"},"uris":["http://www.mendeley.com/documents/?uuid=51fad3ef-87c5-35af-9c05-72016719ab23"]}],"mendeley":{"formattedCitation":"&lt;sup&gt;7&lt;/sup&gt;","plainTextFormattedCitation":"7","previouslyFormattedCitation":"&lt;sup&gt;7&lt;/sup&gt;"},"properties":{"noteIndex":0},"schema":"https://github.com/citation-style-language/schema/raw/master/csl-citation.json"}</w:instrText>
      </w:r>
      <w:r w:rsidRPr="00B848F3">
        <w:rPr>
          <w:color w:val="000000"/>
          <w:sz w:val="22"/>
          <w:szCs w:val="22"/>
        </w:rPr>
        <w:fldChar w:fldCharType="separate"/>
      </w:r>
      <w:r w:rsidRPr="00B50234">
        <w:rPr>
          <w:noProof/>
          <w:color w:val="000000"/>
          <w:sz w:val="22"/>
          <w:szCs w:val="22"/>
          <w:vertAlign w:val="superscript"/>
        </w:rPr>
        <w:t>7</w:t>
      </w:r>
      <w:r w:rsidRPr="00B848F3">
        <w:rPr>
          <w:color w:val="000000"/>
          <w:sz w:val="22"/>
          <w:szCs w:val="22"/>
        </w:rPr>
        <w:fldChar w:fldCharType="end"/>
      </w:r>
    </w:p>
    <w:tbl>
      <w:tblPr>
        <w:tblStyle w:val="TableGridLight1"/>
        <w:tblW w:w="8216" w:type="dxa"/>
        <w:tblLayout w:type="fixed"/>
        <w:tblLook w:val="04A0" w:firstRow="1" w:lastRow="0" w:firstColumn="1" w:lastColumn="0" w:noHBand="0" w:noVBand="1"/>
      </w:tblPr>
      <w:tblGrid>
        <w:gridCol w:w="580"/>
        <w:gridCol w:w="1825"/>
        <w:gridCol w:w="1559"/>
        <w:gridCol w:w="851"/>
        <w:gridCol w:w="1559"/>
        <w:gridCol w:w="992"/>
        <w:gridCol w:w="850"/>
      </w:tblGrid>
      <w:tr w:rsidR="00B50234" w:rsidRPr="00B848F3" w14:paraId="2D37599F" w14:textId="77777777" w:rsidTr="006603F9">
        <w:tc>
          <w:tcPr>
            <w:tcW w:w="2405" w:type="dxa"/>
            <w:gridSpan w:val="2"/>
            <w:hideMark/>
          </w:tcPr>
          <w:p w14:paraId="14442C6C" w14:textId="77777777" w:rsidR="00B50234" w:rsidRPr="00B848F3" w:rsidRDefault="00B50234" w:rsidP="006603F9">
            <w:pPr>
              <w:spacing w:after="225"/>
              <w:rPr>
                <w:rFonts w:asciiTheme="minorHAnsi" w:hAnsiTheme="minorHAnsi" w:cstheme="minorHAnsi"/>
                <w:b/>
                <w:bCs/>
                <w:color w:val="000000"/>
                <w:sz w:val="22"/>
                <w:szCs w:val="22"/>
              </w:rPr>
            </w:pPr>
            <w:r w:rsidRPr="00B848F3">
              <w:rPr>
                <w:rFonts w:asciiTheme="minorHAnsi" w:hAnsiTheme="minorHAnsi" w:cstheme="minorHAnsi"/>
                <w:b/>
                <w:bCs/>
                <w:color w:val="000000"/>
                <w:sz w:val="22"/>
                <w:szCs w:val="22"/>
              </w:rPr>
              <w:t>Event</w:t>
            </w:r>
          </w:p>
        </w:tc>
        <w:tc>
          <w:tcPr>
            <w:tcW w:w="1559" w:type="dxa"/>
            <w:hideMark/>
          </w:tcPr>
          <w:p w14:paraId="1668EAA0" w14:textId="77777777" w:rsidR="00B50234" w:rsidRPr="00B848F3" w:rsidRDefault="00B50234" w:rsidP="006603F9">
            <w:pPr>
              <w:spacing w:after="225"/>
              <w:jc w:val="center"/>
              <w:rPr>
                <w:rFonts w:asciiTheme="minorHAnsi" w:hAnsiTheme="minorHAnsi" w:cstheme="minorHAnsi"/>
                <w:b/>
                <w:bCs/>
                <w:color w:val="000000"/>
                <w:sz w:val="22"/>
                <w:szCs w:val="22"/>
              </w:rPr>
            </w:pPr>
            <w:r w:rsidRPr="00B848F3">
              <w:rPr>
                <w:rFonts w:asciiTheme="minorHAnsi" w:hAnsiTheme="minorHAnsi" w:cstheme="minorHAnsi"/>
                <w:b/>
                <w:bCs/>
                <w:color w:val="000000"/>
                <w:sz w:val="22"/>
                <w:szCs w:val="22"/>
              </w:rPr>
              <w:t>Sample Top</w:t>
            </w:r>
          </w:p>
        </w:tc>
        <w:tc>
          <w:tcPr>
            <w:tcW w:w="851" w:type="dxa"/>
            <w:hideMark/>
          </w:tcPr>
          <w:p w14:paraId="51FDC93A" w14:textId="77777777" w:rsidR="00B50234" w:rsidRPr="00B848F3" w:rsidRDefault="00B50234" w:rsidP="006603F9">
            <w:pPr>
              <w:spacing w:after="225"/>
              <w:jc w:val="center"/>
              <w:rPr>
                <w:rFonts w:asciiTheme="minorHAnsi" w:hAnsiTheme="minorHAnsi" w:cstheme="minorHAnsi"/>
                <w:b/>
                <w:bCs/>
                <w:color w:val="000000"/>
                <w:sz w:val="22"/>
                <w:szCs w:val="22"/>
              </w:rPr>
            </w:pPr>
            <w:r w:rsidRPr="00B848F3">
              <w:rPr>
                <w:rFonts w:asciiTheme="minorHAnsi" w:hAnsiTheme="minorHAnsi" w:cstheme="minorHAnsi"/>
                <w:b/>
                <w:bCs/>
                <w:color w:val="000000"/>
                <w:sz w:val="22"/>
                <w:szCs w:val="22"/>
              </w:rPr>
              <w:t xml:space="preserve">Top m </w:t>
            </w:r>
            <w:proofErr w:type="spellStart"/>
            <w:r w:rsidRPr="00B848F3">
              <w:rPr>
                <w:rFonts w:asciiTheme="minorHAnsi" w:hAnsiTheme="minorHAnsi" w:cstheme="minorHAnsi"/>
                <w:b/>
                <w:bCs/>
                <w:color w:val="000000"/>
                <w:sz w:val="22"/>
                <w:szCs w:val="22"/>
              </w:rPr>
              <w:t>rCCSF</w:t>
            </w:r>
            <w:proofErr w:type="spellEnd"/>
          </w:p>
        </w:tc>
        <w:tc>
          <w:tcPr>
            <w:tcW w:w="1559" w:type="dxa"/>
            <w:hideMark/>
          </w:tcPr>
          <w:p w14:paraId="101D8C64" w14:textId="77777777" w:rsidR="00B50234" w:rsidRPr="00B848F3" w:rsidRDefault="00B50234" w:rsidP="006603F9">
            <w:pPr>
              <w:spacing w:after="225"/>
              <w:jc w:val="center"/>
              <w:rPr>
                <w:rFonts w:asciiTheme="minorHAnsi" w:hAnsiTheme="minorHAnsi" w:cstheme="minorHAnsi"/>
                <w:b/>
                <w:bCs/>
                <w:color w:val="000000"/>
                <w:sz w:val="22"/>
                <w:szCs w:val="22"/>
              </w:rPr>
            </w:pPr>
            <w:r w:rsidRPr="00B848F3">
              <w:rPr>
                <w:rFonts w:asciiTheme="minorHAnsi" w:hAnsiTheme="minorHAnsi" w:cstheme="minorHAnsi"/>
                <w:b/>
                <w:bCs/>
                <w:color w:val="000000"/>
                <w:sz w:val="22"/>
                <w:szCs w:val="22"/>
              </w:rPr>
              <w:t>Sample Bottom</w:t>
            </w:r>
          </w:p>
        </w:tc>
        <w:tc>
          <w:tcPr>
            <w:tcW w:w="992" w:type="dxa"/>
            <w:hideMark/>
          </w:tcPr>
          <w:p w14:paraId="589F9565" w14:textId="77777777" w:rsidR="00B50234" w:rsidRPr="00B848F3" w:rsidRDefault="00B50234" w:rsidP="006603F9">
            <w:pPr>
              <w:spacing w:after="225"/>
              <w:jc w:val="center"/>
              <w:rPr>
                <w:rFonts w:asciiTheme="minorHAnsi" w:hAnsiTheme="minorHAnsi" w:cstheme="minorHAnsi"/>
                <w:b/>
                <w:bCs/>
                <w:color w:val="000000"/>
                <w:sz w:val="22"/>
                <w:szCs w:val="22"/>
              </w:rPr>
            </w:pPr>
            <w:r w:rsidRPr="00B848F3">
              <w:rPr>
                <w:rFonts w:asciiTheme="minorHAnsi" w:hAnsiTheme="minorHAnsi" w:cstheme="minorHAnsi"/>
                <w:b/>
                <w:bCs/>
                <w:color w:val="000000"/>
                <w:sz w:val="22"/>
                <w:szCs w:val="22"/>
              </w:rPr>
              <w:t xml:space="preserve">Bottom m </w:t>
            </w:r>
            <w:proofErr w:type="spellStart"/>
            <w:r w:rsidRPr="00B848F3">
              <w:rPr>
                <w:rFonts w:asciiTheme="minorHAnsi" w:hAnsiTheme="minorHAnsi" w:cstheme="minorHAnsi"/>
                <w:b/>
                <w:bCs/>
                <w:color w:val="000000"/>
                <w:sz w:val="22"/>
                <w:szCs w:val="22"/>
              </w:rPr>
              <w:t>rCCSF</w:t>
            </w:r>
            <w:proofErr w:type="spellEnd"/>
          </w:p>
        </w:tc>
        <w:tc>
          <w:tcPr>
            <w:tcW w:w="850" w:type="dxa"/>
            <w:hideMark/>
          </w:tcPr>
          <w:p w14:paraId="7D331EF3" w14:textId="77777777" w:rsidR="00B50234" w:rsidRPr="00B848F3" w:rsidRDefault="00B50234" w:rsidP="006603F9">
            <w:pPr>
              <w:spacing w:after="225"/>
              <w:jc w:val="center"/>
              <w:rPr>
                <w:rFonts w:asciiTheme="minorHAnsi" w:hAnsiTheme="minorHAnsi" w:cstheme="minorHAnsi"/>
                <w:b/>
                <w:bCs/>
                <w:sz w:val="22"/>
                <w:szCs w:val="22"/>
              </w:rPr>
            </w:pPr>
            <w:r w:rsidRPr="00B848F3">
              <w:rPr>
                <w:rFonts w:asciiTheme="minorHAnsi" w:hAnsiTheme="minorHAnsi" w:cstheme="minorHAnsi"/>
                <w:b/>
                <w:bCs/>
                <w:sz w:val="22"/>
                <w:szCs w:val="22"/>
              </w:rPr>
              <w:t>Age</w:t>
            </w:r>
          </w:p>
        </w:tc>
      </w:tr>
      <w:tr w:rsidR="00B50234" w:rsidRPr="00B848F3" w14:paraId="50D45A0A" w14:textId="77777777" w:rsidTr="006603F9">
        <w:tc>
          <w:tcPr>
            <w:tcW w:w="580" w:type="dxa"/>
            <w:hideMark/>
          </w:tcPr>
          <w:p w14:paraId="3F7600A7"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FAD</w:t>
            </w:r>
          </w:p>
        </w:tc>
        <w:tc>
          <w:tcPr>
            <w:tcW w:w="1825" w:type="dxa"/>
            <w:hideMark/>
          </w:tcPr>
          <w:p w14:paraId="2D03E2FB"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Quadrum</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gartneri</w:t>
            </w:r>
            <w:proofErr w:type="spellEnd"/>
          </w:p>
        </w:tc>
        <w:tc>
          <w:tcPr>
            <w:tcW w:w="1559" w:type="dxa"/>
            <w:hideMark/>
          </w:tcPr>
          <w:p w14:paraId="092788A2"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U1513D-15R-CC, 7–12 cm</w:t>
            </w:r>
          </w:p>
        </w:tc>
        <w:tc>
          <w:tcPr>
            <w:tcW w:w="851" w:type="dxa"/>
            <w:hideMark/>
          </w:tcPr>
          <w:p w14:paraId="4CB17356"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227.80</w:t>
            </w:r>
          </w:p>
        </w:tc>
        <w:tc>
          <w:tcPr>
            <w:tcW w:w="1559" w:type="dxa"/>
            <w:hideMark/>
          </w:tcPr>
          <w:p w14:paraId="4EA284D4"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U1513C-41X-CC, 27–30 cm</w:t>
            </w:r>
          </w:p>
        </w:tc>
        <w:tc>
          <w:tcPr>
            <w:tcW w:w="992" w:type="dxa"/>
            <w:hideMark/>
          </w:tcPr>
          <w:p w14:paraId="4BCEAA02"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229.47</w:t>
            </w:r>
          </w:p>
        </w:tc>
        <w:tc>
          <w:tcPr>
            <w:tcW w:w="850" w:type="dxa"/>
            <w:hideMark/>
          </w:tcPr>
          <w:p w14:paraId="525CE545"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93.55</w:t>
            </w:r>
          </w:p>
        </w:tc>
      </w:tr>
      <w:tr w:rsidR="00B50234" w:rsidRPr="00B848F3" w14:paraId="20698DCD" w14:textId="77777777" w:rsidTr="006603F9">
        <w:tc>
          <w:tcPr>
            <w:tcW w:w="580" w:type="dxa"/>
            <w:hideMark/>
          </w:tcPr>
          <w:p w14:paraId="7D8F0087"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FAD</w:t>
            </w:r>
          </w:p>
        </w:tc>
        <w:tc>
          <w:tcPr>
            <w:tcW w:w="1825" w:type="dxa"/>
            <w:hideMark/>
          </w:tcPr>
          <w:p w14:paraId="72144582"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Eprolithus</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moratus</w:t>
            </w:r>
            <w:proofErr w:type="spellEnd"/>
          </w:p>
        </w:tc>
        <w:tc>
          <w:tcPr>
            <w:tcW w:w="1559" w:type="dxa"/>
            <w:hideMark/>
          </w:tcPr>
          <w:p w14:paraId="0EBB7FD8"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U1513D-17R-2, 120–123 cm</w:t>
            </w:r>
          </w:p>
        </w:tc>
        <w:tc>
          <w:tcPr>
            <w:tcW w:w="851" w:type="dxa"/>
            <w:hideMark/>
          </w:tcPr>
          <w:p w14:paraId="4A243F6F"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236.65</w:t>
            </w:r>
          </w:p>
        </w:tc>
        <w:tc>
          <w:tcPr>
            <w:tcW w:w="1559" w:type="dxa"/>
            <w:hideMark/>
          </w:tcPr>
          <w:p w14:paraId="6BA2677A"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U1513C-43X-1, 35–38 cm</w:t>
            </w:r>
          </w:p>
        </w:tc>
        <w:tc>
          <w:tcPr>
            <w:tcW w:w="992" w:type="dxa"/>
            <w:hideMark/>
          </w:tcPr>
          <w:p w14:paraId="5068B193"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237.35</w:t>
            </w:r>
          </w:p>
        </w:tc>
        <w:tc>
          <w:tcPr>
            <w:tcW w:w="850" w:type="dxa"/>
            <w:hideMark/>
          </w:tcPr>
          <w:p w14:paraId="5B7130CA"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93.73</w:t>
            </w:r>
          </w:p>
        </w:tc>
      </w:tr>
      <w:tr w:rsidR="00B50234" w:rsidRPr="00B848F3" w14:paraId="3CCDD023" w14:textId="77777777" w:rsidTr="006603F9">
        <w:tc>
          <w:tcPr>
            <w:tcW w:w="580" w:type="dxa"/>
            <w:hideMark/>
          </w:tcPr>
          <w:p w14:paraId="0C71B1D7"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FAD</w:t>
            </w:r>
          </w:p>
        </w:tc>
        <w:tc>
          <w:tcPr>
            <w:tcW w:w="1825" w:type="dxa"/>
            <w:hideMark/>
          </w:tcPr>
          <w:p w14:paraId="00C039B6"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Eprolithus</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octopetalus</w:t>
            </w:r>
            <w:proofErr w:type="spellEnd"/>
          </w:p>
        </w:tc>
        <w:tc>
          <w:tcPr>
            <w:tcW w:w="1559" w:type="dxa"/>
            <w:hideMark/>
          </w:tcPr>
          <w:p w14:paraId="69729BDC"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U1513D-18R-2, 95–98 cm</w:t>
            </w:r>
          </w:p>
        </w:tc>
        <w:tc>
          <w:tcPr>
            <w:tcW w:w="851" w:type="dxa"/>
            <w:hideMark/>
          </w:tcPr>
          <w:p w14:paraId="6CD22F39"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241.33</w:t>
            </w:r>
          </w:p>
        </w:tc>
        <w:tc>
          <w:tcPr>
            <w:tcW w:w="1559" w:type="dxa"/>
            <w:hideMark/>
          </w:tcPr>
          <w:p w14:paraId="566A7D04"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U1513D-18R-2, 140–143 cm</w:t>
            </w:r>
          </w:p>
        </w:tc>
        <w:tc>
          <w:tcPr>
            <w:tcW w:w="992" w:type="dxa"/>
            <w:hideMark/>
          </w:tcPr>
          <w:p w14:paraId="4E4ADE17"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241.78</w:t>
            </w:r>
          </w:p>
        </w:tc>
        <w:tc>
          <w:tcPr>
            <w:tcW w:w="850" w:type="dxa"/>
            <w:hideMark/>
          </w:tcPr>
          <w:p w14:paraId="2936F7D1"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93.79</w:t>
            </w:r>
          </w:p>
        </w:tc>
      </w:tr>
      <w:tr w:rsidR="00B50234" w:rsidRPr="00B848F3" w14:paraId="770C33A5" w14:textId="77777777" w:rsidTr="006603F9">
        <w:tc>
          <w:tcPr>
            <w:tcW w:w="580" w:type="dxa"/>
            <w:hideMark/>
          </w:tcPr>
          <w:p w14:paraId="3EB6A5EF"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LAD</w:t>
            </w:r>
          </w:p>
        </w:tc>
        <w:tc>
          <w:tcPr>
            <w:tcW w:w="1825" w:type="dxa"/>
            <w:hideMark/>
          </w:tcPr>
          <w:p w14:paraId="000885CA"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Helenea</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chiastia</w:t>
            </w:r>
            <w:proofErr w:type="spellEnd"/>
          </w:p>
        </w:tc>
        <w:tc>
          <w:tcPr>
            <w:tcW w:w="1559" w:type="dxa"/>
            <w:hideMark/>
          </w:tcPr>
          <w:p w14:paraId="62014031"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U1513D-18R-3, 133–136 cm</w:t>
            </w:r>
          </w:p>
        </w:tc>
        <w:tc>
          <w:tcPr>
            <w:tcW w:w="851" w:type="dxa"/>
            <w:hideMark/>
          </w:tcPr>
          <w:p w14:paraId="65087F47"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243.21</w:t>
            </w:r>
          </w:p>
        </w:tc>
        <w:tc>
          <w:tcPr>
            <w:tcW w:w="1559" w:type="dxa"/>
            <w:hideMark/>
          </w:tcPr>
          <w:p w14:paraId="1207A85A"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U1513C-45X-2, 144–147 cm</w:t>
            </w:r>
          </w:p>
        </w:tc>
        <w:tc>
          <w:tcPr>
            <w:tcW w:w="992" w:type="dxa"/>
            <w:hideMark/>
          </w:tcPr>
          <w:p w14:paraId="4AD24B34"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247.60</w:t>
            </w:r>
          </w:p>
        </w:tc>
        <w:tc>
          <w:tcPr>
            <w:tcW w:w="850" w:type="dxa"/>
            <w:hideMark/>
          </w:tcPr>
          <w:p w14:paraId="009BE0D0"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93.90</w:t>
            </w:r>
          </w:p>
        </w:tc>
      </w:tr>
      <w:tr w:rsidR="00B50234" w:rsidRPr="00B848F3" w14:paraId="55BEE019" w14:textId="77777777" w:rsidTr="006603F9">
        <w:tc>
          <w:tcPr>
            <w:tcW w:w="580" w:type="dxa"/>
            <w:hideMark/>
          </w:tcPr>
          <w:p w14:paraId="2A2647F7"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HO</w:t>
            </w:r>
          </w:p>
        </w:tc>
        <w:tc>
          <w:tcPr>
            <w:tcW w:w="1825" w:type="dxa"/>
            <w:hideMark/>
          </w:tcPr>
          <w:p w14:paraId="19A399E3"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Axopodorhabdus</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biramiculatus</w:t>
            </w:r>
            <w:proofErr w:type="spellEnd"/>
          </w:p>
        </w:tc>
        <w:tc>
          <w:tcPr>
            <w:tcW w:w="1559" w:type="dxa"/>
            <w:hideMark/>
          </w:tcPr>
          <w:p w14:paraId="3453540F"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U1513C-45X-2, 144–147 cm</w:t>
            </w:r>
          </w:p>
        </w:tc>
        <w:tc>
          <w:tcPr>
            <w:tcW w:w="851" w:type="dxa"/>
            <w:hideMark/>
          </w:tcPr>
          <w:p w14:paraId="7BCC9EEF"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247.60</w:t>
            </w:r>
          </w:p>
        </w:tc>
        <w:tc>
          <w:tcPr>
            <w:tcW w:w="1559" w:type="dxa"/>
            <w:hideMark/>
          </w:tcPr>
          <w:p w14:paraId="73FA2EB5"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U1513C-45X-3, 16–18 cm</w:t>
            </w:r>
          </w:p>
        </w:tc>
        <w:tc>
          <w:tcPr>
            <w:tcW w:w="992" w:type="dxa"/>
            <w:hideMark/>
          </w:tcPr>
          <w:p w14:paraId="5FDEC792"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247.81</w:t>
            </w:r>
          </w:p>
        </w:tc>
        <w:tc>
          <w:tcPr>
            <w:tcW w:w="850" w:type="dxa"/>
            <w:hideMark/>
          </w:tcPr>
          <w:p w14:paraId="009B0296"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94.20</w:t>
            </w:r>
          </w:p>
        </w:tc>
      </w:tr>
      <w:tr w:rsidR="00B50234" w:rsidRPr="00B848F3" w14:paraId="2D587E41" w14:textId="77777777" w:rsidTr="006603F9">
        <w:tc>
          <w:tcPr>
            <w:tcW w:w="580" w:type="dxa"/>
            <w:hideMark/>
          </w:tcPr>
          <w:p w14:paraId="16A81459"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LAD</w:t>
            </w:r>
          </w:p>
        </w:tc>
        <w:tc>
          <w:tcPr>
            <w:tcW w:w="1825" w:type="dxa"/>
            <w:hideMark/>
          </w:tcPr>
          <w:p w14:paraId="49216389"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Lithraphidites</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acutus</w:t>
            </w:r>
            <w:proofErr w:type="spellEnd"/>
          </w:p>
        </w:tc>
        <w:tc>
          <w:tcPr>
            <w:tcW w:w="1559" w:type="dxa"/>
            <w:hideMark/>
          </w:tcPr>
          <w:p w14:paraId="20F46A5E"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U1513D-20R-1, 37–40 cm</w:t>
            </w:r>
          </w:p>
        </w:tc>
        <w:tc>
          <w:tcPr>
            <w:tcW w:w="851" w:type="dxa"/>
            <w:hideMark/>
          </w:tcPr>
          <w:p w14:paraId="5BA16BB1"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248.97</w:t>
            </w:r>
          </w:p>
        </w:tc>
        <w:tc>
          <w:tcPr>
            <w:tcW w:w="1559" w:type="dxa"/>
            <w:hideMark/>
          </w:tcPr>
          <w:p w14:paraId="5AAD5372"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U1513D-20R-1, 145–148 cm</w:t>
            </w:r>
          </w:p>
        </w:tc>
        <w:tc>
          <w:tcPr>
            <w:tcW w:w="992" w:type="dxa"/>
            <w:hideMark/>
          </w:tcPr>
          <w:p w14:paraId="466716B4"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250.05</w:t>
            </w:r>
          </w:p>
        </w:tc>
        <w:tc>
          <w:tcPr>
            <w:tcW w:w="850" w:type="dxa"/>
            <w:hideMark/>
          </w:tcPr>
          <w:p w14:paraId="7BDECC81"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94.40</w:t>
            </w:r>
          </w:p>
        </w:tc>
      </w:tr>
      <w:tr w:rsidR="00B50234" w:rsidRPr="00B848F3" w14:paraId="1A1DEFBE" w14:textId="77777777" w:rsidTr="006603F9">
        <w:tc>
          <w:tcPr>
            <w:tcW w:w="580" w:type="dxa"/>
            <w:hideMark/>
          </w:tcPr>
          <w:p w14:paraId="36F05429"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LAD</w:t>
            </w:r>
          </w:p>
        </w:tc>
        <w:tc>
          <w:tcPr>
            <w:tcW w:w="1825" w:type="dxa"/>
            <w:hideMark/>
          </w:tcPr>
          <w:p w14:paraId="3CD98CD9"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Gartnerago</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nanum</w:t>
            </w:r>
            <w:proofErr w:type="spellEnd"/>
            <w:r w:rsidRPr="00B848F3">
              <w:rPr>
                <w:rFonts w:asciiTheme="minorHAnsi" w:hAnsiTheme="minorHAnsi" w:cstheme="minorHAnsi"/>
                <w:i/>
                <w:iCs/>
                <w:color w:val="000000"/>
                <w:sz w:val="22"/>
                <w:szCs w:val="22"/>
              </w:rPr>
              <w:t>/</w:t>
            </w:r>
            <w:proofErr w:type="spellStart"/>
            <w:r w:rsidRPr="00B848F3">
              <w:rPr>
                <w:rFonts w:asciiTheme="minorHAnsi" w:hAnsiTheme="minorHAnsi" w:cstheme="minorHAnsi"/>
                <w:i/>
                <w:iCs/>
                <w:color w:val="000000"/>
                <w:sz w:val="22"/>
                <w:szCs w:val="22"/>
              </w:rPr>
              <w:t>ponticula</w:t>
            </w:r>
            <w:proofErr w:type="spellEnd"/>
          </w:p>
        </w:tc>
        <w:tc>
          <w:tcPr>
            <w:tcW w:w="1559" w:type="dxa"/>
            <w:hideMark/>
          </w:tcPr>
          <w:p w14:paraId="00FD4684"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U1513C-47X-1, 140–143 cm</w:t>
            </w:r>
          </w:p>
        </w:tc>
        <w:tc>
          <w:tcPr>
            <w:tcW w:w="851" w:type="dxa"/>
            <w:hideMark/>
          </w:tcPr>
          <w:p w14:paraId="0F86D5BA"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256.65</w:t>
            </w:r>
          </w:p>
        </w:tc>
        <w:tc>
          <w:tcPr>
            <w:tcW w:w="1559" w:type="dxa"/>
            <w:hideMark/>
          </w:tcPr>
          <w:p w14:paraId="42C1F4A6"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U1513C-47X-2, 135–138 cm</w:t>
            </w:r>
          </w:p>
        </w:tc>
        <w:tc>
          <w:tcPr>
            <w:tcW w:w="992" w:type="dxa"/>
            <w:hideMark/>
          </w:tcPr>
          <w:p w14:paraId="25D34C80"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258.49</w:t>
            </w:r>
          </w:p>
        </w:tc>
        <w:tc>
          <w:tcPr>
            <w:tcW w:w="850" w:type="dxa"/>
            <w:hideMark/>
          </w:tcPr>
          <w:p w14:paraId="362A9188"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94.79</w:t>
            </w:r>
          </w:p>
        </w:tc>
      </w:tr>
      <w:tr w:rsidR="00B50234" w:rsidRPr="00B848F3" w14:paraId="729BAEEC" w14:textId="77777777" w:rsidTr="006603F9">
        <w:tc>
          <w:tcPr>
            <w:tcW w:w="580" w:type="dxa"/>
            <w:hideMark/>
          </w:tcPr>
          <w:p w14:paraId="0982FDA1"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FAD</w:t>
            </w:r>
          </w:p>
        </w:tc>
        <w:tc>
          <w:tcPr>
            <w:tcW w:w="1825" w:type="dxa"/>
            <w:hideMark/>
          </w:tcPr>
          <w:p w14:paraId="0148C669"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Lithraphidites</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acutus</w:t>
            </w:r>
            <w:proofErr w:type="spellEnd"/>
          </w:p>
        </w:tc>
        <w:tc>
          <w:tcPr>
            <w:tcW w:w="1559" w:type="dxa"/>
            <w:hideMark/>
          </w:tcPr>
          <w:p w14:paraId="5FF0511B"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U1513C-48X-1, 65–68 cm</w:t>
            </w:r>
          </w:p>
        </w:tc>
        <w:tc>
          <w:tcPr>
            <w:tcW w:w="851" w:type="dxa"/>
            <w:hideMark/>
          </w:tcPr>
          <w:p w14:paraId="21646409"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264.47</w:t>
            </w:r>
          </w:p>
        </w:tc>
        <w:tc>
          <w:tcPr>
            <w:tcW w:w="1559" w:type="dxa"/>
            <w:hideMark/>
          </w:tcPr>
          <w:p w14:paraId="235E6970"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U1513C-48X-2, 25–28 cm</w:t>
            </w:r>
          </w:p>
        </w:tc>
        <w:tc>
          <w:tcPr>
            <w:tcW w:w="992" w:type="dxa"/>
            <w:hideMark/>
          </w:tcPr>
          <w:p w14:paraId="77FFC20E"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265.52</w:t>
            </w:r>
          </w:p>
        </w:tc>
        <w:tc>
          <w:tcPr>
            <w:tcW w:w="850" w:type="dxa"/>
            <w:hideMark/>
          </w:tcPr>
          <w:p w14:paraId="29C48128"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96.16</w:t>
            </w:r>
          </w:p>
        </w:tc>
      </w:tr>
      <w:tr w:rsidR="00B50234" w:rsidRPr="00B848F3" w14:paraId="42D1CAB5" w14:textId="77777777" w:rsidTr="006603F9">
        <w:tc>
          <w:tcPr>
            <w:tcW w:w="580" w:type="dxa"/>
            <w:hideMark/>
          </w:tcPr>
          <w:p w14:paraId="59929A4E"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FAD</w:t>
            </w:r>
          </w:p>
        </w:tc>
        <w:tc>
          <w:tcPr>
            <w:tcW w:w="1825" w:type="dxa"/>
            <w:hideMark/>
          </w:tcPr>
          <w:p w14:paraId="683684DD"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Gartnerago</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obliquum</w:t>
            </w:r>
            <w:proofErr w:type="spellEnd"/>
            <w:r w:rsidRPr="00B848F3">
              <w:rPr>
                <w:rFonts w:asciiTheme="minorHAnsi" w:hAnsiTheme="minorHAnsi" w:cstheme="minorHAnsi"/>
                <w:i/>
                <w:iCs/>
                <w:color w:val="000000"/>
                <w:sz w:val="22"/>
                <w:szCs w:val="22"/>
              </w:rPr>
              <w:t>/</w:t>
            </w:r>
            <w:proofErr w:type="spellStart"/>
            <w:r w:rsidRPr="00B848F3">
              <w:rPr>
                <w:rFonts w:asciiTheme="minorHAnsi" w:hAnsiTheme="minorHAnsi" w:cstheme="minorHAnsi"/>
                <w:i/>
                <w:iCs/>
                <w:color w:val="000000"/>
                <w:sz w:val="22"/>
                <w:szCs w:val="22"/>
              </w:rPr>
              <w:t>segmentatum</w:t>
            </w:r>
            <w:proofErr w:type="spellEnd"/>
          </w:p>
        </w:tc>
        <w:tc>
          <w:tcPr>
            <w:tcW w:w="1559" w:type="dxa"/>
            <w:hideMark/>
          </w:tcPr>
          <w:p w14:paraId="0E940D05"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U1513C-48X-4, 30–33 cm</w:t>
            </w:r>
          </w:p>
        </w:tc>
        <w:tc>
          <w:tcPr>
            <w:tcW w:w="851" w:type="dxa"/>
            <w:hideMark/>
          </w:tcPr>
          <w:p w14:paraId="60C44085"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268.57</w:t>
            </w:r>
          </w:p>
        </w:tc>
        <w:tc>
          <w:tcPr>
            <w:tcW w:w="1559" w:type="dxa"/>
            <w:hideMark/>
          </w:tcPr>
          <w:p w14:paraId="63EC2800"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U1513D-22R-3, 25–28 cm</w:t>
            </w:r>
          </w:p>
        </w:tc>
        <w:tc>
          <w:tcPr>
            <w:tcW w:w="992" w:type="dxa"/>
            <w:hideMark/>
          </w:tcPr>
          <w:p w14:paraId="75C7613D"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271.13</w:t>
            </w:r>
          </w:p>
        </w:tc>
        <w:tc>
          <w:tcPr>
            <w:tcW w:w="850" w:type="dxa"/>
            <w:hideMark/>
          </w:tcPr>
          <w:p w14:paraId="7CEA47CF"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98.26</w:t>
            </w:r>
          </w:p>
        </w:tc>
      </w:tr>
      <w:tr w:rsidR="00B50234" w:rsidRPr="00B848F3" w14:paraId="7EC108DB" w14:textId="77777777" w:rsidTr="006603F9">
        <w:tc>
          <w:tcPr>
            <w:tcW w:w="580" w:type="dxa"/>
            <w:hideMark/>
          </w:tcPr>
          <w:p w14:paraId="055A5AFF"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LAD</w:t>
            </w:r>
          </w:p>
        </w:tc>
        <w:tc>
          <w:tcPr>
            <w:tcW w:w="1825" w:type="dxa"/>
            <w:hideMark/>
          </w:tcPr>
          <w:p w14:paraId="7661A8EC"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Watznaueria</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britannica</w:t>
            </w:r>
            <w:proofErr w:type="spellEnd"/>
          </w:p>
        </w:tc>
        <w:tc>
          <w:tcPr>
            <w:tcW w:w="1559" w:type="dxa"/>
            <w:hideMark/>
          </w:tcPr>
          <w:p w14:paraId="1B9A6018"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U1513C-48X-4, 30–33 cm</w:t>
            </w:r>
          </w:p>
        </w:tc>
        <w:tc>
          <w:tcPr>
            <w:tcW w:w="851" w:type="dxa"/>
            <w:hideMark/>
          </w:tcPr>
          <w:p w14:paraId="0C654406"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268.57</w:t>
            </w:r>
          </w:p>
        </w:tc>
        <w:tc>
          <w:tcPr>
            <w:tcW w:w="1559" w:type="dxa"/>
            <w:hideMark/>
          </w:tcPr>
          <w:p w14:paraId="23EF62B6"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U1513D-22R-3, 25–28 cm</w:t>
            </w:r>
          </w:p>
        </w:tc>
        <w:tc>
          <w:tcPr>
            <w:tcW w:w="992" w:type="dxa"/>
            <w:hideMark/>
          </w:tcPr>
          <w:p w14:paraId="31AAB35D"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271.13</w:t>
            </w:r>
          </w:p>
        </w:tc>
        <w:tc>
          <w:tcPr>
            <w:tcW w:w="850" w:type="dxa"/>
            <w:hideMark/>
          </w:tcPr>
          <w:p w14:paraId="7CAFC90E"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100.03</w:t>
            </w:r>
          </w:p>
        </w:tc>
      </w:tr>
      <w:tr w:rsidR="00B50234" w:rsidRPr="00B848F3" w14:paraId="2322F3DD" w14:textId="77777777" w:rsidTr="006603F9">
        <w:tc>
          <w:tcPr>
            <w:tcW w:w="580" w:type="dxa"/>
            <w:hideMark/>
          </w:tcPr>
          <w:p w14:paraId="4E7DB39E" w14:textId="77777777" w:rsidR="00B50234" w:rsidRPr="00B848F3" w:rsidRDefault="00B50234" w:rsidP="006603F9">
            <w:pPr>
              <w:spacing w:after="225"/>
              <w:rPr>
                <w:rFonts w:asciiTheme="minorHAnsi" w:hAnsiTheme="minorHAnsi" w:cstheme="minorHAnsi"/>
                <w:color w:val="000000"/>
                <w:sz w:val="22"/>
                <w:szCs w:val="22"/>
              </w:rPr>
            </w:pPr>
            <w:r w:rsidRPr="00B848F3">
              <w:rPr>
                <w:rFonts w:asciiTheme="minorHAnsi" w:hAnsiTheme="minorHAnsi" w:cstheme="minorHAnsi"/>
                <w:color w:val="000000"/>
                <w:sz w:val="22"/>
                <w:szCs w:val="22"/>
              </w:rPr>
              <w:t>LO</w:t>
            </w:r>
          </w:p>
        </w:tc>
        <w:tc>
          <w:tcPr>
            <w:tcW w:w="1825" w:type="dxa"/>
            <w:hideMark/>
          </w:tcPr>
          <w:p w14:paraId="47608A31" w14:textId="77777777" w:rsidR="00B50234" w:rsidRPr="00B848F3" w:rsidRDefault="00B50234" w:rsidP="006603F9">
            <w:pPr>
              <w:spacing w:after="225"/>
              <w:rPr>
                <w:rFonts w:asciiTheme="minorHAnsi" w:hAnsiTheme="minorHAnsi" w:cstheme="minorHAnsi"/>
                <w:color w:val="000000"/>
                <w:sz w:val="22"/>
                <w:szCs w:val="22"/>
              </w:rPr>
            </w:pPr>
            <w:proofErr w:type="spellStart"/>
            <w:r w:rsidRPr="00B848F3">
              <w:rPr>
                <w:rFonts w:asciiTheme="minorHAnsi" w:hAnsiTheme="minorHAnsi" w:cstheme="minorHAnsi"/>
                <w:i/>
                <w:iCs/>
                <w:color w:val="000000"/>
                <w:sz w:val="22"/>
                <w:szCs w:val="22"/>
              </w:rPr>
              <w:t>Corollithion</w:t>
            </w:r>
            <w:proofErr w:type="spellEnd"/>
            <w:r w:rsidRPr="00B848F3">
              <w:rPr>
                <w:rFonts w:asciiTheme="minorHAnsi" w:hAnsiTheme="minorHAnsi" w:cstheme="minorHAnsi"/>
                <w:i/>
                <w:iCs/>
                <w:color w:val="000000"/>
                <w:sz w:val="22"/>
                <w:szCs w:val="22"/>
              </w:rPr>
              <w:t xml:space="preserve"> </w:t>
            </w:r>
            <w:proofErr w:type="spellStart"/>
            <w:r w:rsidRPr="00B848F3">
              <w:rPr>
                <w:rFonts w:asciiTheme="minorHAnsi" w:hAnsiTheme="minorHAnsi" w:cstheme="minorHAnsi"/>
                <w:i/>
                <w:iCs/>
                <w:color w:val="000000"/>
                <w:sz w:val="22"/>
                <w:szCs w:val="22"/>
              </w:rPr>
              <w:t>kennedyi</w:t>
            </w:r>
            <w:proofErr w:type="spellEnd"/>
          </w:p>
        </w:tc>
        <w:tc>
          <w:tcPr>
            <w:tcW w:w="1559" w:type="dxa"/>
            <w:hideMark/>
          </w:tcPr>
          <w:p w14:paraId="5DA252D0"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U1513D-22R-3, 25–28 cm</w:t>
            </w:r>
          </w:p>
        </w:tc>
        <w:tc>
          <w:tcPr>
            <w:tcW w:w="851" w:type="dxa"/>
            <w:hideMark/>
          </w:tcPr>
          <w:p w14:paraId="374FEDAC"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271.13</w:t>
            </w:r>
          </w:p>
        </w:tc>
        <w:tc>
          <w:tcPr>
            <w:tcW w:w="1559" w:type="dxa"/>
            <w:hideMark/>
          </w:tcPr>
          <w:p w14:paraId="105DBFD8"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U1513C-48X-6, 65–68 cm</w:t>
            </w:r>
          </w:p>
        </w:tc>
        <w:tc>
          <w:tcPr>
            <w:tcW w:w="992" w:type="dxa"/>
            <w:hideMark/>
          </w:tcPr>
          <w:p w14:paraId="77958B92"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271.31</w:t>
            </w:r>
          </w:p>
        </w:tc>
        <w:tc>
          <w:tcPr>
            <w:tcW w:w="850" w:type="dxa"/>
            <w:hideMark/>
          </w:tcPr>
          <w:p w14:paraId="3F185288" w14:textId="77777777" w:rsidR="00B50234" w:rsidRPr="00B848F3" w:rsidRDefault="00B50234" w:rsidP="006603F9">
            <w:pPr>
              <w:spacing w:after="225"/>
              <w:jc w:val="center"/>
              <w:rPr>
                <w:rFonts w:asciiTheme="minorHAnsi" w:hAnsiTheme="minorHAnsi" w:cstheme="minorHAnsi"/>
                <w:color w:val="000000"/>
                <w:sz w:val="22"/>
                <w:szCs w:val="22"/>
              </w:rPr>
            </w:pPr>
            <w:r w:rsidRPr="00B848F3">
              <w:rPr>
                <w:rFonts w:asciiTheme="minorHAnsi" w:hAnsiTheme="minorHAnsi" w:cstheme="minorHAnsi"/>
                <w:color w:val="000000"/>
                <w:sz w:val="22"/>
                <w:szCs w:val="22"/>
              </w:rPr>
              <w:t>100.45</w:t>
            </w:r>
          </w:p>
        </w:tc>
      </w:tr>
    </w:tbl>
    <w:p w14:paraId="0EF23191" w14:textId="77777777" w:rsidR="00B50234" w:rsidRDefault="00B50234" w:rsidP="00B50234">
      <w:pPr>
        <w:tabs>
          <w:tab w:val="left" w:pos="2430"/>
        </w:tabs>
      </w:pPr>
    </w:p>
    <w:p w14:paraId="7C6437B4" w14:textId="77777777" w:rsidR="00B50234" w:rsidRDefault="00B50234" w:rsidP="00B50234">
      <w:pPr>
        <w:tabs>
          <w:tab w:val="left" w:pos="2430"/>
        </w:tabs>
      </w:pPr>
    </w:p>
    <w:p w14:paraId="2BB9DECA" w14:textId="77777777" w:rsidR="00B50234" w:rsidRDefault="00B50234" w:rsidP="00B50234">
      <w:pPr>
        <w:spacing w:after="160" w:line="259" w:lineRule="auto"/>
        <w:rPr>
          <w:b/>
          <w:bCs/>
          <w:color w:val="000000"/>
          <w:sz w:val="22"/>
          <w:szCs w:val="22"/>
        </w:rPr>
      </w:pPr>
      <w:r>
        <w:rPr>
          <w:b/>
          <w:bCs/>
          <w:color w:val="000000"/>
          <w:sz w:val="22"/>
          <w:szCs w:val="22"/>
        </w:rPr>
        <w:br w:type="page"/>
      </w:r>
    </w:p>
    <w:p w14:paraId="14A4C287" w14:textId="7447D439" w:rsidR="00B50234" w:rsidRPr="00682CF6" w:rsidRDefault="00B50234" w:rsidP="00B50234">
      <w:pPr>
        <w:tabs>
          <w:tab w:val="left" w:pos="2430"/>
        </w:tabs>
        <w:rPr>
          <w:color w:val="000000"/>
          <w:sz w:val="22"/>
          <w:szCs w:val="22"/>
        </w:rPr>
      </w:pPr>
      <w:r w:rsidRPr="00682CF6">
        <w:rPr>
          <w:b/>
          <w:bCs/>
          <w:color w:val="000000"/>
          <w:sz w:val="22"/>
          <w:szCs w:val="22"/>
        </w:rPr>
        <w:lastRenderedPageBreak/>
        <w:t>Supplementary Table 3.</w:t>
      </w:r>
      <w:r w:rsidRPr="00682CF6">
        <w:rPr>
          <w:color w:val="000000"/>
          <w:sz w:val="22"/>
          <w:szCs w:val="22"/>
        </w:rPr>
        <w:t xml:space="preserve"> Benthic foraminiferal palae</w:t>
      </w:r>
      <w:r w:rsidR="00406D3F">
        <w:rPr>
          <w:color w:val="000000"/>
          <w:sz w:val="22"/>
          <w:szCs w:val="22"/>
        </w:rPr>
        <w:t>oe</w:t>
      </w:r>
      <w:r w:rsidRPr="00682CF6">
        <w:rPr>
          <w:color w:val="000000"/>
          <w:sz w:val="22"/>
          <w:szCs w:val="22"/>
        </w:rPr>
        <w:t xml:space="preserve">cological designations used to calculate the ‘Infauna/high productivity %’ plot in Fig. 6. </w:t>
      </w:r>
      <w:proofErr w:type="spellStart"/>
      <w:r w:rsidRPr="00682CF6">
        <w:rPr>
          <w:color w:val="000000"/>
          <w:sz w:val="22"/>
          <w:szCs w:val="22"/>
        </w:rPr>
        <w:t>Palaeobathymetric</w:t>
      </w:r>
      <w:proofErr w:type="spellEnd"/>
      <w:r w:rsidRPr="00682CF6">
        <w:rPr>
          <w:color w:val="000000"/>
          <w:sz w:val="22"/>
          <w:szCs w:val="22"/>
        </w:rPr>
        <w:t xml:space="preserve"> information is also provided. </w:t>
      </w:r>
      <w:proofErr w:type="spellStart"/>
      <w:r w:rsidRPr="00682CF6">
        <w:rPr>
          <w:i/>
          <w:iCs/>
          <w:color w:val="000000"/>
          <w:sz w:val="22"/>
          <w:szCs w:val="22"/>
        </w:rPr>
        <w:t>Gaudryina</w:t>
      </w:r>
      <w:proofErr w:type="spellEnd"/>
      <w:r w:rsidRPr="00682CF6">
        <w:rPr>
          <w:i/>
          <w:iCs/>
          <w:color w:val="000000"/>
          <w:sz w:val="22"/>
          <w:szCs w:val="22"/>
        </w:rPr>
        <w:t xml:space="preserve"> australis </w:t>
      </w:r>
      <w:r w:rsidRPr="00682CF6">
        <w:rPr>
          <w:color w:val="000000"/>
          <w:sz w:val="22"/>
          <w:szCs w:val="22"/>
        </w:rPr>
        <w:t xml:space="preserve">and </w:t>
      </w:r>
      <w:proofErr w:type="spellStart"/>
      <w:r w:rsidRPr="00682CF6">
        <w:rPr>
          <w:i/>
          <w:iCs/>
          <w:color w:val="000000"/>
          <w:sz w:val="22"/>
          <w:szCs w:val="22"/>
        </w:rPr>
        <w:t>Cibicides</w:t>
      </w:r>
      <w:proofErr w:type="spellEnd"/>
      <w:r w:rsidRPr="00682CF6">
        <w:rPr>
          <w:i/>
          <w:iCs/>
          <w:color w:val="000000"/>
          <w:sz w:val="22"/>
          <w:szCs w:val="22"/>
        </w:rPr>
        <w:t xml:space="preserve"> </w:t>
      </w:r>
      <w:proofErr w:type="spellStart"/>
      <w:r w:rsidRPr="00682CF6">
        <w:rPr>
          <w:i/>
          <w:iCs/>
          <w:color w:val="000000"/>
          <w:sz w:val="22"/>
          <w:szCs w:val="22"/>
        </w:rPr>
        <w:t>complanata</w:t>
      </w:r>
      <w:proofErr w:type="spellEnd"/>
      <w:r w:rsidRPr="00682CF6">
        <w:rPr>
          <w:color w:val="000000"/>
          <w:sz w:val="22"/>
          <w:szCs w:val="22"/>
        </w:rPr>
        <w:t xml:space="preserve"> are placed in groups based on their shell </w:t>
      </w:r>
      <w:r w:rsidRPr="00682CF6">
        <w:rPr>
          <w:rFonts w:asciiTheme="minorHAnsi" w:hAnsiTheme="minorHAnsi" w:cstheme="minorHAnsi"/>
          <w:sz w:val="22"/>
          <w:szCs w:val="22"/>
        </w:rPr>
        <w:fldChar w:fldCharType="begin"/>
      </w:r>
      <w:r w:rsidRPr="00682CF6">
        <w:rPr>
          <w:rFonts w:asciiTheme="minorHAnsi" w:hAnsiTheme="minorHAnsi" w:cstheme="minorHAnsi"/>
          <w:sz w:val="22"/>
          <w:szCs w:val="22"/>
        </w:rPr>
        <w:instrText>symbol 100 \f "Symbol"</w:instrText>
      </w:r>
      <w:r w:rsidRPr="00682CF6">
        <w:rPr>
          <w:rFonts w:asciiTheme="minorHAnsi" w:hAnsiTheme="minorHAnsi" w:cstheme="minorHAnsi"/>
          <w:sz w:val="22"/>
          <w:szCs w:val="22"/>
        </w:rPr>
        <w:fldChar w:fldCharType="end"/>
      </w:r>
      <w:r w:rsidRPr="00682CF6">
        <w:rPr>
          <w:rFonts w:asciiTheme="minorHAnsi" w:hAnsiTheme="minorHAnsi" w:cstheme="minorHAnsi"/>
          <w:sz w:val="22"/>
          <w:szCs w:val="22"/>
          <w:vertAlign w:val="superscript"/>
        </w:rPr>
        <w:t>13</w:t>
      </w:r>
      <w:r w:rsidRPr="00682CF6">
        <w:rPr>
          <w:rFonts w:asciiTheme="minorHAnsi" w:hAnsiTheme="minorHAnsi" w:cstheme="minorHAnsi"/>
          <w:sz w:val="22"/>
          <w:szCs w:val="22"/>
        </w:rPr>
        <w:t>C (Supplementary Fig. 10).</w:t>
      </w:r>
      <w:r w:rsidRPr="00682CF6">
        <w:rPr>
          <w:color w:val="000000"/>
          <w:sz w:val="22"/>
          <w:szCs w:val="22"/>
        </w:rPr>
        <w:t xml:space="preserve"> </w:t>
      </w:r>
      <w:proofErr w:type="spellStart"/>
      <w:r w:rsidRPr="00682CF6">
        <w:rPr>
          <w:i/>
          <w:iCs/>
          <w:color w:val="000000"/>
          <w:sz w:val="22"/>
          <w:szCs w:val="22"/>
        </w:rPr>
        <w:t>Gavelinella</w:t>
      </w:r>
      <w:proofErr w:type="spellEnd"/>
      <w:r w:rsidRPr="00682CF6">
        <w:rPr>
          <w:color w:val="000000"/>
          <w:sz w:val="22"/>
          <w:szCs w:val="22"/>
        </w:rPr>
        <w:t xml:space="preserve"> spp. (apart from </w:t>
      </w:r>
      <w:proofErr w:type="spellStart"/>
      <w:r w:rsidRPr="00682CF6">
        <w:rPr>
          <w:i/>
          <w:iCs/>
          <w:color w:val="000000"/>
          <w:sz w:val="22"/>
          <w:szCs w:val="22"/>
        </w:rPr>
        <w:t>Gavelinella</w:t>
      </w:r>
      <w:proofErr w:type="spellEnd"/>
      <w:r w:rsidRPr="00682CF6">
        <w:rPr>
          <w:i/>
          <w:iCs/>
          <w:color w:val="000000"/>
          <w:sz w:val="22"/>
          <w:szCs w:val="22"/>
        </w:rPr>
        <w:t xml:space="preserve"> </w:t>
      </w:r>
      <w:proofErr w:type="spellStart"/>
      <w:r w:rsidRPr="00682CF6">
        <w:rPr>
          <w:i/>
          <w:iCs/>
          <w:color w:val="000000"/>
          <w:sz w:val="22"/>
          <w:szCs w:val="22"/>
        </w:rPr>
        <w:t>nacatochensis</w:t>
      </w:r>
      <w:proofErr w:type="spellEnd"/>
      <w:r w:rsidRPr="00682CF6">
        <w:rPr>
          <w:color w:val="000000"/>
          <w:sz w:val="22"/>
          <w:szCs w:val="22"/>
        </w:rPr>
        <w:t>) are not assigned a group due to uncertain interpretations in the literature.</w:t>
      </w:r>
    </w:p>
    <w:p w14:paraId="0FC7720A" w14:textId="77777777" w:rsidR="00B50234" w:rsidRDefault="00B50234" w:rsidP="00B50234">
      <w:pPr>
        <w:tabs>
          <w:tab w:val="left" w:pos="2430"/>
        </w:tabs>
      </w:pPr>
    </w:p>
    <w:tbl>
      <w:tblPr>
        <w:tblW w:w="90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0" w:type="dxa"/>
          <w:right w:w="0" w:type="dxa"/>
        </w:tblCellMar>
        <w:tblLook w:val="04A0" w:firstRow="1" w:lastRow="0" w:firstColumn="1" w:lastColumn="0" w:noHBand="0" w:noVBand="1"/>
      </w:tblPr>
      <w:tblGrid>
        <w:gridCol w:w="2047"/>
        <w:gridCol w:w="1634"/>
        <w:gridCol w:w="5386"/>
      </w:tblGrid>
      <w:tr w:rsidR="00B50234" w14:paraId="5218FE24" w14:textId="77777777" w:rsidTr="006603F9">
        <w:trPr>
          <w:trHeight w:val="340"/>
        </w:trPr>
        <w:tc>
          <w:tcPr>
            <w:tcW w:w="2047" w:type="dxa"/>
            <w:shd w:val="clear" w:color="auto" w:fill="auto"/>
            <w:noWrap/>
            <w:tcMar>
              <w:top w:w="15" w:type="dxa"/>
              <w:left w:w="15" w:type="dxa"/>
              <w:bottom w:w="0" w:type="dxa"/>
              <w:right w:w="15" w:type="dxa"/>
            </w:tcMar>
            <w:hideMark/>
          </w:tcPr>
          <w:p w14:paraId="716E9790" w14:textId="77777777" w:rsidR="00B50234" w:rsidRPr="00B848F3" w:rsidRDefault="00B50234" w:rsidP="006603F9">
            <w:pPr>
              <w:spacing w:after="225"/>
              <w:rPr>
                <w:rFonts w:asciiTheme="minorHAnsi" w:eastAsia="Times New Roman" w:hAnsiTheme="minorHAnsi"/>
                <w:b/>
                <w:bCs/>
                <w:i/>
                <w:iCs/>
                <w:color w:val="000000"/>
                <w:sz w:val="22"/>
                <w:szCs w:val="22"/>
              </w:rPr>
            </w:pPr>
            <w:r w:rsidRPr="00B848F3">
              <w:rPr>
                <w:rFonts w:asciiTheme="minorHAnsi" w:hAnsiTheme="minorHAnsi"/>
                <w:b/>
                <w:bCs/>
                <w:color w:val="000000"/>
                <w:sz w:val="22"/>
                <w:szCs w:val="22"/>
              </w:rPr>
              <w:t>Taxon</w:t>
            </w:r>
          </w:p>
        </w:tc>
        <w:tc>
          <w:tcPr>
            <w:tcW w:w="1634" w:type="dxa"/>
            <w:shd w:val="clear" w:color="auto" w:fill="auto"/>
            <w:noWrap/>
            <w:tcMar>
              <w:top w:w="15" w:type="dxa"/>
              <w:left w:w="15" w:type="dxa"/>
              <w:bottom w:w="0" w:type="dxa"/>
              <w:right w:w="15" w:type="dxa"/>
            </w:tcMar>
            <w:hideMark/>
          </w:tcPr>
          <w:p w14:paraId="3AB9566A" w14:textId="77777777" w:rsidR="00B50234" w:rsidRPr="00B848F3" w:rsidRDefault="00B50234" w:rsidP="006603F9">
            <w:pPr>
              <w:spacing w:after="225"/>
              <w:rPr>
                <w:rFonts w:asciiTheme="minorHAnsi" w:hAnsiTheme="minorHAnsi"/>
                <w:b/>
                <w:bCs/>
                <w:color w:val="000000"/>
                <w:sz w:val="22"/>
                <w:szCs w:val="22"/>
              </w:rPr>
            </w:pPr>
            <w:r w:rsidRPr="00B848F3">
              <w:rPr>
                <w:rFonts w:asciiTheme="minorHAnsi" w:hAnsiTheme="minorHAnsi"/>
                <w:b/>
                <w:bCs/>
                <w:color w:val="000000"/>
                <w:sz w:val="22"/>
                <w:szCs w:val="22"/>
              </w:rPr>
              <w:t>Group</w:t>
            </w:r>
          </w:p>
        </w:tc>
        <w:tc>
          <w:tcPr>
            <w:tcW w:w="5386" w:type="dxa"/>
            <w:shd w:val="clear" w:color="auto" w:fill="auto"/>
            <w:tcMar>
              <w:top w:w="15" w:type="dxa"/>
              <w:left w:w="15" w:type="dxa"/>
              <w:bottom w:w="0" w:type="dxa"/>
              <w:right w:w="15" w:type="dxa"/>
            </w:tcMar>
            <w:hideMark/>
          </w:tcPr>
          <w:p w14:paraId="7334F7F2" w14:textId="77777777" w:rsidR="00B50234" w:rsidRPr="00B848F3" w:rsidRDefault="00B50234" w:rsidP="006603F9">
            <w:pPr>
              <w:spacing w:after="225"/>
              <w:rPr>
                <w:rFonts w:asciiTheme="minorHAnsi" w:hAnsiTheme="minorHAnsi"/>
                <w:b/>
                <w:bCs/>
                <w:color w:val="000000"/>
                <w:sz w:val="22"/>
                <w:szCs w:val="22"/>
              </w:rPr>
            </w:pPr>
            <w:r w:rsidRPr="00B848F3">
              <w:rPr>
                <w:rFonts w:asciiTheme="minorHAnsi" w:hAnsiTheme="minorHAnsi"/>
                <w:b/>
                <w:bCs/>
                <w:color w:val="000000"/>
                <w:sz w:val="22"/>
                <w:szCs w:val="22"/>
              </w:rPr>
              <w:t>Notes</w:t>
            </w:r>
          </w:p>
        </w:tc>
      </w:tr>
      <w:tr w:rsidR="00B50234" w14:paraId="288F58CD" w14:textId="77777777" w:rsidTr="006603F9">
        <w:trPr>
          <w:trHeight w:val="1680"/>
        </w:trPr>
        <w:tc>
          <w:tcPr>
            <w:tcW w:w="2047" w:type="dxa"/>
            <w:shd w:val="clear" w:color="auto" w:fill="auto"/>
            <w:noWrap/>
            <w:tcMar>
              <w:top w:w="15" w:type="dxa"/>
              <w:left w:w="15" w:type="dxa"/>
              <w:bottom w:w="0" w:type="dxa"/>
              <w:right w:w="15" w:type="dxa"/>
            </w:tcMar>
            <w:hideMark/>
          </w:tcPr>
          <w:p w14:paraId="23DA9567"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Bolivina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13A26098"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57606855" w14:textId="7771D52C"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Part of ‘low oxygen’ assemblages, modern and Cretaceous</w:t>
            </w:r>
            <w:r w:rsidR="00C15B53">
              <w:rPr>
                <w:rFonts w:asciiTheme="minorHAnsi" w:hAnsiTheme="minorHAnsi"/>
                <w:color w:val="000000"/>
                <w:sz w:val="22"/>
                <w:szCs w:val="22"/>
              </w:rPr>
              <w:fldChar w:fldCharType="begin" w:fldLock="1"/>
            </w:r>
            <w:r w:rsidR="00C15B53">
              <w:rPr>
                <w:rFonts w:asciiTheme="minorHAnsi" w:hAnsiTheme="minorHAnsi"/>
                <w:color w:val="000000"/>
                <w:sz w:val="22"/>
                <w:szCs w:val="22"/>
              </w:rPr>
              <w:instrText>ADDIN CSL_CITATION {"citationItems":[{"id":"ITEM-1","itemData":{"ISSN":"0035-1598","author":[{"dropping-particle":"","family":"Friedrich","given":"Oliver","non-dropping-particle":"","parse-names":false,"suffix":""}],"container-title":"Revue de micropaléontologie","id":"ITEM-1","issue":"3","issued":{"date-parts":[["2010"]]},"page":"175-192","publisher":"Elsevier","title":"Benthic foraminifera and their role to decipher paleoenvironment during mid-Cretaceous Oceanic Anoxic Events–the “anoxic benthic foraminifera” paradox","type":"article-journal","volume":"53"},"uris":["http://www.mendeley.com/documents/?uuid=752d0d96-44c4-49da-90e1-72b25c797cf0"]}],"mendeley":{"formattedCitation":"&lt;sup&gt;9&lt;/sup&gt;","plainTextFormattedCitation":"9","previouslyFormattedCitation":"&lt;sup&gt;9&lt;/sup&gt;"},"properties":{"noteIndex":0},"schema":"https://github.com/citation-style-language/schema/raw/master/csl-citation.json"}</w:instrText>
            </w:r>
            <w:r w:rsidR="00C15B53">
              <w:rPr>
                <w:rFonts w:asciiTheme="minorHAnsi" w:hAnsiTheme="minorHAnsi"/>
                <w:color w:val="000000"/>
                <w:sz w:val="22"/>
                <w:szCs w:val="22"/>
              </w:rPr>
              <w:fldChar w:fldCharType="separate"/>
            </w:r>
            <w:r w:rsidR="00C15B53" w:rsidRPr="00C15B53">
              <w:rPr>
                <w:rFonts w:asciiTheme="minorHAnsi" w:hAnsiTheme="minorHAnsi"/>
                <w:noProof/>
                <w:color w:val="000000"/>
                <w:sz w:val="22"/>
                <w:szCs w:val="22"/>
                <w:vertAlign w:val="superscript"/>
              </w:rPr>
              <w:t>9</w:t>
            </w:r>
            <w:r w:rsidR="00C15B53">
              <w:rPr>
                <w:rFonts w:asciiTheme="minorHAnsi" w:hAnsiTheme="minorHAnsi"/>
                <w:color w:val="000000"/>
                <w:sz w:val="22"/>
                <w:szCs w:val="22"/>
              </w:rPr>
              <w:fldChar w:fldCharType="end"/>
            </w:r>
            <w:r w:rsidRPr="00B848F3">
              <w:rPr>
                <w:rFonts w:asciiTheme="minorHAnsi" w:hAnsiTheme="minorHAnsi"/>
                <w:color w:val="000000"/>
                <w:sz w:val="22"/>
                <w:szCs w:val="22"/>
              </w:rPr>
              <w:t xml:space="preserve"> </w:t>
            </w:r>
            <w:r w:rsidRPr="00B848F3">
              <w:rPr>
                <w:rFonts w:asciiTheme="minorHAnsi" w:hAnsiTheme="minorHAnsi"/>
                <w:color w:val="000000"/>
                <w:sz w:val="22"/>
                <w:szCs w:val="22"/>
              </w:rPr>
              <w:br/>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feeders – bacterial/detrital scavengers</w:t>
            </w:r>
            <w:r w:rsidR="008371D5">
              <w:rPr>
                <w:rFonts w:asciiTheme="minorHAnsi" w:hAnsiTheme="minorHAnsi"/>
                <w:color w:val="000000"/>
                <w:sz w:val="22"/>
                <w:szCs w:val="22"/>
              </w:rPr>
              <w:fldChar w:fldCharType="begin" w:fldLock="1"/>
            </w:r>
            <w:r w:rsidR="008371D5">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371D5">
              <w:rPr>
                <w:rFonts w:asciiTheme="minorHAnsi" w:hAnsiTheme="minorHAnsi"/>
                <w:color w:val="000000"/>
                <w:sz w:val="22"/>
                <w:szCs w:val="22"/>
              </w:rPr>
              <w:fldChar w:fldCharType="separate"/>
            </w:r>
            <w:r w:rsidR="008371D5" w:rsidRPr="008371D5">
              <w:rPr>
                <w:rFonts w:asciiTheme="minorHAnsi" w:hAnsiTheme="minorHAnsi"/>
                <w:noProof/>
                <w:color w:val="000000"/>
                <w:sz w:val="22"/>
                <w:szCs w:val="22"/>
                <w:vertAlign w:val="superscript"/>
              </w:rPr>
              <w:t>10</w:t>
            </w:r>
            <w:r w:rsidR="008371D5">
              <w:rPr>
                <w:rFonts w:asciiTheme="minorHAnsi" w:hAnsiTheme="minorHAnsi"/>
                <w:color w:val="000000"/>
                <w:sz w:val="22"/>
                <w:szCs w:val="22"/>
              </w:rPr>
              <w:fldChar w:fldCharType="end"/>
            </w:r>
            <w:r w:rsidR="0035593E">
              <w:rPr>
                <w:rFonts w:asciiTheme="minorHAnsi" w:hAnsiTheme="minorHAnsi"/>
                <w:color w:val="000000"/>
                <w:sz w:val="22"/>
                <w:szCs w:val="22"/>
              </w:rPr>
              <w:t>.</w:t>
            </w:r>
            <w:r w:rsidR="008371D5" w:rsidRPr="00B848F3">
              <w:rPr>
                <w:rFonts w:asciiTheme="minorHAnsi" w:hAnsiTheme="minorHAnsi"/>
                <w:color w:val="000000"/>
                <w:sz w:val="22"/>
                <w:szCs w:val="22"/>
              </w:rPr>
              <w:t xml:space="preserve"> </w:t>
            </w:r>
            <w:r w:rsidRPr="00B848F3">
              <w:rPr>
                <w:rFonts w:asciiTheme="minorHAnsi" w:hAnsiTheme="minorHAnsi"/>
                <w:color w:val="000000"/>
                <w:sz w:val="22"/>
                <w:szCs w:val="22"/>
              </w:rPr>
              <w:br/>
              <w:t>Middle-outer neritic and upper-middle bathyal. Living in fine-grained calcareous or siliceous mud</w:t>
            </w:r>
            <w:r w:rsidR="008371D5">
              <w:rPr>
                <w:rFonts w:asciiTheme="minorHAnsi" w:hAnsiTheme="minorHAnsi"/>
                <w:color w:val="000000"/>
                <w:sz w:val="22"/>
                <w:szCs w:val="22"/>
              </w:rPr>
              <w:fldChar w:fldCharType="begin" w:fldLock="1"/>
            </w:r>
            <w:r w:rsidR="008B6DB7">
              <w:rPr>
                <w:rFonts w:asciiTheme="minorHAnsi" w:hAnsiTheme="minorHAnsi"/>
                <w:color w:val="000000"/>
                <w:sz w:val="22"/>
                <w:szCs w:val="22"/>
              </w:rPr>
              <w:instrText>ADDIN CSL_CITATION {"citationItems":[{"id":"ITEM-1","itemData":{"ISSN":"0031-0182","author":[{"dropping-particle":"","family":"Koutsoukos","given":"Eduardo A M","non-dropping-particle":"","parse-names":false,"suffix":""},{"dropping-particle":"","family":"Leary","given":"Paul N","non-dropping-particle":"","parse-names":false,"suffix":""},{"dropping-particle":"","family":"Hart","given":"Malcolm B","non-dropping-particle":"","parse-names":false,"suffix":""}],"container-title":"Palaeogeography, Palaeoclimatology, Palaeoecology","id":"ITEM-1","issue":"2","issued":{"date-parts":[["1990"]]},"page":"145-177","publisher":"Elsevier","title":"Latest Cenomanian—earliest Turonian low-oxygen tolerant benthonic foraminifera: a case-study from the Sergipe basin (NE Brazil) and the western Anglo-Paris basin (southern England)","type":"article-journal","volume":"77"},"uris":["http://www.mendeley.com/documents/?uuid=0ab32431-d24e-4f31-807d-70c4ab978508"]}],"mendeley":{"formattedCitation":"&lt;sup&gt;11&lt;/sup&gt;","plainTextFormattedCitation":"11","previouslyFormattedCitation":"&lt;sup&gt;11&lt;/sup&gt;"},"properties":{"noteIndex":0},"schema":"https://github.com/citation-style-language/schema/raw/master/csl-citation.json"}</w:instrText>
            </w:r>
            <w:r w:rsidR="008371D5">
              <w:rPr>
                <w:rFonts w:asciiTheme="minorHAnsi" w:hAnsiTheme="minorHAnsi"/>
                <w:color w:val="000000"/>
                <w:sz w:val="22"/>
                <w:szCs w:val="22"/>
              </w:rPr>
              <w:fldChar w:fldCharType="separate"/>
            </w:r>
            <w:r w:rsidR="008371D5" w:rsidRPr="008371D5">
              <w:rPr>
                <w:rFonts w:asciiTheme="minorHAnsi" w:hAnsiTheme="minorHAnsi"/>
                <w:noProof/>
                <w:color w:val="000000"/>
                <w:sz w:val="22"/>
                <w:szCs w:val="22"/>
                <w:vertAlign w:val="superscript"/>
              </w:rPr>
              <w:t>11</w:t>
            </w:r>
            <w:r w:rsidR="008371D5">
              <w:rPr>
                <w:rFonts w:asciiTheme="minorHAnsi" w:hAnsiTheme="minorHAnsi"/>
                <w:color w:val="000000"/>
                <w:sz w:val="22"/>
                <w:szCs w:val="22"/>
              </w:rPr>
              <w:fldChar w:fldCharType="end"/>
            </w:r>
            <w:r w:rsidRPr="00B848F3">
              <w:rPr>
                <w:rFonts w:asciiTheme="minorHAnsi" w:hAnsiTheme="minorHAnsi"/>
                <w:color w:val="000000"/>
                <w:sz w:val="22"/>
                <w:szCs w:val="22"/>
              </w:rPr>
              <w:t>.</w:t>
            </w:r>
            <w:r w:rsidRPr="00B848F3">
              <w:rPr>
                <w:rFonts w:asciiTheme="minorHAnsi" w:hAnsiTheme="minorHAnsi"/>
                <w:color w:val="000000"/>
                <w:sz w:val="22"/>
                <w:szCs w:val="22"/>
              </w:rPr>
              <w:br/>
              <w:t>Recorded as anoxic indicators in Miocene, Pleistocene and Holocene</w:t>
            </w:r>
            <w:r w:rsidR="008B6DB7">
              <w:rPr>
                <w:rFonts w:asciiTheme="minorHAnsi" w:hAnsiTheme="minorHAnsi"/>
                <w:color w:val="000000"/>
                <w:sz w:val="22"/>
                <w:szCs w:val="22"/>
              </w:rPr>
              <w:fldChar w:fldCharType="begin" w:fldLock="1"/>
            </w:r>
            <w:r w:rsidR="008B6DB7">
              <w:rPr>
                <w:rFonts w:asciiTheme="minorHAnsi" w:hAnsiTheme="minorHAnsi"/>
                <w:color w:val="000000"/>
                <w:sz w:val="22"/>
                <w:szCs w:val="22"/>
              </w:rPr>
              <w:instrText>ADDIN CSL_CITATION {"citationItems":[{"id":"ITEM-1","itemData":{"ISSN":"0096-1191","author":[{"dropping-particle":"","family":"Bernhard","given":"Joan M","non-dropping-particle":"","parse-names":false,"suffix":""}],"container-title":"The Journal of Foraminiferal Research","id":"ITEM-1","issue":"3","issued":{"date-parts":[["1986"]]},"page":"207-215","publisher":"Cushman Foundation for Foraminiferal Research","title":"Characteristic assemblages and morphologies of benthic foraminifera from anoxic, organic-rich deposits; Jurassic through Holocene","type":"article-journal","volume":"16"},"uris":["http://www.mendeley.com/documents/?uuid=e1e32478-6bee-40f7-9514-a4027cc708dc"]}],"mendeley":{"formattedCitation":"&lt;sup&gt;12&lt;/sup&gt;","plainTextFormattedCitation":"12","previouslyFormattedCitation":"&lt;sup&gt;12&lt;/sup&gt;"},"properties":{"noteIndex":0},"schema":"https://github.com/citation-style-language/schema/raw/master/csl-citation.json"}</w:instrText>
            </w:r>
            <w:r w:rsidR="008B6DB7">
              <w:rPr>
                <w:rFonts w:asciiTheme="minorHAnsi" w:hAnsiTheme="minorHAnsi"/>
                <w:color w:val="000000"/>
                <w:sz w:val="22"/>
                <w:szCs w:val="22"/>
              </w:rPr>
              <w:fldChar w:fldCharType="separate"/>
            </w:r>
            <w:r w:rsidR="008B6DB7" w:rsidRPr="008B6DB7">
              <w:rPr>
                <w:rFonts w:asciiTheme="minorHAnsi" w:hAnsiTheme="minorHAnsi"/>
                <w:noProof/>
                <w:color w:val="000000"/>
                <w:sz w:val="22"/>
                <w:szCs w:val="22"/>
                <w:vertAlign w:val="superscript"/>
              </w:rPr>
              <w:t>12</w:t>
            </w:r>
            <w:r w:rsidR="008B6DB7">
              <w:rPr>
                <w:rFonts w:asciiTheme="minorHAnsi" w:hAnsiTheme="minorHAnsi"/>
                <w:color w:val="000000"/>
                <w:sz w:val="22"/>
                <w:szCs w:val="22"/>
              </w:rPr>
              <w:fldChar w:fldCharType="end"/>
            </w:r>
            <w:r w:rsidR="008B6DB7">
              <w:rPr>
                <w:rFonts w:asciiTheme="minorHAnsi" w:hAnsiTheme="minorHAnsi"/>
                <w:color w:val="000000"/>
                <w:sz w:val="22"/>
                <w:szCs w:val="22"/>
              </w:rPr>
              <w:t>.</w:t>
            </w:r>
          </w:p>
        </w:tc>
      </w:tr>
      <w:tr w:rsidR="00B50234" w14:paraId="53DA34C4" w14:textId="77777777" w:rsidTr="006603F9">
        <w:trPr>
          <w:trHeight w:val="680"/>
        </w:trPr>
        <w:tc>
          <w:tcPr>
            <w:tcW w:w="2047" w:type="dxa"/>
            <w:shd w:val="clear" w:color="auto" w:fill="auto"/>
            <w:noWrap/>
            <w:tcMar>
              <w:top w:w="15" w:type="dxa"/>
              <w:left w:w="15" w:type="dxa"/>
              <w:bottom w:w="0" w:type="dxa"/>
              <w:right w:w="15" w:type="dxa"/>
            </w:tcMar>
            <w:hideMark/>
          </w:tcPr>
          <w:p w14:paraId="1E4E74BC"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Bulimina</w:t>
            </w:r>
            <w:proofErr w:type="spellEnd"/>
            <w:r w:rsidRPr="00B848F3">
              <w:rPr>
                <w:rFonts w:asciiTheme="minorHAnsi" w:hAnsiTheme="minorHAnsi"/>
                <w:i/>
                <w:iCs/>
                <w:color w:val="000000"/>
                <w:sz w:val="22"/>
                <w:szCs w:val="22"/>
              </w:rPr>
              <w:t xml:space="preserve"> triangularis</w:t>
            </w:r>
          </w:p>
        </w:tc>
        <w:tc>
          <w:tcPr>
            <w:tcW w:w="1634" w:type="dxa"/>
            <w:shd w:val="clear" w:color="auto" w:fill="auto"/>
            <w:noWrap/>
            <w:tcMar>
              <w:top w:w="15" w:type="dxa"/>
              <w:left w:w="15" w:type="dxa"/>
              <w:bottom w:w="0" w:type="dxa"/>
              <w:right w:w="15" w:type="dxa"/>
            </w:tcMar>
            <w:hideMark/>
          </w:tcPr>
          <w:p w14:paraId="42E115FB"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5015152D" w14:textId="12238CCD"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Genus suggested to dominate modern low-oxygen assemblages</w:t>
            </w:r>
            <w:r w:rsidR="008B6DB7">
              <w:rPr>
                <w:rFonts w:asciiTheme="minorHAnsi" w:hAnsiTheme="minorHAnsi"/>
                <w:color w:val="000000"/>
                <w:sz w:val="22"/>
                <w:szCs w:val="22"/>
              </w:rPr>
              <w:fldChar w:fldCharType="begin" w:fldLock="1"/>
            </w:r>
            <w:r w:rsidR="008F66D1">
              <w:rPr>
                <w:rFonts w:asciiTheme="minorHAnsi" w:hAnsiTheme="minorHAnsi"/>
                <w:color w:val="000000"/>
                <w:sz w:val="22"/>
                <w:szCs w:val="22"/>
              </w:rPr>
              <w:instrText>ADDIN CSL_CITATION {"citationItems":[{"id":"ITEM-1","itemData":{"ISSN":"0035-1598","author":[{"dropping-particle":"","family":"Friedrich","given":"Oliver","non-dropping-particle":"","parse-names":false,"suffix":""}],"container-title":"Revue de micropaléontologie","id":"ITEM-1","issue":"3","issued":{"date-parts":[["2010"]]},"page":"175-192","publisher":"Elsevier","title":"Benthic foraminifera and their role to decipher paleoenvironment during mid-Cretaceous Oceanic Anoxic Events–the “anoxic benthic foraminifera” paradox","type":"article-journal","volume":"53"},"uris":["http://www.mendeley.com/documents/?uuid=752d0d96-44c4-49da-90e1-72b25c797cf0"]}],"mendeley":{"formattedCitation":"&lt;sup&gt;9&lt;/sup&gt;","plainTextFormattedCitation":"9","previouslyFormattedCitation":"&lt;sup&gt;9&lt;/sup&gt;"},"properties":{"noteIndex":0},"schema":"https://github.com/citation-style-language/schema/raw/master/csl-citation.json"}</w:instrText>
            </w:r>
            <w:r w:rsidR="008B6DB7">
              <w:rPr>
                <w:rFonts w:asciiTheme="minorHAnsi" w:hAnsiTheme="minorHAnsi"/>
                <w:color w:val="000000"/>
                <w:sz w:val="22"/>
                <w:szCs w:val="22"/>
              </w:rPr>
              <w:fldChar w:fldCharType="separate"/>
            </w:r>
            <w:r w:rsidR="00173A7C" w:rsidRPr="00173A7C">
              <w:rPr>
                <w:rFonts w:asciiTheme="minorHAnsi" w:hAnsiTheme="minorHAnsi"/>
                <w:noProof/>
                <w:color w:val="000000"/>
                <w:sz w:val="22"/>
                <w:szCs w:val="22"/>
                <w:vertAlign w:val="superscript"/>
              </w:rPr>
              <w:t>9</w:t>
            </w:r>
            <w:r w:rsidR="008B6DB7">
              <w:rPr>
                <w:rFonts w:asciiTheme="minorHAnsi" w:hAnsiTheme="minorHAnsi"/>
                <w:color w:val="000000"/>
                <w:sz w:val="22"/>
                <w:szCs w:val="22"/>
              </w:rPr>
              <w:fldChar w:fldCharType="end"/>
            </w:r>
            <w:r w:rsidR="008B6DB7">
              <w:rPr>
                <w:rFonts w:asciiTheme="minorHAnsi" w:hAnsiTheme="minorHAnsi"/>
                <w:color w:val="000000"/>
                <w:sz w:val="22"/>
                <w:szCs w:val="22"/>
              </w:rPr>
              <w:t>.</w:t>
            </w:r>
          </w:p>
        </w:tc>
      </w:tr>
      <w:tr w:rsidR="00B50234" w14:paraId="19736BEF" w14:textId="77777777" w:rsidTr="006603F9">
        <w:trPr>
          <w:trHeight w:val="3060"/>
        </w:trPr>
        <w:tc>
          <w:tcPr>
            <w:tcW w:w="2047" w:type="dxa"/>
            <w:shd w:val="clear" w:color="auto" w:fill="auto"/>
            <w:noWrap/>
            <w:tcMar>
              <w:top w:w="15" w:type="dxa"/>
              <w:left w:w="15" w:type="dxa"/>
              <w:bottom w:w="0" w:type="dxa"/>
              <w:right w:w="15" w:type="dxa"/>
            </w:tcMar>
            <w:hideMark/>
          </w:tcPr>
          <w:p w14:paraId="75271FBD"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Lenticulina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78F97C02"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16175DBA" w14:textId="24A77EE2"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Indicative of dysoxia</w:t>
            </w:r>
            <w:r w:rsidR="008F66D1">
              <w:rPr>
                <w:rFonts w:asciiTheme="minorHAnsi" w:hAnsiTheme="minorHAnsi"/>
                <w:color w:val="000000"/>
                <w:sz w:val="22"/>
                <w:szCs w:val="22"/>
              </w:rPr>
              <w:fldChar w:fldCharType="begin" w:fldLock="1"/>
            </w:r>
            <w:r w:rsidR="008F66D1">
              <w:rPr>
                <w:rFonts w:asciiTheme="minorHAnsi" w:hAnsiTheme="minorHAnsi"/>
                <w:color w:val="000000"/>
                <w:sz w:val="22"/>
                <w:szCs w:val="22"/>
              </w:rPr>
              <w:instrText>ADDIN CSL_CITATION {"citationItems":[{"id":"ITEM-1","itemData":{"ISSN":"0035-1598","author":[{"dropping-particle":"","family":"Friedrich","given":"Oliver","non-dropping-particle":"","parse-names":false,"suffix":""}],"container-title":"Revue de micropaléontologie","id":"ITEM-1","issue":"3","issued":{"date-parts":[["2010"]]},"page":"175-192","publisher":"Elsevier","title":"Benthic foraminifera and their role to decipher paleoenvironment during mid-Cretaceous Oceanic Anoxic Events–the “anoxic benthic foraminifera” paradox","type":"article-journal","volume":"53"},"uris":["http://www.mendeley.com/documents/?uuid=752d0d96-44c4-49da-90e1-72b25c797cf0"]}],"mendeley":{"formattedCitation":"&lt;sup&gt;9&lt;/sup&gt;","plainTextFormattedCitation":"9","previouslyFormattedCitation":"&lt;sup&gt;9&lt;/sup&gt;"},"properties":{"noteIndex":0},"schema":"https://github.com/citation-style-language/schema/raw/master/csl-citation.json"}</w:instrText>
            </w:r>
            <w:r w:rsidR="008F66D1">
              <w:rPr>
                <w:rFonts w:asciiTheme="minorHAnsi" w:hAnsiTheme="minorHAnsi"/>
                <w:color w:val="000000"/>
                <w:sz w:val="22"/>
                <w:szCs w:val="22"/>
              </w:rPr>
              <w:fldChar w:fldCharType="separate"/>
            </w:r>
            <w:r w:rsidR="008F66D1" w:rsidRPr="008F66D1">
              <w:rPr>
                <w:rFonts w:asciiTheme="minorHAnsi" w:hAnsiTheme="minorHAnsi"/>
                <w:noProof/>
                <w:color w:val="000000"/>
                <w:sz w:val="22"/>
                <w:szCs w:val="22"/>
                <w:vertAlign w:val="superscript"/>
              </w:rPr>
              <w:t>9</w:t>
            </w:r>
            <w:r w:rsidR="008F66D1">
              <w:rPr>
                <w:rFonts w:asciiTheme="minorHAnsi" w:hAnsiTheme="minorHAnsi"/>
                <w:color w:val="000000"/>
                <w:sz w:val="22"/>
                <w:szCs w:val="22"/>
              </w:rPr>
              <w:fldChar w:fldCharType="end"/>
            </w:r>
            <w:r w:rsidR="008F66D1">
              <w:rPr>
                <w:rFonts w:asciiTheme="minorHAnsi" w:hAnsiTheme="minorHAnsi"/>
                <w:color w:val="000000"/>
                <w:sz w:val="22"/>
                <w:szCs w:val="22"/>
              </w:rPr>
              <w:t>.</w:t>
            </w:r>
            <w:r w:rsidRPr="00B848F3">
              <w:rPr>
                <w:rFonts w:asciiTheme="minorHAnsi" w:hAnsiTheme="minorHAnsi"/>
                <w:color w:val="000000"/>
                <w:sz w:val="22"/>
                <w:szCs w:val="22"/>
              </w:rPr>
              <w:br/>
              <w:t xml:space="preserve">Epifaunal/shallow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active deposit feeder (grazing herbivores/detritivores), lives in fine-grained sands or calcareous or siliceous muds. Neritic to upper-middle bathyal</w:t>
            </w:r>
            <w:r w:rsidR="008F66D1">
              <w:rPr>
                <w:rFonts w:asciiTheme="minorHAnsi" w:hAnsiTheme="minorHAnsi"/>
                <w:color w:val="000000"/>
                <w:sz w:val="22"/>
                <w:szCs w:val="22"/>
              </w:rPr>
              <w:fldChar w:fldCharType="begin" w:fldLock="1"/>
            </w:r>
            <w:r w:rsidR="008F66D1">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F66D1">
              <w:rPr>
                <w:rFonts w:asciiTheme="minorHAnsi" w:hAnsiTheme="minorHAnsi"/>
                <w:color w:val="000000"/>
                <w:sz w:val="22"/>
                <w:szCs w:val="22"/>
              </w:rPr>
              <w:fldChar w:fldCharType="separate"/>
            </w:r>
            <w:r w:rsidR="008F66D1" w:rsidRPr="008F66D1">
              <w:rPr>
                <w:rFonts w:asciiTheme="minorHAnsi" w:hAnsiTheme="minorHAnsi"/>
                <w:noProof/>
                <w:color w:val="000000"/>
                <w:sz w:val="22"/>
                <w:szCs w:val="22"/>
                <w:vertAlign w:val="superscript"/>
              </w:rPr>
              <w:t>10</w:t>
            </w:r>
            <w:r w:rsidR="008F66D1">
              <w:rPr>
                <w:rFonts w:asciiTheme="minorHAnsi" w:hAnsiTheme="minorHAnsi"/>
                <w:color w:val="000000"/>
                <w:sz w:val="22"/>
                <w:szCs w:val="22"/>
              </w:rPr>
              <w:fldChar w:fldCharType="end"/>
            </w:r>
            <w:r w:rsidR="008F66D1">
              <w:rPr>
                <w:rFonts w:asciiTheme="minorHAnsi" w:hAnsiTheme="minorHAnsi"/>
                <w:color w:val="000000"/>
                <w:sz w:val="22"/>
                <w:szCs w:val="22"/>
              </w:rPr>
              <w:t>.</w:t>
            </w:r>
            <w:r w:rsidRPr="00B848F3">
              <w:rPr>
                <w:rFonts w:asciiTheme="minorHAnsi" w:hAnsiTheme="minorHAnsi"/>
                <w:color w:val="000000"/>
                <w:sz w:val="22"/>
                <w:szCs w:val="22"/>
              </w:rPr>
              <w:br/>
              <w:t xml:space="preserve">Modern species live 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Opportunistic and morphologically adapted to move vertically in sediment in response to availability of food and oxygen. Tolerant to oxygen depletion. Adapted to a wide variety of environmental conditions. Generally smooth or little ornamented test suitable for rapid burrowing</w:t>
            </w:r>
            <w:r w:rsidR="008F66D1">
              <w:rPr>
                <w:rFonts w:asciiTheme="minorHAnsi" w:hAnsiTheme="minorHAnsi"/>
                <w:color w:val="000000"/>
                <w:sz w:val="22"/>
                <w:szCs w:val="22"/>
              </w:rPr>
              <w:fldChar w:fldCharType="begin" w:fldLock="1"/>
            </w:r>
            <w:r w:rsidR="00E456AC">
              <w:rPr>
                <w:rFonts w:asciiTheme="minorHAnsi" w:hAnsiTheme="minorHAnsi"/>
                <w:color w:val="000000"/>
                <w:sz w:val="22"/>
                <w:szCs w:val="22"/>
              </w:rPr>
              <w:instrText>ADDIN CSL_CITATION {"citationItems":[{"id":"ITEM-1","itemData":{"author":[{"dropping-particle":"","family":"Wendler","given":"I.","non-dropping-particle":"","parse-names":false,"suffix":""},{"dropping-particle":"","family":"Huber","given":"B.T.","non-dropping-particle":"","parse-names":false,"suffix":""},{"dropping-particle":"","family":"MacLeod","given":"K.G.","non-dropping-particle":"","parse-names":false,"suffix":""},{"dropping-particle":"","family":"Wendler","given":"J.E.","non-dropping-particle":"","parse-names":false,"suffix":""}],"container-title":"Marine Micropaleontology","id":"ITEM-1","issued":{"date-parts":[["2013"]]},"page":"1-33","title":"Stable oxygen and carbon isotope systematics of exquisitely preserved Turonian foraminifera from Tanzania—Understanding isotopic signatures in fossils","type":"article-journal","volume":"102"},"uris":["http://www.mendeley.com/documents/?uuid=854869d0-e9e0-475b-9797-2e1049d73a1f"]}],"mendeley":{"formattedCitation":"&lt;sup&gt;13&lt;/sup&gt;","plainTextFormattedCitation":"13","previouslyFormattedCitation":"&lt;sup&gt;13&lt;/sup&gt;"},"properties":{"noteIndex":0},"schema":"https://github.com/citation-style-language/schema/raw/master/csl-citation.json"}</w:instrText>
            </w:r>
            <w:r w:rsidR="008F66D1">
              <w:rPr>
                <w:rFonts w:asciiTheme="minorHAnsi" w:hAnsiTheme="minorHAnsi"/>
                <w:color w:val="000000"/>
                <w:sz w:val="22"/>
                <w:szCs w:val="22"/>
              </w:rPr>
              <w:fldChar w:fldCharType="separate"/>
            </w:r>
            <w:r w:rsidR="008F66D1" w:rsidRPr="008F66D1">
              <w:rPr>
                <w:rFonts w:asciiTheme="minorHAnsi" w:hAnsiTheme="minorHAnsi"/>
                <w:noProof/>
                <w:color w:val="000000"/>
                <w:sz w:val="22"/>
                <w:szCs w:val="22"/>
                <w:vertAlign w:val="superscript"/>
              </w:rPr>
              <w:t>13</w:t>
            </w:r>
            <w:r w:rsidR="008F66D1">
              <w:rPr>
                <w:rFonts w:asciiTheme="minorHAnsi" w:hAnsiTheme="minorHAnsi"/>
                <w:color w:val="000000"/>
                <w:sz w:val="22"/>
                <w:szCs w:val="22"/>
              </w:rPr>
              <w:fldChar w:fldCharType="end"/>
            </w:r>
            <w:r w:rsidRPr="00B848F3">
              <w:rPr>
                <w:rFonts w:asciiTheme="minorHAnsi" w:hAnsiTheme="minorHAnsi"/>
                <w:color w:val="000000"/>
                <w:sz w:val="22"/>
                <w:szCs w:val="22"/>
              </w:rPr>
              <w:t xml:space="preserve">. Suggested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based on carbon isotope comparison (this study)</w:t>
            </w:r>
            <w:r w:rsidR="008F66D1">
              <w:rPr>
                <w:rFonts w:asciiTheme="minorHAnsi" w:hAnsiTheme="minorHAnsi"/>
                <w:color w:val="000000"/>
                <w:sz w:val="22"/>
                <w:szCs w:val="22"/>
              </w:rPr>
              <w:t>.</w:t>
            </w:r>
          </w:p>
        </w:tc>
      </w:tr>
      <w:tr w:rsidR="00B50234" w14:paraId="76408297" w14:textId="77777777" w:rsidTr="006603F9">
        <w:trPr>
          <w:trHeight w:val="1700"/>
        </w:trPr>
        <w:tc>
          <w:tcPr>
            <w:tcW w:w="2047" w:type="dxa"/>
            <w:shd w:val="clear" w:color="auto" w:fill="auto"/>
            <w:noWrap/>
            <w:tcMar>
              <w:top w:w="15" w:type="dxa"/>
              <w:left w:w="15" w:type="dxa"/>
              <w:bottom w:w="0" w:type="dxa"/>
              <w:right w:w="15" w:type="dxa"/>
            </w:tcMar>
            <w:hideMark/>
          </w:tcPr>
          <w:p w14:paraId="7C006E9C"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Osangularia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37A05F1E"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1E6DD2E6" w14:textId="0AE8C614"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Opportunistic, benefitting from eutrophic conditions by reproducing at high rates, leading to a dominance in low-diversity assemblages</w:t>
            </w:r>
            <w:r w:rsidR="00E456AC">
              <w:rPr>
                <w:rFonts w:asciiTheme="minorHAnsi" w:hAnsiTheme="minorHAnsi"/>
                <w:color w:val="000000"/>
                <w:sz w:val="22"/>
                <w:szCs w:val="22"/>
              </w:rPr>
              <w:fldChar w:fldCharType="begin" w:fldLock="1"/>
            </w:r>
            <w:r w:rsidR="00E456AC">
              <w:rPr>
                <w:rFonts w:asciiTheme="minorHAnsi" w:hAnsiTheme="minorHAnsi"/>
                <w:color w:val="000000"/>
                <w:sz w:val="22"/>
                <w:szCs w:val="22"/>
              </w:rPr>
              <w:instrText>ADDIN CSL_CITATION {"citationItems":[{"id":"ITEM-1","itemData":{"ISSN":"0035-1598","author":[{"dropping-particle":"","family":"Friedrich","given":"Oliver","non-dropping-particle":"","parse-names":false,"suffix":""}],"container-title":"Revue de micropaléontologie","id":"ITEM-1","issue":"3","issued":{"date-parts":[["2010"]]},"page":"175-192","publisher":"Elsevier","title":"Benthic foraminifera and their role to decipher paleoenvironment during mid-Cretaceous Oceanic Anoxic Events–the “anoxic benthic foraminifera” paradox","type":"article-journal","volume":"53"},"uris":["http://www.mendeley.com/documents/?uuid=752d0d96-44c4-49da-90e1-72b25c797cf0"]}],"mendeley":{"formattedCitation":"&lt;sup&gt;9&lt;/sup&gt;","plainTextFormattedCitation":"9","previouslyFormattedCitation":"&lt;sup&gt;9&lt;/sup&gt;"},"properties":{"noteIndex":0},"schema":"https://github.com/citation-style-language/schema/raw/master/csl-citation.json"}</w:instrText>
            </w:r>
            <w:r w:rsidR="00E456AC">
              <w:rPr>
                <w:rFonts w:asciiTheme="minorHAnsi" w:hAnsiTheme="minorHAnsi"/>
                <w:color w:val="000000"/>
                <w:sz w:val="22"/>
                <w:szCs w:val="22"/>
              </w:rPr>
              <w:fldChar w:fldCharType="separate"/>
            </w:r>
            <w:r w:rsidR="00E456AC" w:rsidRPr="00E456AC">
              <w:rPr>
                <w:rFonts w:asciiTheme="minorHAnsi" w:hAnsiTheme="minorHAnsi"/>
                <w:noProof/>
                <w:color w:val="000000"/>
                <w:sz w:val="22"/>
                <w:szCs w:val="22"/>
                <w:vertAlign w:val="superscript"/>
              </w:rPr>
              <w:t>9</w:t>
            </w:r>
            <w:r w:rsidR="00E456AC">
              <w:rPr>
                <w:rFonts w:asciiTheme="minorHAnsi" w:hAnsiTheme="minorHAnsi"/>
                <w:color w:val="000000"/>
                <w:sz w:val="22"/>
                <w:szCs w:val="22"/>
              </w:rPr>
              <w:fldChar w:fldCharType="end"/>
            </w:r>
            <w:r w:rsidR="00E456AC">
              <w:rPr>
                <w:rFonts w:asciiTheme="minorHAnsi" w:hAnsiTheme="minorHAnsi"/>
                <w:color w:val="000000"/>
                <w:sz w:val="22"/>
                <w:szCs w:val="22"/>
              </w:rPr>
              <w:t>.</w:t>
            </w:r>
            <w:r w:rsidRPr="00B848F3">
              <w:rPr>
                <w:rFonts w:asciiTheme="minorHAnsi" w:hAnsiTheme="minorHAnsi"/>
                <w:color w:val="000000"/>
                <w:sz w:val="22"/>
                <w:szCs w:val="22"/>
              </w:rPr>
              <w:br/>
              <w:t>Epifaunal, active deposit feeder. Living in fine-grained sands, or calcareous or siliceous muds. Middle-outer neritic to upper bathyal</w:t>
            </w:r>
            <w:r w:rsidR="00E456AC">
              <w:rPr>
                <w:rFonts w:asciiTheme="minorHAnsi" w:hAnsiTheme="minorHAnsi"/>
                <w:color w:val="000000"/>
                <w:sz w:val="22"/>
                <w:szCs w:val="22"/>
              </w:rPr>
              <w:fldChar w:fldCharType="begin" w:fldLock="1"/>
            </w:r>
            <w:r w:rsidR="00E456AC">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E456AC">
              <w:rPr>
                <w:rFonts w:asciiTheme="minorHAnsi" w:hAnsiTheme="minorHAnsi"/>
                <w:color w:val="000000"/>
                <w:sz w:val="22"/>
                <w:szCs w:val="22"/>
              </w:rPr>
              <w:fldChar w:fldCharType="separate"/>
            </w:r>
            <w:r w:rsidR="00E456AC" w:rsidRPr="00E456AC">
              <w:rPr>
                <w:rFonts w:asciiTheme="minorHAnsi" w:hAnsiTheme="minorHAnsi"/>
                <w:noProof/>
                <w:color w:val="000000"/>
                <w:sz w:val="22"/>
                <w:szCs w:val="22"/>
                <w:vertAlign w:val="superscript"/>
              </w:rPr>
              <w:t>10</w:t>
            </w:r>
            <w:r w:rsidR="00E456AC">
              <w:rPr>
                <w:rFonts w:asciiTheme="minorHAnsi" w:hAnsiTheme="minorHAnsi"/>
                <w:color w:val="000000"/>
                <w:sz w:val="22"/>
                <w:szCs w:val="22"/>
              </w:rPr>
              <w:fldChar w:fldCharType="end"/>
            </w:r>
            <w:r w:rsidR="00E456AC">
              <w:rPr>
                <w:rFonts w:asciiTheme="minorHAnsi" w:hAnsiTheme="minorHAnsi"/>
                <w:color w:val="000000"/>
                <w:sz w:val="22"/>
                <w:szCs w:val="22"/>
              </w:rPr>
              <w:t>.</w:t>
            </w:r>
          </w:p>
        </w:tc>
      </w:tr>
      <w:tr w:rsidR="00B50234" w14:paraId="1D08C1E9" w14:textId="77777777" w:rsidTr="006603F9">
        <w:trPr>
          <w:trHeight w:val="1020"/>
        </w:trPr>
        <w:tc>
          <w:tcPr>
            <w:tcW w:w="2047" w:type="dxa"/>
            <w:shd w:val="clear" w:color="auto" w:fill="auto"/>
            <w:noWrap/>
            <w:tcMar>
              <w:top w:w="15" w:type="dxa"/>
              <w:left w:w="15" w:type="dxa"/>
              <w:bottom w:w="0" w:type="dxa"/>
              <w:right w:w="15" w:type="dxa"/>
            </w:tcMar>
            <w:hideMark/>
          </w:tcPr>
          <w:p w14:paraId="23DECE2C"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Pleurostomella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35983671"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2B6D5954" w14:textId="13E9DCF2"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Highly tolerant to oxygen deficiency</w:t>
            </w:r>
            <w:r w:rsidR="00E456AC">
              <w:rPr>
                <w:rFonts w:asciiTheme="minorHAnsi" w:hAnsiTheme="minorHAnsi"/>
                <w:color w:val="000000"/>
                <w:sz w:val="22"/>
                <w:szCs w:val="22"/>
              </w:rPr>
              <w:fldChar w:fldCharType="begin" w:fldLock="1"/>
            </w:r>
            <w:r w:rsidR="00E456AC">
              <w:rPr>
                <w:rFonts w:asciiTheme="minorHAnsi" w:hAnsiTheme="minorHAnsi"/>
                <w:color w:val="000000"/>
                <w:sz w:val="22"/>
                <w:szCs w:val="22"/>
              </w:rPr>
              <w:instrText>ADDIN CSL_CITATION {"citationItems":[{"id":"ITEM-1","itemData":{"ISSN":"0035-1598","author":[{"dropping-particle":"","family":"Friedrich","given":"Oliver","non-dropping-particle":"","parse-names":false,"suffix":""}],"container-title":"Revue de micropaléontologie","id":"ITEM-1","issue":"3","issued":{"date-parts":[["2010"]]},"page":"175-192","publisher":"Elsevier","title":"Benthic foraminifera and their role to decipher paleoenvironment during mid-Cretaceous Oceanic Anoxic Events–the “anoxic benthic foraminifera” paradox","type":"article-journal","volume":"53"},"uris":["http://www.mendeley.com/documents/?uuid=752d0d96-44c4-49da-90e1-72b25c797cf0"]}],"mendeley":{"formattedCitation":"&lt;sup&gt;9&lt;/sup&gt;","plainTextFormattedCitation":"9","previouslyFormattedCitation":"&lt;sup&gt;9&lt;/sup&gt;"},"properties":{"noteIndex":0},"schema":"https://github.com/citation-style-language/schema/raw/master/csl-citation.json"}</w:instrText>
            </w:r>
            <w:r w:rsidR="00E456AC">
              <w:rPr>
                <w:rFonts w:asciiTheme="minorHAnsi" w:hAnsiTheme="minorHAnsi"/>
                <w:color w:val="000000"/>
                <w:sz w:val="22"/>
                <w:szCs w:val="22"/>
              </w:rPr>
              <w:fldChar w:fldCharType="separate"/>
            </w:r>
            <w:r w:rsidR="00E456AC" w:rsidRPr="00E456AC">
              <w:rPr>
                <w:rFonts w:asciiTheme="minorHAnsi" w:hAnsiTheme="minorHAnsi"/>
                <w:noProof/>
                <w:color w:val="000000"/>
                <w:sz w:val="22"/>
                <w:szCs w:val="22"/>
                <w:vertAlign w:val="superscript"/>
              </w:rPr>
              <w:t>9</w:t>
            </w:r>
            <w:r w:rsidR="00E456AC">
              <w:rPr>
                <w:rFonts w:asciiTheme="minorHAnsi" w:hAnsiTheme="minorHAnsi"/>
                <w:color w:val="000000"/>
                <w:sz w:val="22"/>
                <w:szCs w:val="22"/>
              </w:rPr>
              <w:fldChar w:fldCharType="end"/>
            </w:r>
            <w:r w:rsidR="00E456AC">
              <w:rPr>
                <w:rFonts w:asciiTheme="minorHAnsi" w:hAnsiTheme="minorHAnsi"/>
                <w:color w:val="000000"/>
                <w:sz w:val="22"/>
                <w:szCs w:val="22"/>
              </w:rPr>
              <w:t>.</w:t>
            </w:r>
            <w:r w:rsidRPr="00B848F3">
              <w:rPr>
                <w:rFonts w:asciiTheme="minorHAnsi" w:hAnsiTheme="minorHAnsi"/>
                <w:color w:val="000000"/>
                <w:sz w:val="22"/>
                <w:szCs w:val="22"/>
              </w:rPr>
              <w:br/>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deposit feeder. Living in fine-grained calcareous or siliceous muds. Middle-outer neritic to upper-middle bathyal</w:t>
            </w:r>
            <w:r w:rsidR="00E456AC">
              <w:rPr>
                <w:rFonts w:asciiTheme="minorHAnsi" w:hAnsiTheme="minorHAnsi"/>
                <w:color w:val="000000"/>
                <w:sz w:val="22"/>
                <w:szCs w:val="22"/>
              </w:rPr>
              <w:fldChar w:fldCharType="begin" w:fldLock="1"/>
            </w:r>
            <w:r w:rsidR="00E456AC">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E456AC">
              <w:rPr>
                <w:rFonts w:asciiTheme="minorHAnsi" w:hAnsiTheme="minorHAnsi"/>
                <w:color w:val="000000"/>
                <w:sz w:val="22"/>
                <w:szCs w:val="22"/>
              </w:rPr>
              <w:fldChar w:fldCharType="separate"/>
            </w:r>
            <w:r w:rsidR="00E456AC" w:rsidRPr="00E456AC">
              <w:rPr>
                <w:rFonts w:asciiTheme="minorHAnsi" w:hAnsiTheme="minorHAnsi"/>
                <w:noProof/>
                <w:color w:val="000000"/>
                <w:sz w:val="22"/>
                <w:szCs w:val="22"/>
                <w:vertAlign w:val="superscript"/>
              </w:rPr>
              <w:t>10</w:t>
            </w:r>
            <w:r w:rsidR="00E456AC">
              <w:rPr>
                <w:rFonts w:asciiTheme="minorHAnsi" w:hAnsiTheme="minorHAnsi"/>
                <w:color w:val="000000"/>
                <w:sz w:val="22"/>
                <w:szCs w:val="22"/>
              </w:rPr>
              <w:fldChar w:fldCharType="end"/>
            </w:r>
            <w:r w:rsidR="00E456AC">
              <w:rPr>
                <w:rFonts w:asciiTheme="minorHAnsi" w:hAnsiTheme="minorHAnsi"/>
                <w:color w:val="000000"/>
                <w:sz w:val="22"/>
                <w:szCs w:val="22"/>
              </w:rPr>
              <w:t>.</w:t>
            </w:r>
          </w:p>
        </w:tc>
      </w:tr>
      <w:tr w:rsidR="00B50234" w14:paraId="0BE137E4" w14:textId="77777777" w:rsidTr="006603F9">
        <w:trPr>
          <w:trHeight w:val="1020"/>
        </w:trPr>
        <w:tc>
          <w:tcPr>
            <w:tcW w:w="2047" w:type="dxa"/>
            <w:shd w:val="clear" w:color="auto" w:fill="auto"/>
            <w:noWrap/>
            <w:tcMar>
              <w:top w:w="15" w:type="dxa"/>
              <w:left w:w="15" w:type="dxa"/>
              <w:bottom w:w="0" w:type="dxa"/>
              <w:right w:w="15" w:type="dxa"/>
            </w:tcMar>
            <w:hideMark/>
          </w:tcPr>
          <w:p w14:paraId="7403CBAD"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Praebulimina</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nannina</w:t>
            </w:r>
            <w:proofErr w:type="spellEnd"/>
          </w:p>
        </w:tc>
        <w:tc>
          <w:tcPr>
            <w:tcW w:w="1634" w:type="dxa"/>
            <w:shd w:val="clear" w:color="auto" w:fill="auto"/>
            <w:noWrap/>
            <w:tcMar>
              <w:top w:w="15" w:type="dxa"/>
              <w:left w:w="15" w:type="dxa"/>
              <w:bottom w:w="0" w:type="dxa"/>
              <w:right w:w="15" w:type="dxa"/>
            </w:tcMar>
            <w:hideMark/>
          </w:tcPr>
          <w:p w14:paraId="50A9A95A"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17D2C521" w14:textId="37E047FB"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Deep water species</w:t>
            </w:r>
            <w:r w:rsidR="00E456AC">
              <w:rPr>
                <w:rFonts w:asciiTheme="minorHAnsi" w:hAnsiTheme="minorHAnsi"/>
                <w:color w:val="000000"/>
                <w:sz w:val="22"/>
                <w:szCs w:val="22"/>
              </w:rPr>
              <w:fldChar w:fldCharType="begin" w:fldLock="1"/>
            </w:r>
            <w:r w:rsidR="00E456AC">
              <w:rPr>
                <w:rFonts w:asciiTheme="minorHAnsi" w:hAnsiTheme="minorHAnsi"/>
                <w:color w:val="000000"/>
                <w:sz w:val="22"/>
                <w:szCs w:val="22"/>
              </w:rPr>
              <w:instrText>ADDIN CSL_CITATION {"citationItems":[{"id":"ITEM-1","itemData":{"ISSN":"0377-8398","author":[{"dropping-particle":"","family":"Gebhardt","given":"Holger","non-dropping-particle":"","parse-names":false,"suffix":""},{"dropping-particle":"","family":"Kuhnt","given":"Wolfgang","non-dropping-particle":"","parse-names":false,"suffix":""},{"dropping-particle":"","family":"Holbourn","given":"Ann","non-dropping-particle":"","parse-names":false,"suffix":""}],"container-title":"Marine Micropaleontology","id":"ITEM-1","issue":"1-2","issued":{"date-parts":[["2004"]]},"page":"133-157","publisher":"Elsevier","title":"Foraminiferal response to sea level change, organic flux and oxygen deficiency in the Cenomanian of the Tarfaya Basin, southern Morocco","type":"article-journal","volume":"53"},"uris":["http://www.mendeley.com/documents/?uuid=caffb4ed-0128-44fe-8222-2dd81563a13c"]}],"mendeley":{"formattedCitation":"&lt;sup&gt;14&lt;/sup&gt;","plainTextFormattedCitation":"14","previouslyFormattedCitation":"&lt;sup&gt;14&lt;/sup&gt;"},"properties":{"noteIndex":0},"schema":"https://github.com/citation-style-language/schema/raw/master/csl-citation.json"}</w:instrText>
            </w:r>
            <w:r w:rsidR="00E456AC">
              <w:rPr>
                <w:rFonts w:asciiTheme="minorHAnsi" w:hAnsiTheme="minorHAnsi"/>
                <w:color w:val="000000"/>
                <w:sz w:val="22"/>
                <w:szCs w:val="22"/>
              </w:rPr>
              <w:fldChar w:fldCharType="separate"/>
            </w:r>
            <w:r w:rsidR="00E456AC" w:rsidRPr="00E456AC">
              <w:rPr>
                <w:rFonts w:asciiTheme="minorHAnsi" w:hAnsiTheme="minorHAnsi"/>
                <w:noProof/>
                <w:color w:val="000000"/>
                <w:sz w:val="22"/>
                <w:szCs w:val="22"/>
                <w:vertAlign w:val="superscript"/>
              </w:rPr>
              <w:t>14</w:t>
            </w:r>
            <w:r w:rsidR="00E456AC">
              <w:rPr>
                <w:rFonts w:asciiTheme="minorHAnsi" w:hAnsiTheme="minorHAnsi"/>
                <w:color w:val="000000"/>
                <w:sz w:val="22"/>
                <w:szCs w:val="22"/>
              </w:rPr>
              <w:fldChar w:fldCharType="end"/>
            </w:r>
            <w:r w:rsidR="00E456AC">
              <w:rPr>
                <w:rFonts w:asciiTheme="minorHAnsi" w:hAnsiTheme="minorHAnsi"/>
                <w:color w:val="000000"/>
                <w:sz w:val="22"/>
                <w:szCs w:val="22"/>
              </w:rPr>
              <w:t>.</w:t>
            </w:r>
            <w:r w:rsidRPr="00B848F3">
              <w:rPr>
                <w:rFonts w:asciiTheme="minorHAnsi" w:hAnsiTheme="minorHAnsi"/>
                <w:color w:val="000000"/>
                <w:sz w:val="22"/>
                <w:szCs w:val="22"/>
              </w:rPr>
              <w:br/>
              <w:t>Low oxygen tolerant and epifaunal</w:t>
            </w:r>
            <w:r w:rsidR="00E456AC">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{"citationItems":[{"id":"ITEM-1","itemData":{"DOI":"10.1111/j.1365-3091.2010.01151.x","ISBN":"1365-3091","ISSN":"00370746","PMID":"31693","abstract":"The response of shallow-water sequences to oceanic anoxic event 2 and mid-Cenomanian events 1a and 1b was investigated along the west African margin of Morocco north of Agadir (Azazoul) and correlated with the deep-water sequence of the Tarfaya Basin (Mohammed Beach) based on biostratigraphy, mineralogy, phosphorus and stable isotopes. In the deeper Mohammed Beach section results show double peaks in δ13Corg for mid-Cenomanian events 1a and 1b (Rotalipora reicheli biozone, lower CC10a biozone), the characteristic oceanic anoxic event 2 δ13C excursion (Rotalipora cushmani extinction, top of CC10a biozone) and laminated (anoxic) black shale. In the shallow environment north of Agadir, a fluctuating sea-level associated with dysoxic, brackish and mesotrophic conditions prevailed during the middle to late Cenomanian, as indicated by oyster biostromes, nannofossils, planktonic and benthonic foraminiferal assemblages. Anoxic conditions characteristic of oceanic anoxic event 2 (for example, laminated black shales) did not reach into shallow-water environments until the maximum transgression of the early Turonian. Climate conditions decoupled along the western margin of Morocco between mid-Cenomanian event 1b and the Cenomanian–Turonian boundary, as also observed in eastern Tethys. North of Agadir alternating humid and dry seasonal conditions prevailed, whereas in the Tarfaya Basin the climate was dry and seasonal. This climatic decoupling can be attributed to variations in the Intertropical Convergence Zone and in the intensity of the north-east trade winds in tropical areas.","author":[{"dropping-particle":"","family":"Gertsch","given":"Brian","non-dropping-particle":"","parse-names":false,"suffix":""},{"dropping-particle":"","family":"Adatte","given":"Thierry","non-dropping-particle":"","parse-names":false,"suffix":""},{"dropping-particle":"","family":"Keller","given":"Gerta","non-dropping-particle":"","parse-names":false,"suffix":""},{"dropping-particle":"","family":"Tantawy","given":"Abdel Aziz A.M.","non-dropping-particle":"","parse-names":false,"suffix":""},{"dropping-particle":"","family":"Berner","given":"Zsolt","non-dropping-particle":"","parse-names":false,"suffix":""},{"dropping-particle":"","family":"Mort","given":"Haydon P.","non-dropping-particle":"","parse-names":false,"suffix":""},{"dropping-particle":"","family":"Fleitmann","given":"Dominik","non-dropping-particle":"","parse-names":false,"suffix":""}],"container-title":"Sedimentology","id":"ITEM-1","issued":{"date-parts":[["2010"]]},"title":"Middle and late Cenomanian oceanic anoxic events in shallow and deeper shelf environments of western Morocco","type":"article-journal"},"uris":["http://www.mendeley.com/documents/?uuid=b5fc67e3-6806-30ae-a9b0-655fa0c50623"]}],"mendeley":{"formattedCitation":"&lt;sup&gt;15&lt;/sup&gt;","plainTextFormattedCitation":"15","previouslyFormattedCitation":"&lt;sup&gt;15&lt;/sup&gt;"},"properties":{"noteIndex":0},"schema":"https://github.com/citation-style-language/schema/raw/master/csl-citation.json"}</w:instrText>
            </w:r>
            <w:r w:rsidR="00E456AC">
              <w:rPr>
                <w:rFonts w:asciiTheme="minorHAnsi" w:hAnsiTheme="minorHAnsi"/>
                <w:color w:val="000000"/>
                <w:sz w:val="22"/>
                <w:szCs w:val="22"/>
              </w:rPr>
              <w:fldChar w:fldCharType="separate"/>
            </w:r>
            <w:r w:rsidR="00E456AC" w:rsidRPr="00E456AC">
              <w:rPr>
                <w:rFonts w:asciiTheme="minorHAnsi" w:hAnsiTheme="minorHAnsi"/>
                <w:noProof/>
                <w:color w:val="000000"/>
                <w:sz w:val="22"/>
                <w:szCs w:val="22"/>
                <w:vertAlign w:val="superscript"/>
              </w:rPr>
              <w:t>15</w:t>
            </w:r>
            <w:r w:rsidR="00E456AC">
              <w:rPr>
                <w:rFonts w:asciiTheme="minorHAnsi" w:hAnsiTheme="minorHAnsi"/>
                <w:color w:val="000000"/>
                <w:sz w:val="22"/>
                <w:szCs w:val="22"/>
              </w:rPr>
              <w:fldChar w:fldCharType="end"/>
            </w:r>
            <w:r w:rsidR="00E456AC">
              <w:rPr>
                <w:rFonts w:asciiTheme="minorHAnsi" w:hAnsiTheme="minorHAnsi"/>
                <w:color w:val="000000"/>
                <w:sz w:val="22"/>
                <w:szCs w:val="22"/>
              </w:rPr>
              <w:t>.</w:t>
            </w:r>
            <w:r w:rsidRPr="00B848F3">
              <w:rPr>
                <w:rFonts w:asciiTheme="minorHAnsi" w:hAnsiTheme="minorHAnsi"/>
                <w:color w:val="000000"/>
                <w:sz w:val="22"/>
                <w:szCs w:val="22"/>
              </w:rPr>
              <w:br/>
              <w:t>Low oxygen settings</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{"citationItems":[{"id":"ITEM-1","itemData":{"author":[{"dropping-particle":"","family":"España","given":"Norte","non-dropping-particle":"de","parse-names":false,"suffix":""},{"dropping-particle":"","family":"Gräfe","given":"K U","non-dropping-particle":"","parse-names":false,"suffix":""}],"container-title":"Journal of Iberian Geology","id":"ITEM-1","issue":"2","issued":{"date-parts":[["2005"]]},"page":"277-298","title":"Late Cretaceous benthic foraminifers from the Basque-Cantabrian basin, northern Spain","type":"article-journal","volume":"31"},"uris":["http://www.mendeley.com/documents/?uuid=d9072709-2702-4aee-a241-f3999f162dd4"]},{"id":"ITEM-2","itemData":{"ISSN":"1473-7116","author":[{"dropping-particle":"","family":"Koutsoukos","given":"Eduardo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Edinburgh","id":"ITEM-2","issue":"3","issued":{"date-parts":[["1990"]]},"page":"221-246","publisher":"Royal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10,16&lt;/sup&gt;","plainTextFormattedCitation":"10,16","previouslyFormattedCitation":"&lt;sup&gt;10,16&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10,16</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206BA2DD" w14:textId="77777777" w:rsidTr="006603F9">
        <w:trPr>
          <w:trHeight w:val="1700"/>
        </w:trPr>
        <w:tc>
          <w:tcPr>
            <w:tcW w:w="2047" w:type="dxa"/>
            <w:shd w:val="clear" w:color="auto" w:fill="auto"/>
            <w:noWrap/>
            <w:tcMar>
              <w:top w:w="15" w:type="dxa"/>
              <w:left w:w="15" w:type="dxa"/>
              <w:bottom w:w="0" w:type="dxa"/>
              <w:right w:w="15" w:type="dxa"/>
            </w:tcMar>
            <w:hideMark/>
          </w:tcPr>
          <w:p w14:paraId="5A29E272"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lastRenderedPageBreak/>
              <w:t>Praebulimina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13E1073C"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3ADF37C7" w14:textId="7EF3D10E"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habit</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{"citationItems":[{"id":"ITEM-1","itemData":{"author":[{"dropping-particle":"","family":"Thomas","given":"E.","non-dropping-particle":"","parse-names":false,"suffix":""}],"container-title":"Initial Reports of the Deep Sea Drilling Project","id":"ITEM-1","issued":{"date-parts":[["1990"]]},"page":"571-594","title":"Late Cretaceous through Neogene deep-sea benthic foraminifera (Maud Rise, Weddell Sea, Antarctica)","type":"article-journal","volume":"113B"},"uris":["http://www.mendeley.com/documents/?uuid=d61c297c-3b09-4817-8bb9-f6375cbc6dd9"]}],"mendeley":{"formattedCitation":"&lt;sup&gt;17&lt;/sup&gt;","plainTextFormattedCitation":"17","previouslyFormattedCitation":"&lt;sup&gt;17&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17</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r w:rsidRPr="00B848F3">
              <w:rPr>
                <w:rFonts w:asciiTheme="minorHAnsi" w:hAnsiTheme="minorHAnsi"/>
                <w:color w:val="000000"/>
                <w:sz w:val="22"/>
                <w:szCs w:val="22"/>
              </w:rPr>
              <w:br/>
              <w:t>Indicates eutrophic and lower oxygenated conditions in other Cenomanian/Turonian sections</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0035-1598","author":[{"dropping-particle":"","family":"Friedrich","given":"Oliver","non-dropping-particle":"","parse-names":false,"suffix":""},{"dropping-particle":"","family":"Erbacher","given":"Jochen","non-dropping-particle":"","parse-names":false,"suffix":""},{"dropping-particle":"","family":"Mutterlose","given":"Jörg","non-dropping-particle":"","parse-names":false,"suffix":""}],"container-title":"Revue de micropaléontologie","id":"ITEM-1","issue":"3","issued":{"date-parts":[["2006"]]},"page":"121-139","publisher":"Elsevier","title":"Paleoenvironmental changes across the Cenomanian/Turonian boundary event (oceanic anoxic event 2) as indicated by benthic foraminifera from the Demerara Rise (ODP Leg 207)","type":"article-journal","volume":"49"},"uris":["http://www.mendeley.com/documents/?uuid=4f60f611-27f9-4cc3-b6f8-560b98f9d41e"]}],"mendeley":{"formattedCitation":"&lt;sup&gt;18&lt;/sup&gt;","plainTextFormattedCitation":"18","previouslyFormattedCitation":"&lt;sup&gt;18&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18</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r w:rsidRPr="00B848F3">
              <w:rPr>
                <w:rFonts w:asciiTheme="minorHAnsi" w:hAnsiTheme="minorHAnsi"/>
                <w:color w:val="000000"/>
                <w:sz w:val="22"/>
                <w:szCs w:val="22"/>
              </w:rPr>
              <w:br/>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deposit feeder. Living in fine-grained calcareous or siliceous muds. Middle-outer neritic to upper-middle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Pr="00B848F3">
              <w:rPr>
                <w:rFonts w:asciiTheme="minorHAnsi" w:hAnsiTheme="minorHAnsi"/>
                <w:color w:val="000000"/>
                <w:sz w:val="22"/>
                <w:szCs w:val="22"/>
              </w:rPr>
              <w:t>.</w:t>
            </w:r>
          </w:p>
        </w:tc>
      </w:tr>
      <w:tr w:rsidR="00B50234" w14:paraId="13E67B6D" w14:textId="77777777" w:rsidTr="006603F9">
        <w:trPr>
          <w:trHeight w:val="680"/>
        </w:trPr>
        <w:tc>
          <w:tcPr>
            <w:tcW w:w="2047" w:type="dxa"/>
            <w:shd w:val="clear" w:color="auto" w:fill="auto"/>
            <w:noWrap/>
            <w:tcMar>
              <w:top w:w="15" w:type="dxa"/>
              <w:left w:w="15" w:type="dxa"/>
              <w:bottom w:w="0" w:type="dxa"/>
              <w:right w:w="15" w:type="dxa"/>
            </w:tcMar>
            <w:hideMark/>
          </w:tcPr>
          <w:p w14:paraId="5C53BC65"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Pseudouvigerina</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cimbrica</w:t>
            </w:r>
            <w:proofErr w:type="spellEnd"/>
          </w:p>
        </w:tc>
        <w:tc>
          <w:tcPr>
            <w:tcW w:w="1634" w:type="dxa"/>
            <w:shd w:val="clear" w:color="auto" w:fill="auto"/>
            <w:noWrap/>
            <w:tcMar>
              <w:top w:w="15" w:type="dxa"/>
              <w:left w:w="15" w:type="dxa"/>
              <w:bottom w:w="0" w:type="dxa"/>
              <w:right w:w="15" w:type="dxa"/>
            </w:tcMar>
            <w:hideMark/>
          </w:tcPr>
          <w:p w14:paraId="136F4CCE"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2FE233B5" w14:textId="2C1D01D1"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Upper-middle shelf to upper bathyal. Modern genus </w:t>
            </w:r>
            <w:r w:rsidR="00B51B02" w:rsidRPr="00B848F3">
              <w:rPr>
                <w:rFonts w:asciiTheme="minorHAnsi" w:hAnsiTheme="minorHAnsi"/>
                <w:color w:val="000000"/>
                <w:sz w:val="22"/>
                <w:szCs w:val="22"/>
              </w:rPr>
              <w:t>tolerates</w:t>
            </w:r>
            <w:r w:rsidRPr="00B848F3">
              <w:rPr>
                <w:rFonts w:asciiTheme="minorHAnsi" w:hAnsiTheme="minorHAnsi"/>
                <w:color w:val="000000"/>
                <w:sz w:val="22"/>
                <w:szCs w:val="22"/>
              </w:rPr>
              <w:t xml:space="preserve"> high organic carbon</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{"citationItems":[{"id":"ITEM-1","itemData":{"ISBN":"3931689042","author":[{"dropping-particle":"","family":"Frenzel","given":"Peter","non-dropping-particle":"","parse-names":false,"suffix":""}],"container-title":"Neues Jahrbuch fur Geologie und Palaontologie - Abhandlungen","id":"ITEM-1","issued":{"date-parts":[["2000"]]},"page":"1-361","publisher":"CPress","title":"Die benthischen Foraminiferen der Rügener Schreibkreide (Unter-Maastricht, NE-Deutschland)","type":"article-journal","volume":"3"},"uris":["http://www.mendeley.com/documents/?uuid=3f6a1192-bd63-4d19-b12b-70ccd876dc41"]}],"mendeley":{"formattedCitation":"&lt;sup&gt;19&lt;/sup&gt;","plainTextFormattedCitation":"19","previouslyFormattedCitation":"&lt;sup&gt;19&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19</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72E66654" w14:textId="77777777" w:rsidTr="006603F9">
        <w:trPr>
          <w:trHeight w:val="680"/>
        </w:trPr>
        <w:tc>
          <w:tcPr>
            <w:tcW w:w="2047" w:type="dxa"/>
            <w:shd w:val="clear" w:color="auto" w:fill="auto"/>
            <w:noWrap/>
            <w:tcMar>
              <w:top w:w="15" w:type="dxa"/>
              <w:left w:w="15" w:type="dxa"/>
              <w:bottom w:w="0" w:type="dxa"/>
              <w:right w:w="15" w:type="dxa"/>
            </w:tcMar>
            <w:hideMark/>
          </w:tcPr>
          <w:p w14:paraId="0C19C1D1"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Spiroplectammina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532D31C3"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07DAE095" w14:textId="25DD5AD5"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deposit feeder, living in fine-grained calcareous or siliceous muds. Paralic, neritic and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68965DDB" w14:textId="77777777" w:rsidTr="006603F9">
        <w:trPr>
          <w:trHeight w:val="2040"/>
        </w:trPr>
        <w:tc>
          <w:tcPr>
            <w:tcW w:w="2047" w:type="dxa"/>
            <w:shd w:val="clear" w:color="auto" w:fill="auto"/>
            <w:noWrap/>
            <w:tcMar>
              <w:top w:w="15" w:type="dxa"/>
              <w:left w:w="15" w:type="dxa"/>
              <w:bottom w:w="0" w:type="dxa"/>
              <w:right w:w="15" w:type="dxa"/>
            </w:tcMar>
            <w:hideMark/>
          </w:tcPr>
          <w:p w14:paraId="0BF0992F"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Tappanina</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laciniosa</w:t>
            </w:r>
            <w:proofErr w:type="spellEnd"/>
          </w:p>
        </w:tc>
        <w:tc>
          <w:tcPr>
            <w:tcW w:w="1634" w:type="dxa"/>
            <w:shd w:val="clear" w:color="auto" w:fill="auto"/>
            <w:noWrap/>
            <w:tcMar>
              <w:top w:w="15" w:type="dxa"/>
              <w:left w:w="15" w:type="dxa"/>
              <w:bottom w:w="0" w:type="dxa"/>
              <w:right w:w="15" w:type="dxa"/>
            </w:tcMar>
            <w:hideMark/>
          </w:tcPr>
          <w:p w14:paraId="28314C82" w14:textId="77777777"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/high prod/low oxygen</w:t>
            </w:r>
          </w:p>
        </w:tc>
        <w:tc>
          <w:tcPr>
            <w:tcW w:w="5386" w:type="dxa"/>
            <w:shd w:val="clear" w:color="auto" w:fill="auto"/>
            <w:tcMar>
              <w:top w:w="15" w:type="dxa"/>
              <w:left w:w="15" w:type="dxa"/>
              <w:bottom w:w="0" w:type="dxa"/>
              <w:right w:w="15" w:type="dxa"/>
            </w:tcMar>
            <w:hideMark/>
          </w:tcPr>
          <w:p w14:paraId="0650E60E" w14:textId="5DF2BEAC"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Typical for highly eutrophic environments, and </w:t>
            </w:r>
            <w:proofErr w:type="spellStart"/>
            <w:r w:rsidRPr="00B848F3">
              <w:rPr>
                <w:rFonts w:asciiTheme="minorHAnsi" w:hAnsiTheme="minorHAnsi"/>
                <w:color w:val="000000"/>
                <w:sz w:val="22"/>
                <w:szCs w:val="22"/>
              </w:rPr>
              <w:t>dysoxic</w:t>
            </w:r>
            <w:proofErr w:type="spellEnd"/>
            <w:r w:rsidRPr="00B848F3">
              <w:rPr>
                <w:rFonts w:asciiTheme="minorHAnsi" w:hAnsiTheme="minorHAnsi"/>
                <w:color w:val="000000"/>
                <w:sz w:val="22"/>
                <w:szCs w:val="22"/>
              </w:rPr>
              <w:t xml:space="preserve"> to nearly anoxic facies</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0035-1598","author":[{"dropping-particle":"","family":"Friedrich","given":"Oliver","non-dropping-particle":"","parse-names":false,"suffix":""},{"dropping-particle":"","family":"Erbacher","given":"Jochen","non-dropping-particle":"","parse-names":false,"suffix":""},{"dropping-particle":"","family":"Mutterlose","given":"Jörg","non-dropping-particle":"","parse-names":false,"suffix":""}],"container-title":"Revue de micropaléontologie","id":"ITEM-1","issue":"3","issued":{"date-parts":[["2006"]]},"page":"121-139","publisher":"Elsevier","title":"Paleoenvironmental changes across the Cenomanian/Turonian boundary event (oceanic anoxic event 2) as indicated by benthic foraminifera from the Demerara Rise (ODP Leg 207)","type":"article-journal","volume":"49"},"uris":["http://www.mendeley.com/documents/?uuid=4f60f611-27f9-4cc3-b6f8-560b98f9d41e"]}],"mendeley":{"formattedCitation":"&lt;sup&gt;18&lt;/sup&gt;","plainTextFormattedCitation":"18","previouslyFormattedCitation":"&lt;sup&gt;18&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18</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r w:rsidRPr="00B848F3">
              <w:rPr>
                <w:rFonts w:asciiTheme="minorHAnsi" w:hAnsiTheme="minorHAnsi"/>
                <w:color w:val="000000"/>
                <w:sz w:val="22"/>
                <w:szCs w:val="22"/>
              </w:rPr>
              <w:br/>
              <w:t>Demerara Rise: first benthic to repopulate seafloor after anoxic conditions, indicating initiation of oxygenation at seafloor</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0035-1598","author":[{"dropping-particle":"","family":"Friedrich","given":"Oliver","non-dropping-particle":"","parse-names":false,"suffix":""},{"dropping-particle":"","family":"Erbacher","given":"Jochen","non-dropping-particle":"","parse-names":false,"suffix":""},{"dropping-particle":"","family":"Mutterlose","given":"Jörg","non-dropping-particle":"","parse-names":false,"suffix":""}],"container-title":"Revue de micropaléontologie","id":"ITEM-1","issue":"3","issued":{"date-parts":[["2006"]]},"page":"121-139","publisher":"Elsevier","title":"Paleoenvironmental changes across the Cenomanian/Turonian boundary event (oceanic anoxic event 2) as indicated by benthic foraminifera from the Demerara Rise (ODP Leg 207)","type":"article-journal","volume":"49"},"uris":["http://www.mendeley.com/documents/?uuid=4f60f611-27f9-4cc3-b6f8-560b98f9d41e"]}],"mendeley":{"formattedCitation":"&lt;sup&gt;18&lt;/sup&gt;","plainTextFormattedCitation":"18","previouslyFormattedCitation":"&lt;sup&gt;18&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18</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r w:rsidRPr="00B848F3">
              <w:rPr>
                <w:rFonts w:asciiTheme="minorHAnsi" w:hAnsiTheme="minorHAnsi"/>
                <w:color w:val="000000"/>
                <w:sz w:val="22"/>
                <w:szCs w:val="22"/>
              </w:rPr>
              <w:br/>
              <w:t xml:space="preserve">USA Western Interior Seaway: associated with oxygenated to </w:t>
            </w:r>
            <w:proofErr w:type="spellStart"/>
            <w:r w:rsidRPr="00B848F3">
              <w:rPr>
                <w:rFonts w:asciiTheme="minorHAnsi" w:hAnsiTheme="minorHAnsi"/>
                <w:color w:val="000000"/>
                <w:sz w:val="22"/>
                <w:szCs w:val="22"/>
              </w:rPr>
              <w:t>dysoxic</w:t>
            </w:r>
            <w:proofErr w:type="spellEnd"/>
            <w:r w:rsidRPr="00B848F3">
              <w:rPr>
                <w:rFonts w:asciiTheme="minorHAnsi" w:hAnsiTheme="minorHAnsi"/>
                <w:color w:val="000000"/>
                <w:sz w:val="22"/>
                <w:szCs w:val="22"/>
              </w:rPr>
              <w:t xml:space="preserve"> conditions prior to most severe part of OAE2</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0035-1598","author":[{"dropping-particle":"","family":"Friedrich","given":"Oliver","non-dropping-particle":"","parse-names":false,"suffix":""},{"dropping-particle":"","family":"Erbacher","given":"Jochen","non-dropping-particle":"","parse-names":false,"suffix":""},{"dropping-particle":"","family":"Mutterlose","given":"Jörg","non-dropping-particle":"","parse-names":false,"suffix":""}],"container-title":"Revue de micropaléontologie","id":"ITEM-1","issue":"3","issued":{"date-parts":[["2006"]]},"page":"121-139","publisher":"Elsevier","title":"Paleoenvironmental changes across the Cenomanian/Turonian boundary event (oceanic anoxic event 2) as indicated by benthic foraminifera from the Demerara Rise (ODP Leg 207)","type":"article-journal","volume":"49"},"uris":["http://www.mendeley.com/documents/?uuid=4f60f611-27f9-4cc3-b6f8-560b98f9d41e"]}],"mendeley":{"formattedCitation":"&lt;sup&gt;18&lt;/sup&gt;","plainTextFormattedCitation":"18","previouslyFormattedCitation":"&lt;sup&gt;18&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18</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3F2C125E" w14:textId="77777777" w:rsidTr="006603F9">
        <w:trPr>
          <w:trHeight w:val="1020"/>
        </w:trPr>
        <w:tc>
          <w:tcPr>
            <w:tcW w:w="2047" w:type="dxa"/>
            <w:shd w:val="clear" w:color="auto" w:fill="auto"/>
            <w:noWrap/>
            <w:tcMar>
              <w:top w:w="15" w:type="dxa"/>
              <w:left w:w="15" w:type="dxa"/>
              <w:bottom w:w="0" w:type="dxa"/>
              <w:right w:w="15" w:type="dxa"/>
            </w:tcMar>
            <w:hideMark/>
          </w:tcPr>
          <w:p w14:paraId="6B9B924B"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Berthelina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4A482B20"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4DAB4969" w14:textId="385AEE79"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Considered as epifaunal, living in fine-grained sands or calcareous or siliceous muds. Middle-outer neritic to upper-middle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7570FAFF" w14:textId="77777777" w:rsidTr="006603F9">
        <w:trPr>
          <w:trHeight w:val="1020"/>
        </w:trPr>
        <w:tc>
          <w:tcPr>
            <w:tcW w:w="2047" w:type="dxa"/>
            <w:shd w:val="clear" w:color="auto" w:fill="auto"/>
            <w:noWrap/>
            <w:tcMar>
              <w:top w:w="15" w:type="dxa"/>
              <w:left w:w="15" w:type="dxa"/>
              <w:bottom w:w="0" w:type="dxa"/>
              <w:right w:w="15" w:type="dxa"/>
            </w:tcMar>
            <w:hideMark/>
          </w:tcPr>
          <w:p w14:paraId="18C97618"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Cibicides</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03C43750"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198A9B35" w14:textId="643DE5CD"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 passive (attached) herbivore. Living in fine-grained sands, or calcareous or siliceous muds. Middle-outer neritic and upper-middle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41B38C0D" w14:textId="77777777" w:rsidTr="006603F9">
        <w:trPr>
          <w:trHeight w:val="680"/>
        </w:trPr>
        <w:tc>
          <w:tcPr>
            <w:tcW w:w="2047" w:type="dxa"/>
            <w:shd w:val="clear" w:color="auto" w:fill="auto"/>
            <w:noWrap/>
            <w:tcMar>
              <w:top w:w="15" w:type="dxa"/>
              <w:left w:w="15" w:type="dxa"/>
              <w:bottom w:w="0" w:type="dxa"/>
              <w:right w:w="15" w:type="dxa"/>
            </w:tcMar>
            <w:hideMark/>
          </w:tcPr>
          <w:p w14:paraId="0A59F210"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Cibicidoides</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37A8192B"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46DA59CB" w14:textId="7939299B"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 living in fine-grained sands, or calcareous or siliceous muds. Middle-outer neritic to upper-middle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2F04A793" w14:textId="77777777" w:rsidTr="006603F9">
        <w:trPr>
          <w:trHeight w:val="680"/>
        </w:trPr>
        <w:tc>
          <w:tcPr>
            <w:tcW w:w="2047" w:type="dxa"/>
            <w:shd w:val="clear" w:color="auto" w:fill="auto"/>
            <w:noWrap/>
            <w:tcMar>
              <w:top w:w="15" w:type="dxa"/>
              <w:left w:w="15" w:type="dxa"/>
              <w:bottom w:w="0" w:type="dxa"/>
              <w:right w:w="15" w:type="dxa"/>
            </w:tcMar>
            <w:hideMark/>
          </w:tcPr>
          <w:p w14:paraId="20109741"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Gavelinella</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nacatochensis</w:t>
            </w:r>
            <w:proofErr w:type="spellEnd"/>
          </w:p>
        </w:tc>
        <w:tc>
          <w:tcPr>
            <w:tcW w:w="1634" w:type="dxa"/>
            <w:shd w:val="clear" w:color="auto" w:fill="auto"/>
            <w:noWrap/>
            <w:tcMar>
              <w:top w:w="15" w:type="dxa"/>
              <w:left w:w="15" w:type="dxa"/>
              <w:bottom w:w="0" w:type="dxa"/>
              <w:right w:w="15" w:type="dxa"/>
            </w:tcMar>
            <w:hideMark/>
          </w:tcPr>
          <w:p w14:paraId="37876BDC"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6141A931" w14:textId="4B249C7F"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 living in fine-grained calcareous or siliceous muds. Neritic to upper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3C2D67FB" w14:textId="77777777" w:rsidTr="006603F9">
        <w:trPr>
          <w:trHeight w:val="340"/>
        </w:trPr>
        <w:tc>
          <w:tcPr>
            <w:tcW w:w="2047" w:type="dxa"/>
            <w:shd w:val="clear" w:color="auto" w:fill="auto"/>
            <w:noWrap/>
            <w:tcMar>
              <w:top w:w="15" w:type="dxa"/>
              <w:left w:w="15" w:type="dxa"/>
              <w:bottom w:w="0" w:type="dxa"/>
              <w:right w:w="15" w:type="dxa"/>
            </w:tcMar>
            <w:hideMark/>
          </w:tcPr>
          <w:p w14:paraId="609D8605"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Gaudryina</w:t>
            </w:r>
            <w:proofErr w:type="spellEnd"/>
            <w:r w:rsidRPr="00B848F3">
              <w:rPr>
                <w:rFonts w:asciiTheme="minorHAnsi" w:hAnsiTheme="minorHAnsi"/>
                <w:i/>
                <w:iCs/>
                <w:color w:val="000000"/>
                <w:sz w:val="22"/>
                <w:szCs w:val="22"/>
              </w:rPr>
              <w:t xml:space="preserve"> australis</w:t>
            </w:r>
          </w:p>
        </w:tc>
        <w:tc>
          <w:tcPr>
            <w:tcW w:w="1634" w:type="dxa"/>
            <w:shd w:val="clear" w:color="auto" w:fill="auto"/>
            <w:noWrap/>
            <w:tcMar>
              <w:top w:w="15" w:type="dxa"/>
              <w:left w:w="15" w:type="dxa"/>
              <w:bottom w:w="0" w:type="dxa"/>
              <w:right w:w="15" w:type="dxa"/>
            </w:tcMar>
            <w:hideMark/>
          </w:tcPr>
          <w:p w14:paraId="162B62EF"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197F1AA2" w14:textId="508DB4F6"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Suggested epifauna based on carbon isotope comparison (this study)</w:t>
            </w:r>
            <w:r w:rsidR="00B51B02">
              <w:rPr>
                <w:rFonts w:asciiTheme="minorHAnsi" w:hAnsiTheme="minorHAnsi"/>
                <w:color w:val="000000"/>
                <w:sz w:val="22"/>
                <w:szCs w:val="22"/>
              </w:rPr>
              <w:t>.</w:t>
            </w:r>
          </w:p>
        </w:tc>
      </w:tr>
      <w:tr w:rsidR="00B50234" w14:paraId="1C0EBFE0" w14:textId="77777777" w:rsidTr="006603F9">
        <w:trPr>
          <w:trHeight w:val="1020"/>
        </w:trPr>
        <w:tc>
          <w:tcPr>
            <w:tcW w:w="2047" w:type="dxa"/>
            <w:shd w:val="clear" w:color="auto" w:fill="auto"/>
            <w:noWrap/>
            <w:tcMar>
              <w:top w:w="15" w:type="dxa"/>
              <w:left w:w="15" w:type="dxa"/>
              <w:bottom w:w="0" w:type="dxa"/>
              <w:right w:w="15" w:type="dxa"/>
            </w:tcMar>
            <w:hideMark/>
          </w:tcPr>
          <w:p w14:paraId="34FAEBB0"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Lingulogavelinella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1930A12C"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79A3CD7A" w14:textId="475B96CD"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 browsing herbivores and active deposit feeders. Living in fine-grained calcareous or siliceous muds. Neritic and upper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6D77052E" w14:textId="77777777" w:rsidTr="006603F9">
        <w:trPr>
          <w:trHeight w:val="1020"/>
        </w:trPr>
        <w:tc>
          <w:tcPr>
            <w:tcW w:w="2047" w:type="dxa"/>
            <w:shd w:val="clear" w:color="auto" w:fill="auto"/>
            <w:noWrap/>
            <w:tcMar>
              <w:top w:w="15" w:type="dxa"/>
              <w:left w:w="15" w:type="dxa"/>
              <w:bottom w:w="0" w:type="dxa"/>
              <w:right w:w="15" w:type="dxa"/>
            </w:tcMar>
            <w:hideMark/>
          </w:tcPr>
          <w:p w14:paraId="7CE3C645"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Nuttallinella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493A335C"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58D138A5" w14:textId="430CD05B"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 free-living deposit-feeder, fine-grained sands or calcareous or siliceous muds. Middle-outer neritic to upper-middle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r w:rsidRPr="00B848F3">
              <w:rPr>
                <w:rFonts w:asciiTheme="minorHAnsi" w:hAnsiTheme="minorHAnsi"/>
                <w:color w:val="000000"/>
                <w:sz w:val="22"/>
                <w:szCs w:val="22"/>
              </w:rPr>
              <w:t xml:space="preserve"> </w:t>
            </w:r>
          </w:p>
        </w:tc>
      </w:tr>
      <w:tr w:rsidR="00B50234" w14:paraId="298BE0F6" w14:textId="77777777" w:rsidTr="006603F9">
        <w:trPr>
          <w:trHeight w:val="680"/>
        </w:trPr>
        <w:tc>
          <w:tcPr>
            <w:tcW w:w="2047" w:type="dxa"/>
            <w:shd w:val="clear" w:color="auto" w:fill="auto"/>
            <w:noWrap/>
            <w:tcMar>
              <w:top w:w="15" w:type="dxa"/>
              <w:left w:w="15" w:type="dxa"/>
              <w:bottom w:w="0" w:type="dxa"/>
              <w:right w:w="15" w:type="dxa"/>
            </w:tcMar>
            <w:hideMark/>
          </w:tcPr>
          <w:p w14:paraId="0A0E9D7E"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Patellinella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6DBC8DEA"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759D2B1D" w14:textId="3083F441"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 living in bioclastic fine-grained sands or calcareous muds. Algal patch-reefs and neritic</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0EB8EAC5" w14:textId="77777777" w:rsidTr="006603F9">
        <w:trPr>
          <w:trHeight w:val="1360"/>
        </w:trPr>
        <w:tc>
          <w:tcPr>
            <w:tcW w:w="2047" w:type="dxa"/>
            <w:shd w:val="clear" w:color="auto" w:fill="auto"/>
            <w:noWrap/>
            <w:tcMar>
              <w:top w:w="15" w:type="dxa"/>
              <w:left w:w="15" w:type="dxa"/>
              <w:bottom w:w="0" w:type="dxa"/>
              <w:right w:w="15" w:type="dxa"/>
            </w:tcMar>
            <w:hideMark/>
          </w:tcPr>
          <w:p w14:paraId="764206B8"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lastRenderedPageBreak/>
              <w:t>Valvulineria</w:t>
            </w:r>
            <w:proofErr w:type="spellEnd"/>
            <w:r w:rsidRPr="00B848F3">
              <w:rPr>
                <w:rFonts w:asciiTheme="minorHAnsi" w:hAnsiTheme="minorHAnsi"/>
                <w:i/>
                <w:iCs/>
                <w:color w:val="000000"/>
                <w:sz w:val="22"/>
                <w:szCs w:val="22"/>
              </w:rPr>
              <w:t xml:space="preserve"> lenticula</w:t>
            </w:r>
          </w:p>
        </w:tc>
        <w:tc>
          <w:tcPr>
            <w:tcW w:w="1634" w:type="dxa"/>
            <w:shd w:val="clear" w:color="auto" w:fill="auto"/>
            <w:noWrap/>
            <w:tcMar>
              <w:top w:w="15" w:type="dxa"/>
              <w:left w:w="15" w:type="dxa"/>
              <w:bottom w:w="0" w:type="dxa"/>
              <w:right w:w="15" w:type="dxa"/>
            </w:tcMar>
            <w:hideMark/>
          </w:tcPr>
          <w:p w14:paraId="5E08BA60"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Epifaunal</w:t>
            </w:r>
          </w:p>
        </w:tc>
        <w:tc>
          <w:tcPr>
            <w:tcW w:w="5386" w:type="dxa"/>
            <w:shd w:val="clear" w:color="auto" w:fill="auto"/>
            <w:tcMar>
              <w:top w:w="15" w:type="dxa"/>
              <w:left w:w="15" w:type="dxa"/>
              <w:bottom w:w="0" w:type="dxa"/>
              <w:right w:w="15" w:type="dxa"/>
            </w:tcMar>
            <w:hideMark/>
          </w:tcPr>
          <w:p w14:paraId="0FE2E6B2" w14:textId="5E5DB081"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Deep water species</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0377-8398","author":[{"dropping-particle":"","family":"Gebhardt","given":"Holger","non-dropping-particle":"","parse-names":false,"suffix":""},{"dropping-particle":"","family":"Kuhnt","given":"Wolfgang","non-dropping-particle":"","parse-names":false,"suffix":""},{"dropping-particle":"","family":"Holbourn","given":"Ann","non-dropping-particle":"","parse-names":false,"suffix":""}],"container-title":"Marine Micropaleontology","id":"ITEM-1","issue":"1-2","issued":{"date-parts":[["2004"]]},"page":"133-157","publisher":"Elsevier","title":"Foraminiferal response to sea level change, organic flux and oxygen deficiency in the Cenomanian of the Tarfaya Basin, southern Morocco","type":"article-journal","volume":"53"},"uris":["http://www.mendeley.com/documents/?uuid=caffb4ed-0128-44fe-8222-2dd81563a13c"]}],"mendeley":{"formattedCitation":"&lt;sup&gt;14&lt;/sup&gt;","plainTextFormattedCitation":"14","previouslyFormattedCitation":"&lt;sup&gt;14&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14</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r w:rsidRPr="00B848F3">
              <w:rPr>
                <w:rFonts w:asciiTheme="minorHAnsi" w:hAnsiTheme="minorHAnsi"/>
                <w:color w:val="000000"/>
                <w:sz w:val="22"/>
                <w:szCs w:val="22"/>
              </w:rPr>
              <w:br/>
              <w:t>Genus is considered as epifaunal, browsing herbivore or active deposit feeder. Living in fine-grained calcareous or siliceous muds. Neritic to upper bathyal</w:t>
            </w:r>
            <w:r w:rsidR="00B51B02">
              <w:rPr>
                <w:rFonts w:asciiTheme="minorHAnsi" w:hAnsiTheme="minorHAnsi"/>
                <w:color w:val="000000"/>
                <w:sz w:val="22"/>
                <w:szCs w:val="22"/>
              </w:rPr>
              <w:fldChar w:fldCharType="begin" w:fldLock="1"/>
            </w:r>
            <w:r w:rsidR="00B51B02">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B51B02">
              <w:rPr>
                <w:rFonts w:asciiTheme="minorHAnsi" w:hAnsiTheme="minorHAnsi"/>
                <w:color w:val="000000"/>
                <w:sz w:val="22"/>
                <w:szCs w:val="22"/>
              </w:rPr>
              <w:t>.</w:t>
            </w:r>
          </w:p>
        </w:tc>
      </w:tr>
      <w:tr w:rsidR="00B50234" w14:paraId="19595A90" w14:textId="77777777" w:rsidTr="006603F9">
        <w:trPr>
          <w:trHeight w:val="680"/>
        </w:trPr>
        <w:tc>
          <w:tcPr>
            <w:tcW w:w="2047" w:type="dxa"/>
            <w:shd w:val="clear" w:color="auto" w:fill="auto"/>
            <w:noWrap/>
            <w:tcMar>
              <w:top w:w="15" w:type="dxa"/>
              <w:left w:w="15" w:type="dxa"/>
              <w:bottom w:w="0" w:type="dxa"/>
              <w:right w:w="15" w:type="dxa"/>
            </w:tcMar>
            <w:hideMark/>
          </w:tcPr>
          <w:p w14:paraId="67135291"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Ammodiscus</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6B537E0F"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7D17E92D" w14:textId="5B918AC6"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active deposit feeder. Lives in fine-grained sands or siliceous muds. Bathyal</w:t>
            </w:r>
            <w:r w:rsidR="00B51B02">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B51B02">
              <w:rPr>
                <w:rFonts w:asciiTheme="minorHAnsi" w:hAnsiTheme="minorHAnsi"/>
                <w:color w:val="000000"/>
                <w:sz w:val="22"/>
                <w:szCs w:val="22"/>
              </w:rPr>
              <w:fldChar w:fldCharType="separate"/>
            </w:r>
            <w:r w:rsidR="00B51B02" w:rsidRPr="00B51B02">
              <w:rPr>
                <w:rFonts w:asciiTheme="minorHAnsi" w:hAnsiTheme="minorHAnsi"/>
                <w:noProof/>
                <w:color w:val="000000"/>
                <w:sz w:val="22"/>
                <w:szCs w:val="22"/>
                <w:vertAlign w:val="superscript"/>
              </w:rPr>
              <w:t>10</w:t>
            </w:r>
            <w:r w:rsidR="00B51B02">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2163ABBD" w14:textId="77777777" w:rsidTr="006603F9">
        <w:trPr>
          <w:trHeight w:val="1020"/>
        </w:trPr>
        <w:tc>
          <w:tcPr>
            <w:tcW w:w="2047" w:type="dxa"/>
            <w:shd w:val="clear" w:color="auto" w:fill="auto"/>
            <w:noWrap/>
            <w:tcMar>
              <w:top w:w="15" w:type="dxa"/>
              <w:left w:w="15" w:type="dxa"/>
              <w:bottom w:w="0" w:type="dxa"/>
              <w:right w:w="15" w:type="dxa"/>
            </w:tcMar>
            <w:hideMark/>
          </w:tcPr>
          <w:p w14:paraId="13F3F97E"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Brunsvigella</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thoerensis</w:t>
            </w:r>
            <w:proofErr w:type="spellEnd"/>
          </w:p>
        </w:tc>
        <w:tc>
          <w:tcPr>
            <w:tcW w:w="1634" w:type="dxa"/>
            <w:shd w:val="clear" w:color="auto" w:fill="auto"/>
            <w:noWrap/>
            <w:tcMar>
              <w:top w:w="15" w:type="dxa"/>
              <w:left w:w="15" w:type="dxa"/>
              <w:bottom w:w="0" w:type="dxa"/>
              <w:right w:w="15" w:type="dxa"/>
            </w:tcMar>
            <w:hideMark/>
          </w:tcPr>
          <w:p w14:paraId="11B70C93"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366A26EA" w14:textId="0B9CED58"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Uncoiled </w:t>
            </w:r>
            <w:proofErr w:type="spellStart"/>
            <w:r w:rsidRPr="00B848F3">
              <w:rPr>
                <w:rFonts w:asciiTheme="minorHAnsi" w:hAnsiTheme="minorHAnsi"/>
                <w:color w:val="000000"/>
                <w:sz w:val="22"/>
                <w:szCs w:val="22"/>
              </w:rPr>
              <w:t>vaginulinids</w:t>
            </w:r>
            <w:proofErr w:type="spellEnd"/>
            <w:r w:rsidRPr="00B848F3">
              <w:rPr>
                <w:rFonts w:asciiTheme="minorHAnsi" w:hAnsiTheme="minorHAnsi"/>
                <w:color w:val="000000"/>
                <w:sz w:val="22"/>
                <w:szCs w:val="22"/>
              </w:rPr>
              <w:t xml:space="preserve"> known as 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feeders. Living in fine-grained sand, or calcareous or siliceous muds.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59CA4D5B" w14:textId="77777777" w:rsidTr="006603F9">
        <w:trPr>
          <w:trHeight w:val="680"/>
        </w:trPr>
        <w:tc>
          <w:tcPr>
            <w:tcW w:w="2047" w:type="dxa"/>
            <w:shd w:val="clear" w:color="auto" w:fill="auto"/>
            <w:noWrap/>
            <w:tcMar>
              <w:top w:w="15" w:type="dxa"/>
              <w:left w:w="15" w:type="dxa"/>
              <w:bottom w:w="0" w:type="dxa"/>
              <w:right w:w="15" w:type="dxa"/>
            </w:tcMar>
            <w:hideMark/>
          </w:tcPr>
          <w:p w14:paraId="07C02524"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Cibicides</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complanata</w:t>
            </w:r>
            <w:proofErr w:type="spellEnd"/>
          </w:p>
        </w:tc>
        <w:tc>
          <w:tcPr>
            <w:tcW w:w="1634" w:type="dxa"/>
            <w:shd w:val="clear" w:color="auto" w:fill="auto"/>
            <w:noWrap/>
            <w:tcMar>
              <w:top w:w="15" w:type="dxa"/>
              <w:left w:w="15" w:type="dxa"/>
              <w:bottom w:w="0" w:type="dxa"/>
              <w:right w:w="15" w:type="dxa"/>
            </w:tcMar>
            <w:hideMark/>
          </w:tcPr>
          <w:p w14:paraId="715D8162"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2B398C5B" w14:textId="323970C3"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Suggested intermediate infauna based on carbon isotope comparison (this study)</w:t>
            </w:r>
            <w:r w:rsidR="008265FA">
              <w:rPr>
                <w:rFonts w:asciiTheme="minorHAnsi" w:hAnsiTheme="minorHAnsi"/>
                <w:color w:val="000000"/>
                <w:sz w:val="22"/>
                <w:szCs w:val="22"/>
              </w:rPr>
              <w:t>.</w:t>
            </w:r>
          </w:p>
        </w:tc>
      </w:tr>
      <w:tr w:rsidR="00B50234" w14:paraId="7B49DDA5" w14:textId="77777777" w:rsidTr="006603F9">
        <w:trPr>
          <w:trHeight w:val="680"/>
        </w:trPr>
        <w:tc>
          <w:tcPr>
            <w:tcW w:w="2047" w:type="dxa"/>
            <w:shd w:val="clear" w:color="auto" w:fill="auto"/>
            <w:noWrap/>
            <w:tcMar>
              <w:top w:w="15" w:type="dxa"/>
              <w:left w:w="15" w:type="dxa"/>
              <w:bottom w:w="0" w:type="dxa"/>
              <w:right w:w="15" w:type="dxa"/>
            </w:tcMar>
            <w:hideMark/>
          </w:tcPr>
          <w:p w14:paraId="41069525"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Citharina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3494744C"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3E3E68DE" w14:textId="0C8100DE"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 Lives in siliceous muds. Outer neritic to upper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3B628035" w14:textId="77777777" w:rsidTr="006603F9">
        <w:trPr>
          <w:trHeight w:val="1020"/>
        </w:trPr>
        <w:tc>
          <w:tcPr>
            <w:tcW w:w="2047" w:type="dxa"/>
            <w:shd w:val="clear" w:color="auto" w:fill="auto"/>
            <w:noWrap/>
            <w:tcMar>
              <w:top w:w="15" w:type="dxa"/>
              <w:left w:w="15" w:type="dxa"/>
              <w:bottom w:w="0" w:type="dxa"/>
              <w:right w:w="15" w:type="dxa"/>
            </w:tcMar>
            <w:hideMark/>
          </w:tcPr>
          <w:p w14:paraId="5BC8EA57"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Dentalina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45D2FEEC"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4A8A6C1D" w14:textId="3603383E"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 Lives in fine-grained sands, or calcareous or siliceous mud.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5BA144E4" w14:textId="77777777" w:rsidTr="006603F9">
        <w:trPr>
          <w:trHeight w:val="680"/>
        </w:trPr>
        <w:tc>
          <w:tcPr>
            <w:tcW w:w="2047" w:type="dxa"/>
            <w:shd w:val="clear" w:color="auto" w:fill="auto"/>
            <w:noWrap/>
            <w:tcMar>
              <w:top w:w="15" w:type="dxa"/>
              <w:left w:w="15" w:type="dxa"/>
              <w:bottom w:w="0" w:type="dxa"/>
              <w:right w:w="15" w:type="dxa"/>
            </w:tcMar>
            <w:hideMark/>
          </w:tcPr>
          <w:p w14:paraId="4CDD4BC4"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Ellipsoidella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60B0883A"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6F66F3BB" w14:textId="7FCA2E2E"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or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Lives in fine-grained or calcareous muds. Neritic and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7D1D22E2" w14:textId="77777777" w:rsidTr="006603F9">
        <w:trPr>
          <w:trHeight w:val="680"/>
        </w:trPr>
        <w:tc>
          <w:tcPr>
            <w:tcW w:w="2047" w:type="dxa"/>
            <w:shd w:val="clear" w:color="auto" w:fill="auto"/>
            <w:noWrap/>
            <w:tcMar>
              <w:top w:w="15" w:type="dxa"/>
              <w:left w:w="15" w:type="dxa"/>
              <w:bottom w:w="0" w:type="dxa"/>
              <w:right w:w="15" w:type="dxa"/>
            </w:tcMar>
            <w:hideMark/>
          </w:tcPr>
          <w:p w14:paraId="54DCD7B0"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Frondicularia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374B5441"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5FEC08DE" w14:textId="5D9B5BFE"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 Live in siliceous muds. Outer neritic to upper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7728287C" w14:textId="77777777" w:rsidTr="006603F9">
        <w:trPr>
          <w:trHeight w:val="2000"/>
        </w:trPr>
        <w:tc>
          <w:tcPr>
            <w:tcW w:w="2047" w:type="dxa"/>
            <w:shd w:val="clear" w:color="auto" w:fill="auto"/>
            <w:noWrap/>
            <w:tcMar>
              <w:top w:w="15" w:type="dxa"/>
              <w:left w:w="15" w:type="dxa"/>
              <w:bottom w:w="0" w:type="dxa"/>
              <w:right w:w="15" w:type="dxa"/>
            </w:tcMar>
            <w:hideMark/>
          </w:tcPr>
          <w:p w14:paraId="61D02A11"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Gaudryina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09EAB2A9"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0BD4A0C4" w14:textId="17CEE410"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Modern: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habitat, mesotrophic to eutrophic, oxygenated environments. Cretaceous: 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deposit feeders, aerobic but tolerant of somewhat decreased oxygen levels</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author":[{"dropping-particle":"","family":"Wendler","given":"I.","non-dropping-particle":"","parse-names":false,"suffix":""},{"dropping-particle":"","family":"Huber","given":"B.T.","non-dropping-particle":"","parse-names":false,"suffix":""},{"dropping-particle":"","family":"MacLeod","given":"K.G.","non-dropping-particle":"","parse-names":false,"suffix":""},{"dropping-particle":"","family":"Wendler","given":"J.E.","non-dropping-particle":"","parse-names":false,"suffix":""}],"container-title":"Marine Micropaleontology","id":"ITEM-1","issued":{"date-parts":[["2013"]]},"page":"1-33","title":"Stable oxygen and carbon isotope systematics of exquisitely preserved Turonian foraminifera from Tanzania—Understanding isotopic signatures in fossils","type":"article-journal","volume":"102"},"uris":["http://www.mendeley.com/documents/?uuid=854869d0-e9e0-475b-9797-2e1049d73a1f"]}],"mendeley":{"formattedCitation":"&lt;sup&gt;13&lt;/sup&gt;","plainTextFormattedCitation":"13","previouslyFormattedCitation":"&lt;sup&gt;13&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13</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r w:rsidRPr="00B848F3">
              <w:rPr>
                <w:rFonts w:asciiTheme="minorHAnsi" w:hAnsiTheme="minorHAnsi"/>
                <w:color w:val="000000"/>
                <w:sz w:val="22"/>
                <w:szCs w:val="22"/>
              </w:rPr>
              <w:b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active deposit feeder or passive (attached) herbivore. Living in fine-grained sands, or calcareous or siliceous muds. Middle-outer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68641A59" w14:textId="77777777" w:rsidTr="006603F9">
        <w:trPr>
          <w:trHeight w:val="2380"/>
        </w:trPr>
        <w:tc>
          <w:tcPr>
            <w:tcW w:w="2047" w:type="dxa"/>
            <w:shd w:val="clear" w:color="auto" w:fill="auto"/>
            <w:noWrap/>
            <w:tcMar>
              <w:top w:w="15" w:type="dxa"/>
              <w:left w:w="15" w:type="dxa"/>
              <w:bottom w:w="0" w:type="dxa"/>
              <w:right w:w="15" w:type="dxa"/>
            </w:tcMar>
            <w:hideMark/>
          </w:tcPr>
          <w:p w14:paraId="5AA62078"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Gyroidinoides</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32388C83"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3E734D2A" w14:textId="1720CA25"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Modern: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habitat, mesotrophic to eutrophic, but still oxygenated environments. Cretaceous: 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deposit feeder, aerobic but tolerant of somewhat decreased oxygen levels</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author":[{"dropping-particle":"","family":"Wendler","given":"I.","non-dropping-particle":"","parse-names":false,"suffix":""},{"dropping-particle":"","family":"Huber","given":"B.T.","non-dropping-particle":"","parse-names":false,"suffix":""},{"dropping-particle":"","family":"MacLeod","given":"K.G.","non-dropping-particle":"","parse-names":false,"suffix":""},{"dropping-particle":"","family":"Wendler","given":"J.E.","non-dropping-particle":"","parse-names":false,"suffix":""}],"container-title":"Marine Micropaleontology","id":"ITEM-1","issued":{"date-parts":[["2013"]]},"page":"1-33","title":"Stable oxygen and carbon isotope systematics of exquisitely preserved Turonian foraminifera from Tanzania—Understanding isotopic signatures in fossils","type":"article-journal","volume":"102"},"uris":["http://www.mendeley.com/documents/?uuid=854869d0-e9e0-475b-9797-2e1049d73a1f"]}],"mendeley":{"formattedCitation":"&lt;sup&gt;13&lt;/sup&gt;","plainTextFormattedCitation":"13","previouslyFormattedCitation":"&lt;sup&gt;13&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13</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r w:rsidRPr="00B848F3">
              <w:rPr>
                <w:rFonts w:asciiTheme="minorHAnsi" w:hAnsiTheme="minorHAnsi"/>
                <w:color w:val="000000"/>
                <w:sz w:val="22"/>
                <w:szCs w:val="22"/>
              </w:rPr>
              <w:b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active deposit feeders or passive (attached) herbivores. Living in fine-grained sands, or calcareous or siliceous muds. Middle-outer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r w:rsidRPr="00B848F3">
              <w:rPr>
                <w:rFonts w:asciiTheme="minorHAnsi" w:hAnsiTheme="minorHAnsi"/>
                <w:color w:val="000000"/>
                <w:sz w:val="22"/>
                <w:szCs w:val="22"/>
              </w:rPr>
              <w:t xml:space="preserve"> </w:t>
            </w:r>
          </w:p>
        </w:tc>
      </w:tr>
      <w:tr w:rsidR="00B50234" w14:paraId="7E62DFA8" w14:textId="77777777" w:rsidTr="006603F9">
        <w:trPr>
          <w:trHeight w:val="340"/>
        </w:trPr>
        <w:tc>
          <w:tcPr>
            <w:tcW w:w="2047" w:type="dxa"/>
            <w:shd w:val="clear" w:color="auto" w:fill="auto"/>
            <w:noWrap/>
            <w:tcMar>
              <w:top w:w="15" w:type="dxa"/>
              <w:left w:w="15" w:type="dxa"/>
              <w:bottom w:w="0" w:type="dxa"/>
              <w:right w:w="15" w:type="dxa"/>
            </w:tcMar>
            <w:hideMark/>
          </w:tcPr>
          <w:p w14:paraId="6353BD38"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Gyroidinoides</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globosus</w:t>
            </w:r>
            <w:proofErr w:type="spellEnd"/>
          </w:p>
        </w:tc>
        <w:tc>
          <w:tcPr>
            <w:tcW w:w="1634" w:type="dxa"/>
            <w:shd w:val="clear" w:color="auto" w:fill="auto"/>
            <w:noWrap/>
            <w:tcMar>
              <w:top w:w="15" w:type="dxa"/>
              <w:left w:w="15" w:type="dxa"/>
              <w:bottom w:w="0" w:type="dxa"/>
              <w:right w:w="15" w:type="dxa"/>
            </w:tcMar>
            <w:hideMark/>
          </w:tcPr>
          <w:p w14:paraId="1E8EF4F9"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6D58AFF3" w14:textId="20E429B3"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Common at deep bathyal to abyssal settings</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{"citationItems":[{"id":"ITEM-1","itemData":{"DOI":"10.1016/J.MARMICRO.2013.10.003","ISSN":"0377-8398","abstract":"The impact of an asteroid at the Cretaceous/Paleogene (K/Pg) boundary triggered dramatic biotic, biogeochemical and sedimentological changes in the oceans that have been intensively studied. Paleo-biogeographical differences in the biotic response to the impact and its environmental consequences, however, have been less well documented. We present a high-resolution analysis of benthic foraminiferal assemblages at Southern Ocean ODP Site 690 (Maud Rise, Weddell Sea, Antarctica).At this high latitude site, late Maastrichtian environmental variability was high, but benthic foraminiferal assemblages were not less diverse than at lower latitudes, in contrast to those of planktic calcifiers. Also in contrast to planktic calcifiers, benthic foraminifera did not suffer significant extinction at the K/Pg boundary, but show transient assemblage changes and decreased diversity. At Site 690, the extinction rate was even lower (~. 3%) than at other sites. The benthic foraminiferal accumulation rate varied little across the K/Pg boundary, indicating that food supply to the sea floor was affected to a lesser extent than at lower latitude sites. Compared to Maastrichtian assemblages, Danian assemblages have a lower diversity and greater relative abundance of heavily calcified taxa such as Stensioeina beccariiformis and Paralabamina lunata. This change in benthic foraminiferal assemblages could reflect post-extinction proliferation of different photosynthesizers (thus food for the benthos) than those dominant during the Late Cretaceous, therefore changes in the nature rather than in the amount of the organic matter supplied to the seafloor. However, severe extinction of pelagic calcifiers caused carbonate supersaturation in the oceans, thus might have given competitive advantage to species with large, heavily calcified tests. This indirect effect of the K/Pg impact thus may have influenced the deep-sea dwellers, documenting the complexity of the effects of major environmental disturbance. © 2013 Elsevier B.V.","author":[{"dropping-particle":"","family":"Alegret","given":"Laia","non-dropping-particle":"","parse-names":false,"suffix":""},{"dropping-particle":"","family":"Thomas","given":"Ellen","non-dropping-particle":"","parse-names":false,"suffix":""}],"container-title":"Marine Micropaleontology","id":"ITEM-1","issued":{"date-parts":[["2013","12","1"]]},"page":"40-51","publisher":"Elsevier","title":"Benthic foraminifera across the Cretaceous/Paleogene boundary in the Southern Ocean (ODP Site 690): Diversity, food and carbonate saturation","type":"article-journal","volume":"105"},"uris":["http://www.mendeley.com/documents/?uuid=403e7675-0ec5-3384-9bc8-e48e3b3519e2"]}],"mendeley":{"formattedCitation":"&lt;sup&gt;20&lt;/sup&gt;","plainTextFormattedCitation":"20","previouslyFormattedCitation":"&lt;sup&gt;20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20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3B85A259" w14:textId="77777777" w:rsidTr="006603F9">
        <w:trPr>
          <w:trHeight w:val="340"/>
        </w:trPr>
        <w:tc>
          <w:tcPr>
            <w:tcW w:w="2047" w:type="dxa"/>
            <w:shd w:val="clear" w:color="auto" w:fill="auto"/>
            <w:noWrap/>
            <w:tcMar>
              <w:top w:w="15" w:type="dxa"/>
              <w:left w:w="15" w:type="dxa"/>
              <w:bottom w:w="0" w:type="dxa"/>
              <w:right w:w="15" w:type="dxa"/>
            </w:tcMar>
            <w:hideMark/>
          </w:tcPr>
          <w:p w14:paraId="322B1CE7"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lastRenderedPageBreak/>
              <w:t>Gyroidinoides</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lenticulus</w:t>
            </w:r>
            <w:proofErr w:type="spellEnd"/>
          </w:p>
        </w:tc>
        <w:tc>
          <w:tcPr>
            <w:tcW w:w="1634" w:type="dxa"/>
            <w:shd w:val="clear" w:color="auto" w:fill="auto"/>
            <w:noWrap/>
            <w:tcMar>
              <w:top w:w="15" w:type="dxa"/>
              <w:left w:w="15" w:type="dxa"/>
              <w:bottom w:w="0" w:type="dxa"/>
              <w:right w:w="15" w:type="dxa"/>
            </w:tcMar>
            <w:hideMark/>
          </w:tcPr>
          <w:p w14:paraId="3B00A0E9"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2229E011" w14:textId="0C28E7DE"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Cosmopolitan, upper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{"citationItems":[{"id":"ITEM-1","itemData":{"ISBN":"3931689042","author":[{"dropping-particle":"","family":"Frenzel","given":"Peter","non-dropping-particle":"","parse-names":false,"suffix":""}],"container-title":"Neues Jahrbuch fur Geologie und Palaontologie - Abhandlungen","id":"ITEM-1","issued":{"date-parts":[["2000"]]},"page":"1-361","publisher":"CPress","title":"Die benthischen Foraminiferen der Rügener Schreibkreide (Unter-Maastricht, NE-Deutschland)","type":"article-journal","volume":"3"},"uris":["http://www.mendeley.com/documents/?uuid=3f6a1192-bd63-4d19-b12b-70ccd876dc41"]}],"mendeley":{"formattedCitation":"&lt;sup&gt;19&lt;/sup&gt;","plainTextFormattedCitation":"19","previouslyFormattedCitation":"&lt;sup&gt;19&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19</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5AA62052" w14:textId="77777777" w:rsidTr="006603F9">
        <w:trPr>
          <w:trHeight w:val="340"/>
        </w:trPr>
        <w:tc>
          <w:tcPr>
            <w:tcW w:w="2047" w:type="dxa"/>
            <w:shd w:val="clear" w:color="auto" w:fill="auto"/>
            <w:noWrap/>
            <w:tcMar>
              <w:top w:w="15" w:type="dxa"/>
              <w:left w:w="15" w:type="dxa"/>
              <w:bottom w:w="0" w:type="dxa"/>
              <w:right w:w="15" w:type="dxa"/>
            </w:tcMar>
            <w:hideMark/>
          </w:tcPr>
          <w:p w14:paraId="10B216B0"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Gyroidinoides</w:t>
            </w:r>
            <w:proofErr w:type="spellEnd"/>
            <w:r w:rsidRPr="00B848F3">
              <w:rPr>
                <w:rFonts w:asciiTheme="minorHAnsi" w:hAnsiTheme="minorHAnsi"/>
                <w:i/>
                <w:iCs/>
                <w:color w:val="000000"/>
                <w:sz w:val="22"/>
                <w:szCs w:val="22"/>
              </w:rPr>
              <w:t xml:space="preserve"> </w:t>
            </w:r>
            <w:proofErr w:type="spellStart"/>
            <w:r w:rsidRPr="00B848F3">
              <w:rPr>
                <w:rFonts w:asciiTheme="minorHAnsi" w:hAnsiTheme="minorHAnsi"/>
                <w:i/>
                <w:iCs/>
                <w:color w:val="000000"/>
                <w:sz w:val="22"/>
                <w:szCs w:val="22"/>
              </w:rPr>
              <w:t>primitiva</w:t>
            </w:r>
            <w:proofErr w:type="spellEnd"/>
          </w:p>
        </w:tc>
        <w:tc>
          <w:tcPr>
            <w:tcW w:w="1634" w:type="dxa"/>
            <w:shd w:val="clear" w:color="auto" w:fill="auto"/>
            <w:noWrap/>
            <w:tcMar>
              <w:top w:w="15" w:type="dxa"/>
              <w:left w:w="15" w:type="dxa"/>
              <w:bottom w:w="0" w:type="dxa"/>
              <w:right w:w="15" w:type="dxa"/>
            </w:tcMar>
            <w:hideMark/>
          </w:tcPr>
          <w:p w14:paraId="1B1D1610"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45E41929" w14:textId="1EDB9956"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Outer shelf to upper slope</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{"citationItems":[{"id":"ITEM-1","itemData":{"author":[{"dropping-particle":"","family":"Basov","given":"I A","non-dropping-particle":"","parse-names":false,"suffix":""},{"dropping-particle":"","family":"Krasheninnikov","given":"V A","non-dropping-particle":"","parse-names":false,"suffix":""}],"container-title":"Initial Reports of the Deep Sea Drilling Project","id":"ITEM-1","issue":"SEP","issued":{"date-parts":[["1983"]]},"page":"739-787","publisher":"US Government Printing Office SUPERINTENDENT DOCUMENTS,, WASHINGTON, DC …","title":"Benthic foraminifers in Mesozoic and Cenozoic sediments of the southwestern Atlantic as an indicator of paleoenvironment, Deep-Sea Drilling Project Leg-71","type":"article-journal","volume":"71"},"uris":["http://www.mendeley.com/documents/?uuid=e02fc1e7-6ffa-465b-ab72-7ac50adec6ad"]}],"mendeley":{"formattedCitation":"&lt;sup&gt;21&lt;/sup&gt;","plainTextFormattedCitation":"21","previouslyFormattedCitation":"&lt;sup&gt;21&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21</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42E8652C" w14:textId="77777777" w:rsidTr="008265FA">
        <w:trPr>
          <w:trHeight w:val="522"/>
        </w:trPr>
        <w:tc>
          <w:tcPr>
            <w:tcW w:w="2047" w:type="dxa"/>
            <w:shd w:val="clear" w:color="auto" w:fill="auto"/>
            <w:noWrap/>
            <w:tcMar>
              <w:top w:w="15" w:type="dxa"/>
              <w:left w:w="15" w:type="dxa"/>
              <w:bottom w:w="0" w:type="dxa"/>
              <w:right w:w="15" w:type="dxa"/>
            </w:tcMar>
            <w:hideMark/>
          </w:tcPr>
          <w:p w14:paraId="3232CF3E"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Gyroidinoides</w:t>
            </w:r>
            <w:proofErr w:type="spellEnd"/>
            <w:r w:rsidRPr="00B848F3">
              <w:rPr>
                <w:rFonts w:asciiTheme="minorHAnsi" w:hAnsiTheme="minorHAnsi"/>
                <w:i/>
                <w:iCs/>
                <w:color w:val="000000"/>
                <w:sz w:val="22"/>
                <w:szCs w:val="22"/>
              </w:rPr>
              <w:t xml:space="preserve"> quadratus</w:t>
            </w:r>
          </w:p>
        </w:tc>
        <w:tc>
          <w:tcPr>
            <w:tcW w:w="1634" w:type="dxa"/>
            <w:shd w:val="clear" w:color="auto" w:fill="auto"/>
            <w:noWrap/>
            <w:tcMar>
              <w:top w:w="15" w:type="dxa"/>
              <w:left w:w="15" w:type="dxa"/>
              <w:bottom w:w="0" w:type="dxa"/>
              <w:right w:w="15" w:type="dxa"/>
            </w:tcMar>
            <w:hideMark/>
          </w:tcPr>
          <w:p w14:paraId="6245551D"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18DF2057" w14:textId="1ECE2C74"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Cosmopolitan species</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{"citationItems":[{"id":"ITEM-1","itemData":{"author":[{"dropping-particle":"","family":"Holbourn","given":"Ann","non-dropping-particle":"","parse-names":false,"suffix":""},{"dropping-particle":"","family":"Henderson","given":"Andrew S","non-dropping-particle":"","parse-names":false,"suffix":""},{"dropping-particle":"","family":"MacLeod","given":"Norman","non-dropping-particle":"","parse-names":false,"suffix":""},{"dropping-particle":"","family":"MacLeod","given":"Norman","non-dropping-particle":"","parse-names":false,"suffix":""}],"id":"ITEM-1","issued":{"date-parts":[["2013"]]},"publisher":"Wiley Online Library","title":"Atlas of benthic foraminifera","type":"book","volume":"654"},"uris":["http://www.mendeley.com/documents/?uuid=973afa44-518c-4079-82ce-b4abe3396c90"]}],"mendeley":{"formattedCitation":"&lt;sup&gt;22&lt;/sup&gt;","plainTextFormattedCitation":"22","previouslyFormattedCitation":"&lt;sup&gt;22&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22</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r w:rsidRPr="00B848F3">
              <w:rPr>
                <w:rFonts w:asciiTheme="minorHAnsi" w:hAnsiTheme="minorHAnsi"/>
                <w:color w:val="000000"/>
                <w:sz w:val="22"/>
                <w:szCs w:val="22"/>
              </w:rPr>
              <w:br/>
              <w:t>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{"citationItems":[{"id":"ITEM-1","itemData":{"author":[{"dropping-particle":"","family":"Campbell","given":"Robert John","non-dropping-particle":"","parse-names":false,"suffix":""}],"id":"ITEM-1","issued":{"date-parts":[["2003"]]},"publisher":"University of Western Australia Perth","title":"Calcareous nannofossil and foraminiferal analysis of the middle to upper cretaceous Bathurst Island Group, Northern Bonaparte Basin and Darwin Shelf, Northern Australia","type":"thesis"},"uris":["http://www.mendeley.com/documents/?uuid=e9e7fced-8c19-485a-84e9-df9818e8641d"]}],"mendeley":{"formattedCitation":"&lt;sup&gt;23&lt;/sup&gt;","plainTextFormattedCitation":"23","previouslyFormattedCitation":"&lt;sup&gt;23&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23</w:t>
            </w:r>
            <w:r w:rsidR="008265FA">
              <w:rPr>
                <w:rFonts w:asciiTheme="minorHAnsi" w:hAnsiTheme="minorHAnsi"/>
                <w:color w:val="000000"/>
                <w:sz w:val="22"/>
                <w:szCs w:val="22"/>
              </w:rPr>
              <w:fldChar w:fldCharType="end"/>
            </w:r>
            <w:r w:rsidRPr="00B848F3">
              <w:rPr>
                <w:rFonts w:asciiTheme="minorHAnsi" w:hAnsiTheme="minorHAnsi"/>
                <w:color w:val="000000"/>
                <w:sz w:val="22"/>
                <w:szCs w:val="22"/>
              </w:rPr>
              <w:t>, 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{"citationItems":[{"id":"ITEM-1","itemData":{"ISSN":"0377-8398","author":[{"dropping-particle":"","family":"Nyong","given":"Eyo E","non-dropping-particle":"","parse-names":false,"suffix":""},{"dropping-particle":"","family":"Olsson","given":"Richard K","non-dropping-particle":"","parse-names":false,"suffix":""}],"container-title":"Marine Micropaleontology","id":"ITEM-1","issue":"6","issued":{"date-parts":[["1984"]]},"page":"437-477","publisher":"Elsevier","title":"A paleoslope model of Campanian to Lower Maestrichtian foraminifera in the North American basin and adjacent continental margin","type":"article-journal","volume":"8"},"uris":["http://www.mendeley.com/documents/?uuid=d6e83423-177a-4f9b-9909-e24c7c3bab86"]}],"mendeley":{"formattedCitation":"&lt;sup&gt;24&lt;/sup&gt;","plainTextFormattedCitation":"24","previouslyFormattedCitation":"&lt;sup&gt;24&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24</w:t>
            </w:r>
            <w:r w:rsidR="008265FA">
              <w:rPr>
                <w:rFonts w:asciiTheme="minorHAnsi" w:hAnsiTheme="minorHAnsi"/>
                <w:color w:val="000000"/>
                <w:sz w:val="22"/>
                <w:szCs w:val="22"/>
              </w:rPr>
              <w:fldChar w:fldCharType="end"/>
            </w:r>
            <w:r w:rsidRPr="00B848F3">
              <w:rPr>
                <w:rFonts w:asciiTheme="minorHAnsi" w:hAnsiTheme="minorHAnsi"/>
                <w:color w:val="000000"/>
                <w:sz w:val="22"/>
                <w:szCs w:val="22"/>
              </w:rPr>
              <w:t>, lower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{"citationItems":[{"id":"ITEM-1","itemData":{"author":[{"dropping-particle":"","family":"Thomas","given":"E.","non-dropping-particle":"","parse-names":false,"suffix":""}],"container-title":"Initial Reports of the Deep Sea Drilling Project","id":"ITEM-1","issued":{"date-parts":[["1990"]]},"page":"571-594","title":"Late Cretaceous through Neogene deep-sea benthic foraminifera (Maud Rise, Weddell Sea, Antarctica)","type":"article-journal","volume":"113B"},"uris":["http://www.mendeley.com/documents/?uuid=d61c297c-3b09-4817-8bb9-f6375cbc6dd9"]}],"mendeley":{"formattedCitation":"&lt;sup&gt;17&lt;/sup&gt;","plainTextFormattedCitation":"17","previouslyFormattedCitation":"&lt;sup&gt;17&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17</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2E769BB2" w14:textId="77777777" w:rsidTr="006603F9">
        <w:trPr>
          <w:trHeight w:val="1020"/>
        </w:trPr>
        <w:tc>
          <w:tcPr>
            <w:tcW w:w="2047" w:type="dxa"/>
            <w:shd w:val="clear" w:color="auto" w:fill="auto"/>
            <w:noWrap/>
            <w:tcMar>
              <w:top w:w="15" w:type="dxa"/>
              <w:left w:w="15" w:type="dxa"/>
              <w:bottom w:w="0" w:type="dxa"/>
              <w:right w:w="15" w:type="dxa"/>
            </w:tcMar>
            <w:hideMark/>
          </w:tcPr>
          <w:p w14:paraId="687E3255"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Marginulina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4C5DCF8E"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45F04AE9" w14:textId="5A22A1CE"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deposit feeder. Lives in fine-grained sands, or calcareous or siliceous mud.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3F34F8CC" w14:textId="77777777" w:rsidTr="006603F9">
        <w:trPr>
          <w:trHeight w:val="1020"/>
        </w:trPr>
        <w:tc>
          <w:tcPr>
            <w:tcW w:w="2047" w:type="dxa"/>
            <w:shd w:val="clear" w:color="auto" w:fill="auto"/>
            <w:noWrap/>
            <w:tcMar>
              <w:top w:w="15" w:type="dxa"/>
              <w:left w:w="15" w:type="dxa"/>
              <w:bottom w:w="0" w:type="dxa"/>
              <w:right w:w="15" w:type="dxa"/>
            </w:tcMar>
            <w:hideMark/>
          </w:tcPr>
          <w:p w14:paraId="173FC758"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Nodosaria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04CF3FFB"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1DD63ED3" w14:textId="7CF5FE38"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 Lives in fine-grained sands, or calcareous or siliceous mud.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73FFB564" w14:textId="77777777" w:rsidTr="006603F9">
        <w:trPr>
          <w:trHeight w:val="1020"/>
        </w:trPr>
        <w:tc>
          <w:tcPr>
            <w:tcW w:w="2047" w:type="dxa"/>
            <w:shd w:val="clear" w:color="auto" w:fill="auto"/>
            <w:noWrap/>
            <w:tcMar>
              <w:top w:w="15" w:type="dxa"/>
              <w:left w:w="15" w:type="dxa"/>
              <w:bottom w:w="0" w:type="dxa"/>
              <w:right w:w="15" w:type="dxa"/>
            </w:tcMar>
            <w:hideMark/>
          </w:tcPr>
          <w:p w14:paraId="6E398346"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Palaeopolymorphina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2F6DF41D"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283AD4BA" w14:textId="48092C63" w:rsidR="00B50234" w:rsidRPr="00B848F3" w:rsidRDefault="00B50234" w:rsidP="006603F9">
            <w:pPr>
              <w:spacing w:after="225"/>
              <w:rPr>
                <w:rFonts w:asciiTheme="minorHAnsi" w:hAnsiTheme="minorHAnsi"/>
                <w:color w:val="000000"/>
                <w:sz w:val="22"/>
                <w:szCs w:val="22"/>
              </w:rPr>
            </w:pPr>
            <w:proofErr w:type="spellStart"/>
            <w:r w:rsidRPr="00B848F3">
              <w:rPr>
                <w:rFonts w:asciiTheme="minorHAnsi" w:hAnsiTheme="minorHAnsi"/>
                <w:color w:val="000000"/>
                <w:sz w:val="22"/>
                <w:szCs w:val="22"/>
              </w:rPr>
              <w:t>Polymorphinids</w:t>
            </w:r>
            <w:proofErr w:type="spellEnd"/>
            <w:r w:rsidRPr="00B848F3">
              <w:rPr>
                <w:rFonts w:asciiTheme="minorHAnsi" w:hAnsiTheme="minorHAnsi"/>
                <w:color w:val="000000"/>
                <w:sz w:val="22"/>
                <w:szCs w:val="22"/>
              </w:rPr>
              <w:t xml:space="preserve"> are known as epifaunal and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Living in fine-grained calcareous or siliceous muds.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1BFF95FB" w14:textId="77777777" w:rsidTr="006603F9">
        <w:trPr>
          <w:trHeight w:val="1020"/>
        </w:trPr>
        <w:tc>
          <w:tcPr>
            <w:tcW w:w="2047" w:type="dxa"/>
            <w:shd w:val="clear" w:color="auto" w:fill="auto"/>
            <w:noWrap/>
            <w:tcMar>
              <w:top w:w="15" w:type="dxa"/>
              <w:left w:w="15" w:type="dxa"/>
              <w:bottom w:w="0" w:type="dxa"/>
              <w:right w:w="15" w:type="dxa"/>
            </w:tcMar>
            <w:hideMark/>
          </w:tcPr>
          <w:p w14:paraId="33DEA4A8"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Planularia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7F5F8716"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0ECE50D4" w14:textId="33865F4A"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xml:space="preserve">, active deposit feeder. Lives in fine-grained sands, or </w:t>
            </w:r>
            <w:r w:rsidR="008265FA" w:rsidRPr="00B848F3">
              <w:rPr>
                <w:rFonts w:asciiTheme="minorHAnsi" w:hAnsiTheme="minorHAnsi"/>
                <w:color w:val="000000"/>
                <w:sz w:val="22"/>
                <w:szCs w:val="22"/>
              </w:rPr>
              <w:t>calcareous</w:t>
            </w:r>
            <w:r w:rsidRPr="00B848F3">
              <w:rPr>
                <w:rFonts w:asciiTheme="minorHAnsi" w:hAnsiTheme="minorHAnsi"/>
                <w:color w:val="000000"/>
                <w:sz w:val="22"/>
                <w:szCs w:val="22"/>
              </w:rPr>
              <w:t xml:space="preserve"> or siliceous mud.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r w:rsidR="00B50234" w14:paraId="13B4DDFD" w14:textId="77777777" w:rsidTr="006603F9">
        <w:trPr>
          <w:trHeight w:val="1020"/>
        </w:trPr>
        <w:tc>
          <w:tcPr>
            <w:tcW w:w="2047" w:type="dxa"/>
            <w:shd w:val="clear" w:color="auto" w:fill="auto"/>
            <w:noWrap/>
            <w:tcMar>
              <w:top w:w="15" w:type="dxa"/>
              <w:left w:w="15" w:type="dxa"/>
              <w:bottom w:w="0" w:type="dxa"/>
              <w:right w:w="15" w:type="dxa"/>
            </w:tcMar>
            <w:hideMark/>
          </w:tcPr>
          <w:p w14:paraId="3729842B"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Ramulina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4EC0321F"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3E4FBA8F" w14:textId="2E3AFF46"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 Lives in fine-grained sands, or calcareous or siliceous mud.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eviouslyFormattedCitation":"&lt;sup&gt;10&lt;/sup&gt;"},"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r w:rsidRPr="00B848F3">
              <w:rPr>
                <w:rFonts w:asciiTheme="minorHAnsi" w:hAnsiTheme="minorHAnsi"/>
                <w:color w:val="000000"/>
                <w:sz w:val="22"/>
                <w:szCs w:val="22"/>
              </w:rPr>
              <w:t xml:space="preserve"> </w:t>
            </w:r>
          </w:p>
        </w:tc>
      </w:tr>
      <w:tr w:rsidR="00B50234" w14:paraId="7C097F46" w14:textId="77777777" w:rsidTr="006603F9">
        <w:trPr>
          <w:trHeight w:val="1020"/>
        </w:trPr>
        <w:tc>
          <w:tcPr>
            <w:tcW w:w="2047" w:type="dxa"/>
            <w:shd w:val="clear" w:color="auto" w:fill="auto"/>
            <w:noWrap/>
            <w:tcMar>
              <w:top w:w="15" w:type="dxa"/>
              <w:left w:w="15" w:type="dxa"/>
              <w:bottom w:w="0" w:type="dxa"/>
              <w:right w:w="15" w:type="dxa"/>
            </w:tcMar>
            <w:hideMark/>
          </w:tcPr>
          <w:p w14:paraId="1CB4E4D1" w14:textId="77777777" w:rsidR="00B50234" w:rsidRPr="00B848F3" w:rsidRDefault="00B50234" w:rsidP="006603F9">
            <w:pPr>
              <w:spacing w:after="225"/>
              <w:rPr>
                <w:rFonts w:asciiTheme="minorHAnsi" w:hAnsiTheme="minorHAnsi"/>
                <w:i/>
                <w:iCs/>
                <w:color w:val="000000"/>
                <w:sz w:val="22"/>
                <w:szCs w:val="22"/>
              </w:rPr>
            </w:pPr>
            <w:proofErr w:type="spellStart"/>
            <w:r w:rsidRPr="00B848F3">
              <w:rPr>
                <w:rFonts w:asciiTheme="minorHAnsi" w:hAnsiTheme="minorHAnsi"/>
                <w:i/>
                <w:iCs/>
                <w:color w:val="000000"/>
                <w:sz w:val="22"/>
                <w:szCs w:val="22"/>
              </w:rPr>
              <w:t>Saracenaria</w:t>
            </w:r>
            <w:proofErr w:type="spellEnd"/>
            <w:r w:rsidRPr="00B848F3">
              <w:rPr>
                <w:rFonts w:asciiTheme="minorHAnsi" w:hAnsiTheme="minorHAnsi"/>
                <w:i/>
                <w:iCs/>
                <w:color w:val="000000"/>
                <w:sz w:val="22"/>
                <w:szCs w:val="22"/>
              </w:rPr>
              <w:t xml:space="preserve"> spp.</w:t>
            </w:r>
          </w:p>
        </w:tc>
        <w:tc>
          <w:tcPr>
            <w:tcW w:w="1634" w:type="dxa"/>
            <w:shd w:val="clear" w:color="auto" w:fill="auto"/>
            <w:noWrap/>
            <w:tcMar>
              <w:top w:w="15" w:type="dxa"/>
              <w:left w:w="15" w:type="dxa"/>
              <w:bottom w:w="0" w:type="dxa"/>
              <w:right w:w="15" w:type="dxa"/>
            </w:tcMar>
            <w:hideMark/>
          </w:tcPr>
          <w:p w14:paraId="62BAD85A" w14:textId="77777777"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Intermediate infauna</w:t>
            </w:r>
          </w:p>
        </w:tc>
        <w:tc>
          <w:tcPr>
            <w:tcW w:w="5386" w:type="dxa"/>
            <w:shd w:val="clear" w:color="auto" w:fill="auto"/>
            <w:tcMar>
              <w:top w:w="15" w:type="dxa"/>
              <w:left w:w="15" w:type="dxa"/>
              <w:bottom w:w="0" w:type="dxa"/>
              <w:right w:w="15" w:type="dxa"/>
            </w:tcMar>
            <w:hideMark/>
          </w:tcPr>
          <w:p w14:paraId="350AD7E7" w14:textId="469183F3" w:rsidR="00B50234" w:rsidRPr="00B848F3" w:rsidRDefault="00B50234" w:rsidP="006603F9">
            <w:pPr>
              <w:spacing w:after="225"/>
              <w:rPr>
                <w:rFonts w:asciiTheme="minorHAnsi" w:hAnsiTheme="minorHAnsi"/>
                <w:color w:val="000000"/>
                <w:sz w:val="22"/>
                <w:szCs w:val="22"/>
              </w:rPr>
            </w:pPr>
            <w:r w:rsidRPr="00B848F3">
              <w:rPr>
                <w:rFonts w:asciiTheme="minorHAnsi" w:hAnsiTheme="minorHAnsi"/>
                <w:color w:val="000000"/>
                <w:sz w:val="22"/>
                <w:szCs w:val="22"/>
              </w:rPr>
              <w:t xml:space="preserve">Epifaunal to shallow </w:t>
            </w:r>
            <w:proofErr w:type="spellStart"/>
            <w:r w:rsidRPr="00B848F3">
              <w:rPr>
                <w:rFonts w:asciiTheme="minorHAnsi" w:hAnsiTheme="minorHAnsi"/>
                <w:color w:val="000000"/>
                <w:sz w:val="22"/>
                <w:szCs w:val="22"/>
              </w:rPr>
              <w:t>infaunal</w:t>
            </w:r>
            <w:proofErr w:type="spellEnd"/>
            <w:r w:rsidRPr="00B848F3">
              <w:rPr>
                <w:rFonts w:asciiTheme="minorHAnsi" w:hAnsiTheme="minorHAnsi"/>
                <w:color w:val="000000"/>
                <w:sz w:val="22"/>
                <w:szCs w:val="22"/>
              </w:rPr>
              <w:t>, deposit feeder. Lives in fine-grained sands, or calcareous or siliceous mud. Neritic to upper/middle bathyal</w:t>
            </w:r>
            <w:r w:rsidR="008265FA">
              <w:rPr>
                <w:rFonts w:asciiTheme="minorHAnsi" w:hAnsiTheme="minorHAnsi"/>
                <w:color w:val="000000"/>
                <w:sz w:val="22"/>
                <w:szCs w:val="22"/>
              </w:rPr>
              <w:fldChar w:fldCharType="begin" w:fldLock="1"/>
            </w:r>
            <w:r w:rsidR="008265FA">
              <w:rPr>
                <w:rFonts w:asciiTheme="minorHAnsi" w:hAnsiTheme="minorHAnsi"/>
                <w:color w:val="000000"/>
                <w:sz w:val="22"/>
                <w:szCs w:val="22"/>
              </w:rPr>
              <w:instrText>ADDIN CSL_CITATION {"citationItems":[{"id":"ITEM-1","itemData":{"ISSN":"1473-7116","author":[{"dropping-particle":"","family":"Koutsoukos","given":"Eduardo A M","non-dropping-particle":"","parse-names":false,"suffix":""},{"dropping-particle":"","family":"Hart","given":"Malcolm B","non-dropping-particle":"","parse-names":false,"suffix":""}],"container-title":"Earth and Environmental Science Transactions of The Royal Society of Edinburgh","id":"ITEM-1","issue":"3","issued":{"date-parts":[["1990"]]},"page":"221-246","publisher":"Royal Society of Edinburgh Scotland Foundation","title":"Cretaceous foraminiferal morphogroup distribution patterns, palaeocommunities and trophic structures: a case study from the Sergipe Basin, Brazil","type":"article-journal","volume":"81"},"uris":["http://www.mendeley.com/documents/?uuid=5e694299-4e9f-4049-91b9-9e22706e33a0"]}],"mendeley":{"formattedCitation":"&lt;sup&gt;10&lt;/sup&gt;","plainTextFormattedCitation":"10"},"properties":{"noteIndex":0},"schema":"https://github.com/citation-style-language/schema/raw/master/csl-citation.json"}</w:instrText>
            </w:r>
            <w:r w:rsidR="008265FA">
              <w:rPr>
                <w:rFonts w:asciiTheme="minorHAnsi" w:hAnsiTheme="minorHAnsi"/>
                <w:color w:val="000000"/>
                <w:sz w:val="22"/>
                <w:szCs w:val="22"/>
              </w:rPr>
              <w:fldChar w:fldCharType="separate"/>
            </w:r>
            <w:r w:rsidR="008265FA" w:rsidRPr="008265FA">
              <w:rPr>
                <w:rFonts w:asciiTheme="minorHAnsi" w:hAnsiTheme="minorHAnsi"/>
                <w:noProof/>
                <w:color w:val="000000"/>
                <w:sz w:val="22"/>
                <w:szCs w:val="22"/>
                <w:vertAlign w:val="superscript"/>
              </w:rPr>
              <w:t>10</w:t>
            </w:r>
            <w:r w:rsidR="008265FA">
              <w:rPr>
                <w:rFonts w:asciiTheme="minorHAnsi" w:hAnsiTheme="minorHAnsi"/>
                <w:color w:val="000000"/>
                <w:sz w:val="22"/>
                <w:szCs w:val="22"/>
              </w:rPr>
              <w:fldChar w:fldCharType="end"/>
            </w:r>
            <w:r w:rsidR="008265FA">
              <w:rPr>
                <w:rFonts w:asciiTheme="minorHAnsi" w:hAnsiTheme="minorHAnsi"/>
                <w:color w:val="000000"/>
                <w:sz w:val="22"/>
                <w:szCs w:val="22"/>
              </w:rPr>
              <w:t>.</w:t>
            </w:r>
          </w:p>
        </w:tc>
      </w:tr>
    </w:tbl>
    <w:p w14:paraId="13648FC7" w14:textId="77777777" w:rsidR="00B50234" w:rsidRDefault="00B50234" w:rsidP="00B50234">
      <w:pPr>
        <w:spacing w:after="160" w:line="259" w:lineRule="auto"/>
        <w:rPr>
          <w:b/>
          <w:bCs/>
        </w:rPr>
      </w:pPr>
      <w:r>
        <w:rPr>
          <w:b/>
          <w:bCs/>
        </w:rPr>
        <w:t xml:space="preserve"> </w:t>
      </w:r>
      <w:r>
        <w:rPr>
          <w:b/>
          <w:bCs/>
        </w:rPr>
        <w:br w:type="page"/>
      </w:r>
    </w:p>
    <w:p w14:paraId="59E86FC0" w14:textId="14EBA839" w:rsidR="00417F4A" w:rsidRDefault="00417F4A" w:rsidP="00417F4A">
      <w:pPr>
        <w:pStyle w:val="Heading2"/>
      </w:pPr>
      <w:r>
        <w:lastRenderedPageBreak/>
        <w:t>Figures</w:t>
      </w:r>
    </w:p>
    <w:p w14:paraId="13EC75C6" w14:textId="4E637E13" w:rsidR="00B50234" w:rsidRDefault="00B50234" w:rsidP="00B50234">
      <w:pPr>
        <w:tabs>
          <w:tab w:val="left" w:pos="2430"/>
        </w:tabs>
        <w:rPr>
          <w:b/>
          <w:bCs/>
        </w:rPr>
      </w:pPr>
      <w:r>
        <w:rPr>
          <w:b/>
          <w:bCs/>
        </w:rPr>
        <w:t>Supplementary Figure 1 – Map of Site Locations</w:t>
      </w:r>
    </w:p>
    <w:p w14:paraId="716EF469" w14:textId="77777777" w:rsidR="00B50234" w:rsidRPr="000D197A" w:rsidRDefault="00B50234" w:rsidP="00B50234">
      <w:pPr>
        <w:tabs>
          <w:tab w:val="left" w:pos="2430"/>
        </w:tabs>
      </w:pPr>
    </w:p>
    <w:p w14:paraId="48A344EC" w14:textId="3AED688F" w:rsidR="00B50234" w:rsidRDefault="00BE33E3" w:rsidP="00B50234">
      <w:pPr>
        <w:keepNext/>
        <w:tabs>
          <w:tab w:val="left" w:pos="2430"/>
        </w:tabs>
      </w:pPr>
      <w:r>
        <w:rPr>
          <w:noProof/>
        </w:rPr>
        <w:drawing>
          <wp:inline distT="0" distB="0" distL="0" distR="0" wp14:anchorId="40D10260" wp14:editId="4AC36F40">
            <wp:extent cx="5572125" cy="3825903"/>
            <wp:effectExtent l="0" t="0" r="0" b="3175"/>
            <wp:docPr id="1834971355" name="Picture 2" descr="A map of the ea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971355" name="Picture 2" descr="A map of the eart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73544" cy="3826877"/>
                    </a:xfrm>
                    <a:prstGeom prst="rect">
                      <a:avLst/>
                    </a:prstGeom>
                  </pic:spPr>
                </pic:pic>
              </a:graphicData>
            </a:graphic>
          </wp:inline>
        </w:drawing>
      </w:r>
    </w:p>
    <w:p w14:paraId="3C9052D4" w14:textId="77777777" w:rsidR="00BE33E3" w:rsidRDefault="00BE33E3" w:rsidP="00B50234">
      <w:pPr>
        <w:tabs>
          <w:tab w:val="left" w:pos="2430"/>
        </w:tabs>
        <w:rPr>
          <w:b/>
          <w:bCs/>
          <w:sz w:val="22"/>
          <w:szCs w:val="22"/>
        </w:rPr>
      </w:pPr>
    </w:p>
    <w:p w14:paraId="3A97F76A" w14:textId="253D5270" w:rsidR="00B50234" w:rsidRPr="0023139E" w:rsidRDefault="00B50234" w:rsidP="00B50234">
      <w:pPr>
        <w:tabs>
          <w:tab w:val="left" w:pos="2430"/>
        </w:tabs>
        <w:rPr>
          <w:sz w:val="22"/>
          <w:szCs w:val="22"/>
        </w:rPr>
      </w:pPr>
      <w:r w:rsidRPr="0023139E">
        <w:rPr>
          <w:b/>
          <w:bCs/>
          <w:sz w:val="22"/>
          <w:szCs w:val="22"/>
        </w:rPr>
        <w:t>Map of Site Locations.</w:t>
      </w:r>
      <w:r w:rsidRPr="0023139E">
        <w:rPr>
          <w:sz w:val="22"/>
          <w:szCs w:val="22"/>
        </w:rPr>
        <w:t xml:space="preserve"> Present day map of SW Australia showing location of IODP Sites U1513 and U1516. Created using Google Earth Pro V7.3.4.8248 (January 17, 2023), SW Australia, Data: SIO, NOAA, U.S. Navy, NGA, GEBCO, Landsat / Copernicus. Site locations from Huber et al., (2019)</w:t>
      </w:r>
      <w:r w:rsidRPr="0023139E">
        <w:rPr>
          <w:sz w:val="22"/>
          <w:szCs w:val="22"/>
        </w:rPr>
        <w:fldChar w:fldCharType="begin" w:fldLock="1"/>
      </w:r>
      <w:r w:rsidR="005E4CCD">
        <w:rPr>
          <w:sz w:val="22"/>
          <w:szCs w:val="22"/>
        </w:rPr>
        <w:instrText>ADDIN CSL_CITATION {"citationItems":[{"id":"ITEM-1","itemData":{"DOI":"10.14379/iodp.proc.369.2019","abstract":"Australia Cretaceous Climate and Tectonics. Proceedings of the International Ocean Discovery Program, 369: College Station, TX (International Ocean Discovery Program).","author":[{"dropping-particle":"","family":"Huber","given":"B.T.","non-dropping-particle":"","parse-names":false,"suffix":""},{"dropping-particle":"","family":"Hobbs","given":"R.W.","non-dropping-particle":"","parse-names":false,"suffix":""},{"dropping-particle":"","family":"Bogus","given":"K.A.","non-dropping-particle":"","parse-names":false,"suffix":""},{"dropping-particle":"","family":"and the Expedition 369 Scientists","given":"","non-dropping-particle":"","parse-names":false,"suffix":""}],"container-title":"Proceedings of the International Ocean Discovery Program","id":"ITEM-1","issued":{"date-parts":[["2019"]]},"title":"Proceedings of the International Ocean Discovery Program Volume 369 Australia Cretaceous Climate and Tectonics","type":"article-journal","volume":"369"},"uris":["http://www.mendeley.com/documents/?uuid=400c77a6-0fa0-3ccd-9458-62548548dbef"]}],"mendeley":{"formattedCitation":"&lt;sup&gt;3&lt;/sup&gt;","plainTextFormattedCitation":"3","previouslyFormattedCitation":"&lt;sup&gt;3&lt;/sup&gt;"},"properties":{"noteIndex":0},"schema":"https://github.com/citation-style-language/schema/raw/master/csl-citation.json"}</w:instrText>
      </w:r>
      <w:r w:rsidRPr="0023139E">
        <w:rPr>
          <w:sz w:val="22"/>
          <w:szCs w:val="22"/>
        </w:rPr>
        <w:fldChar w:fldCharType="separate"/>
      </w:r>
      <w:r w:rsidRPr="00B50234">
        <w:rPr>
          <w:noProof/>
          <w:sz w:val="22"/>
          <w:szCs w:val="22"/>
          <w:vertAlign w:val="superscript"/>
        </w:rPr>
        <w:t>3</w:t>
      </w:r>
      <w:r w:rsidRPr="0023139E">
        <w:rPr>
          <w:sz w:val="22"/>
          <w:szCs w:val="22"/>
        </w:rPr>
        <w:fldChar w:fldCharType="end"/>
      </w:r>
      <w:r w:rsidRPr="0023139E">
        <w:rPr>
          <w:sz w:val="22"/>
          <w:szCs w:val="22"/>
        </w:rPr>
        <w:t>.</w:t>
      </w:r>
    </w:p>
    <w:p w14:paraId="72FB63A3" w14:textId="77777777" w:rsidR="00B50234" w:rsidRDefault="00B50234" w:rsidP="00B50234">
      <w:pPr>
        <w:spacing w:after="160" w:line="259" w:lineRule="auto"/>
        <w:rPr>
          <w:b/>
          <w:bCs/>
        </w:rPr>
      </w:pPr>
    </w:p>
    <w:p w14:paraId="312A6505" w14:textId="77777777" w:rsidR="00B50234" w:rsidRDefault="00B50234" w:rsidP="00B50234">
      <w:pPr>
        <w:spacing w:after="160" w:line="259" w:lineRule="auto"/>
        <w:rPr>
          <w:b/>
          <w:bCs/>
        </w:rPr>
      </w:pPr>
      <w:r>
        <w:rPr>
          <w:b/>
          <w:bCs/>
        </w:rPr>
        <w:br w:type="page"/>
      </w:r>
    </w:p>
    <w:p w14:paraId="42722D95" w14:textId="77777777" w:rsidR="00B50234" w:rsidRDefault="00B50234" w:rsidP="00B50234">
      <w:pPr>
        <w:tabs>
          <w:tab w:val="left" w:pos="2430"/>
        </w:tabs>
        <w:rPr>
          <w:b/>
          <w:bCs/>
        </w:rPr>
      </w:pPr>
      <w:r>
        <w:rPr>
          <w:noProof/>
        </w:rPr>
        <w:lastRenderedPageBreak/>
        <w:drawing>
          <wp:anchor distT="0" distB="0" distL="114300" distR="114300" simplePos="0" relativeHeight="251627008" behindDoc="1" locked="0" layoutInCell="1" allowOverlap="1" wp14:anchorId="5744AD67" wp14:editId="00BD2482">
            <wp:simplePos x="0" y="0"/>
            <wp:positionH relativeFrom="column">
              <wp:posOffset>-457200</wp:posOffset>
            </wp:positionH>
            <wp:positionV relativeFrom="paragraph">
              <wp:posOffset>238125</wp:posOffset>
            </wp:positionV>
            <wp:extent cx="6858000" cy="4690110"/>
            <wp:effectExtent l="0" t="0" r="0" b="0"/>
            <wp:wrapTopAndBottom/>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nthic foram d13C isotopes with composit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58000" cy="4690110"/>
                    </a:xfrm>
                    <a:prstGeom prst="rect">
                      <a:avLst/>
                    </a:prstGeom>
                  </pic:spPr>
                </pic:pic>
              </a:graphicData>
            </a:graphic>
            <wp14:sizeRelH relativeFrom="page">
              <wp14:pctWidth>0</wp14:pctWidth>
            </wp14:sizeRelH>
            <wp14:sizeRelV relativeFrom="page">
              <wp14:pctHeight>0</wp14:pctHeight>
            </wp14:sizeRelV>
          </wp:anchor>
        </w:drawing>
      </w:r>
      <w:r w:rsidRPr="007F4BE2">
        <w:rPr>
          <w:b/>
          <w:bCs/>
        </w:rPr>
        <w:t xml:space="preserve">Supplementary Figure </w:t>
      </w:r>
      <w:r>
        <w:rPr>
          <w:b/>
          <w:bCs/>
        </w:rPr>
        <w:t>2 – Creation of composite benthic foraminiferal</w:t>
      </w:r>
      <w:r w:rsidRPr="0023139E">
        <w:rPr>
          <w:b/>
          <w:bCs/>
        </w:rPr>
        <w:t xml:space="preserve"> δ</w:t>
      </w:r>
      <w:r w:rsidRPr="0023139E">
        <w:rPr>
          <w:b/>
          <w:bCs/>
          <w:vertAlign w:val="superscript"/>
        </w:rPr>
        <w:t>13</w:t>
      </w:r>
      <w:r w:rsidRPr="0023139E">
        <w:rPr>
          <w:b/>
          <w:bCs/>
        </w:rPr>
        <w:t>C cu</w:t>
      </w:r>
      <w:r>
        <w:rPr>
          <w:b/>
          <w:bCs/>
        </w:rPr>
        <w:t>rve</w:t>
      </w:r>
    </w:p>
    <w:p w14:paraId="314B92E2" w14:textId="77777777" w:rsidR="00B50234" w:rsidRDefault="00B50234" w:rsidP="00B50234">
      <w:pPr>
        <w:tabs>
          <w:tab w:val="left" w:pos="2430"/>
        </w:tabs>
        <w:rPr>
          <w:b/>
          <w:bCs/>
          <w:sz w:val="22"/>
          <w:szCs w:val="22"/>
        </w:rPr>
      </w:pPr>
    </w:p>
    <w:p w14:paraId="3B4EB534" w14:textId="39B346CB" w:rsidR="00B50234" w:rsidRPr="0023139E" w:rsidRDefault="00B50234" w:rsidP="00B50234">
      <w:pPr>
        <w:tabs>
          <w:tab w:val="left" w:pos="2430"/>
        </w:tabs>
        <w:rPr>
          <w:sz w:val="22"/>
          <w:szCs w:val="22"/>
        </w:rPr>
      </w:pPr>
      <w:r w:rsidRPr="0023139E">
        <w:rPr>
          <w:b/>
          <w:bCs/>
          <w:sz w:val="22"/>
          <w:szCs w:val="22"/>
        </w:rPr>
        <w:t>Creation of composite benthic foraminiferal δ</w:t>
      </w:r>
      <w:r w:rsidRPr="0023139E">
        <w:rPr>
          <w:b/>
          <w:bCs/>
          <w:sz w:val="22"/>
          <w:szCs w:val="22"/>
          <w:vertAlign w:val="superscript"/>
        </w:rPr>
        <w:t>13</w:t>
      </w:r>
      <w:r w:rsidRPr="0023139E">
        <w:rPr>
          <w:b/>
          <w:bCs/>
          <w:sz w:val="22"/>
          <w:szCs w:val="22"/>
        </w:rPr>
        <w:t>C curve</w:t>
      </w:r>
      <w:r w:rsidRPr="0023139E">
        <w:rPr>
          <w:sz w:val="22"/>
          <w:szCs w:val="22"/>
        </w:rPr>
        <w:t>. δ</w:t>
      </w:r>
      <w:r w:rsidRPr="0023139E">
        <w:rPr>
          <w:sz w:val="22"/>
          <w:szCs w:val="22"/>
          <w:vertAlign w:val="superscript"/>
        </w:rPr>
        <w:t>13</w:t>
      </w:r>
      <w:r w:rsidRPr="0023139E">
        <w:rPr>
          <w:sz w:val="22"/>
          <w:szCs w:val="22"/>
        </w:rPr>
        <w:t xml:space="preserve">C data for benthic foraminifera from this study and from Petrizzo et al. (2021), plotted against abundance of individuals, Fisher </w:t>
      </w:r>
      <w:r w:rsidRPr="0023139E">
        <w:rPr>
          <w:rFonts w:cstheme="minorHAnsi"/>
          <w:sz w:val="22"/>
          <w:szCs w:val="22"/>
        </w:rPr>
        <w:t>α</w:t>
      </w:r>
      <w:r w:rsidRPr="0023139E">
        <w:rPr>
          <w:sz w:val="22"/>
          <w:szCs w:val="22"/>
        </w:rPr>
        <w:t xml:space="preserve"> Diversity and bulk stable isotope data. Blue shaded area is O</w:t>
      </w:r>
      <w:r w:rsidR="005D0DBD">
        <w:rPr>
          <w:sz w:val="22"/>
          <w:szCs w:val="22"/>
        </w:rPr>
        <w:t xml:space="preserve">cean </w:t>
      </w:r>
      <w:r w:rsidRPr="0023139E">
        <w:rPr>
          <w:sz w:val="22"/>
          <w:szCs w:val="22"/>
        </w:rPr>
        <w:t>A</w:t>
      </w:r>
      <w:r w:rsidR="005D0DBD">
        <w:rPr>
          <w:sz w:val="22"/>
          <w:szCs w:val="22"/>
        </w:rPr>
        <w:t xml:space="preserve">noxic </w:t>
      </w:r>
      <w:r w:rsidRPr="0023139E">
        <w:rPr>
          <w:sz w:val="22"/>
          <w:szCs w:val="22"/>
        </w:rPr>
        <w:t>E</w:t>
      </w:r>
      <w:r w:rsidR="005D0DBD">
        <w:rPr>
          <w:sz w:val="22"/>
          <w:szCs w:val="22"/>
        </w:rPr>
        <w:t>vent</w:t>
      </w:r>
      <w:r w:rsidRPr="0023139E">
        <w:rPr>
          <w:sz w:val="22"/>
          <w:szCs w:val="22"/>
        </w:rPr>
        <w:t xml:space="preserve"> 2. Composite curves are plotted with (left) and without (right) </w:t>
      </w:r>
      <w:proofErr w:type="spellStart"/>
      <w:r w:rsidRPr="0023139E">
        <w:rPr>
          <w:i/>
          <w:iCs/>
          <w:sz w:val="22"/>
          <w:szCs w:val="22"/>
        </w:rPr>
        <w:t>Lenticulina</w:t>
      </w:r>
      <w:proofErr w:type="spellEnd"/>
      <w:r w:rsidRPr="0023139E">
        <w:rPr>
          <w:sz w:val="22"/>
          <w:szCs w:val="22"/>
        </w:rPr>
        <w:t xml:space="preserve">, which is a diverse group and may represent a variety of species which do not have a consistent offset from the seawater signal. However, both composite curves demonstrate prolonged changes to the assemblage after the </w:t>
      </w:r>
      <w:r>
        <w:rPr>
          <w:sz w:val="22"/>
          <w:szCs w:val="22"/>
        </w:rPr>
        <w:t>low</w:t>
      </w:r>
      <w:r w:rsidRPr="0023139E">
        <w:rPr>
          <w:sz w:val="22"/>
          <w:szCs w:val="22"/>
        </w:rPr>
        <w:t xml:space="preserve"> carbonate horizon.</w:t>
      </w:r>
    </w:p>
    <w:p w14:paraId="558A6235" w14:textId="77777777" w:rsidR="00B50234" w:rsidRPr="00212010" w:rsidRDefault="00B50234" w:rsidP="00B50234"/>
    <w:p w14:paraId="38E66EAF" w14:textId="77777777" w:rsidR="00B50234" w:rsidRDefault="00B50234" w:rsidP="00B50234">
      <w:r>
        <w:br w:type="page"/>
      </w:r>
    </w:p>
    <w:p w14:paraId="7B310AD5" w14:textId="77777777" w:rsidR="00B50234" w:rsidRDefault="00B50234" w:rsidP="00B50234">
      <w:pPr>
        <w:tabs>
          <w:tab w:val="left" w:pos="1215"/>
        </w:tabs>
        <w:rPr>
          <w:b/>
          <w:bCs/>
        </w:rPr>
      </w:pPr>
      <w:r w:rsidRPr="007F4BE2">
        <w:rPr>
          <w:b/>
          <w:bCs/>
        </w:rPr>
        <w:lastRenderedPageBreak/>
        <w:t xml:space="preserve">Supplementary Figure </w:t>
      </w:r>
      <w:r>
        <w:rPr>
          <w:b/>
          <w:bCs/>
        </w:rPr>
        <w:t>3</w:t>
      </w:r>
      <w:r w:rsidRPr="007F4BE2">
        <w:rPr>
          <w:b/>
          <w:bCs/>
        </w:rPr>
        <w:t xml:space="preserve"> </w:t>
      </w:r>
      <w:r>
        <w:rPr>
          <w:b/>
          <w:bCs/>
        </w:rPr>
        <w:t>- Creation of composite benthic foraminife</w:t>
      </w:r>
      <w:r w:rsidRPr="0023139E">
        <w:rPr>
          <w:b/>
          <w:bCs/>
        </w:rPr>
        <w:t>ral δ</w:t>
      </w:r>
      <w:r w:rsidRPr="0023139E">
        <w:rPr>
          <w:b/>
          <w:bCs/>
          <w:vertAlign w:val="superscript"/>
        </w:rPr>
        <w:t>18</w:t>
      </w:r>
      <w:r w:rsidRPr="0023139E">
        <w:rPr>
          <w:b/>
          <w:bCs/>
        </w:rPr>
        <w:t xml:space="preserve">O </w:t>
      </w:r>
      <w:r>
        <w:rPr>
          <w:b/>
          <w:bCs/>
        </w:rPr>
        <w:t>curve</w:t>
      </w:r>
      <w:r>
        <w:rPr>
          <w:noProof/>
        </w:rPr>
        <w:t xml:space="preserve"> </w:t>
      </w:r>
      <w:r>
        <w:rPr>
          <w:noProof/>
        </w:rPr>
        <w:drawing>
          <wp:anchor distT="0" distB="0" distL="114300" distR="114300" simplePos="0" relativeHeight="251686400" behindDoc="1" locked="0" layoutInCell="1" allowOverlap="1" wp14:anchorId="732E4BC4" wp14:editId="521D956A">
            <wp:simplePos x="0" y="0"/>
            <wp:positionH relativeFrom="column">
              <wp:posOffset>-650240</wp:posOffset>
            </wp:positionH>
            <wp:positionV relativeFrom="paragraph">
              <wp:posOffset>240030</wp:posOffset>
            </wp:positionV>
            <wp:extent cx="6743700" cy="4544695"/>
            <wp:effectExtent l="0" t="0" r="0" b="8255"/>
            <wp:wrapTopAndBottom/>
            <wp:docPr id="5" name="Picture 5"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enthic foram d18O isotopes with composit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43700" cy="4544695"/>
                    </a:xfrm>
                    <a:prstGeom prst="rect">
                      <a:avLst/>
                    </a:prstGeom>
                  </pic:spPr>
                </pic:pic>
              </a:graphicData>
            </a:graphic>
            <wp14:sizeRelH relativeFrom="page">
              <wp14:pctWidth>0</wp14:pctWidth>
            </wp14:sizeRelH>
            <wp14:sizeRelV relativeFrom="page">
              <wp14:pctHeight>0</wp14:pctHeight>
            </wp14:sizeRelV>
          </wp:anchor>
        </w:drawing>
      </w:r>
    </w:p>
    <w:p w14:paraId="237996B9" w14:textId="77777777" w:rsidR="00B50234" w:rsidRDefault="00B50234" w:rsidP="00B50234">
      <w:pPr>
        <w:tabs>
          <w:tab w:val="left" w:pos="1215"/>
        </w:tabs>
        <w:rPr>
          <w:b/>
          <w:bCs/>
        </w:rPr>
      </w:pPr>
    </w:p>
    <w:p w14:paraId="0A980F1A" w14:textId="7D51EB79" w:rsidR="00B50234" w:rsidRPr="0023139E" w:rsidRDefault="00B50234" w:rsidP="00B50234">
      <w:pPr>
        <w:tabs>
          <w:tab w:val="left" w:pos="1215"/>
        </w:tabs>
        <w:rPr>
          <w:sz w:val="22"/>
          <w:szCs w:val="22"/>
        </w:rPr>
      </w:pPr>
      <w:r w:rsidRPr="0023139E">
        <w:rPr>
          <w:b/>
          <w:bCs/>
          <w:sz w:val="22"/>
          <w:szCs w:val="22"/>
        </w:rPr>
        <w:t>Creation of composite benthic foraminiferal δ</w:t>
      </w:r>
      <w:r w:rsidRPr="0023139E">
        <w:rPr>
          <w:b/>
          <w:bCs/>
          <w:sz w:val="22"/>
          <w:szCs w:val="22"/>
          <w:vertAlign w:val="superscript"/>
        </w:rPr>
        <w:t>18</w:t>
      </w:r>
      <w:r w:rsidRPr="0023139E">
        <w:rPr>
          <w:b/>
          <w:bCs/>
          <w:sz w:val="22"/>
          <w:szCs w:val="22"/>
        </w:rPr>
        <w:t>O curve.</w:t>
      </w:r>
      <w:r w:rsidRPr="0023139E">
        <w:rPr>
          <w:noProof/>
          <w:sz w:val="22"/>
          <w:szCs w:val="22"/>
        </w:rPr>
        <w:t xml:space="preserve"> </w:t>
      </w:r>
      <w:r w:rsidRPr="0023139E">
        <w:rPr>
          <w:sz w:val="22"/>
          <w:szCs w:val="22"/>
        </w:rPr>
        <w:t>δ</w:t>
      </w:r>
      <w:r w:rsidRPr="0023139E">
        <w:rPr>
          <w:sz w:val="22"/>
          <w:szCs w:val="22"/>
          <w:vertAlign w:val="superscript"/>
        </w:rPr>
        <w:t>18</w:t>
      </w:r>
      <w:r w:rsidRPr="0023139E">
        <w:rPr>
          <w:sz w:val="22"/>
          <w:szCs w:val="22"/>
        </w:rPr>
        <w:t xml:space="preserve">O data for benthic foraminifera from this study and from Petrizzo et al. (2021), plotted against abundance of individuals, Fisher </w:t>
      </w:r>
      <w:r w:rsidRPr="0023139E">
        <w:rPr>
          <w:rFonts w:cstheme="minorHAnsi"/>
          <w:sz w:val="22"/>
          <w:szCs w:val="22"/>
        </w:rPr>
        <w:t>α</w:t>
      </w:r>
      <w:r w:rsidRPr="0023139E">
        <w:rPr>
          <w:sz w:val="22"/>
          <w:szCs w:val="22"/>
        </w:rPr>
        <w:t xml:space="preserve"> Diversity and bulk stable isotope data. Blue shaded area is O</w:t>
      </w:r>
      <w:r w:rsidR="005D0DBD">
        <w:rPr>
          <w:sz w:val="22"/>
          <w:szCs w:val="22"/>
        </w:rPr>
        <w:t xml:space="preserve">cean </w:t>
      </w:r>
      <w:r w:rsidRPr="0023139E">
        <w:rPr>
          <w:sz w:val="22"/>
          <w:szCs w:val="22"/>
        </w:rPr>
        <w:t>A</w:t>
      </w:r>
      <w:r w:rsidR="005D0DBD">
        <w:rPr>
          <w:sz w:val="22"/>
          <w:szCs w:val="22"/>
        </w:rPr>
        <w:t xml:space="preserve">noxic </w:t>
      </w:r>
      <w:r w:rsidRPr="0023139E">
        <w:rPr>
          <w:sz w:val="22"/>
          <w:szCs w:val="22"/>
        </w:rPr>
        <w:t>E</w:t>
      </w:r>
      <w:r w:rsidR="005D0DBD">
        <w:rPr>
          <w:sz w:val="22"/>
          <w:szCs w:val="22"/>
        </w:rPr>
        <w:t>vent</w:t>
      </w:r>
      <w:r w:rsidRPr="0023139E">
        <w:rPr>
          <w:sz w:val="22"/>
          <w:szCs w:val="22"/>
        </w:rPr>
        <w:t xml:space="preserve"> 2. Composite curves are plotted with (left) and without (right) </w:t>
      </w:r>
      <w:proofErr w:type="spellStart"/>
      <w:r w:rsidRPr="0023139E">
        <w:rPr>
          <w:i/>
          <w:iCs/>
          <w:sz w:val="22"/>
          <w:szCs w:val="22"/>
        </w:rPr>
        <w:t>Lenticulina</w:t>
      </w:r>
      <w:proofErr w:type="spellEnd"/>
      <w:r w:rsidRPr="0023139E">
        <w:rPr>
          <w:sz w:val="22"/>
          <w:szCs w:val="22"/>
        </w:rPr>
        <w:t>, which is a diverse group and may represent a variety of species which do not have a consistent offset from the seawater signal.</w:t>
      </w:r>
    </w:p>
    <w:p w14:paraId="06880E66" w14:textId="77777777" w:rsidR="00B50234" w:rsidRDefault="00B50234" w:rsidP="00B50234">
      <w:pPr>
        <w:spacing w:after="160" w:line="259" w:lineRule="auto"/>
        <w:rPr>
          <w:b/>
          <w:bCs/>
        </w:rPr>
      </w:pPr>
    </w:p>
    <w:p w14:paraId="2C9D0A24" w14:textId="77777777" w:rsidR="00B50234" w:rsidRDefault="00B50234" w:rsidP="00B50234">
      <w:pPr>
        <w:spacing w:after="160" w:line="259" w:lineRule="auto"/>
        <w:rPr>
          <w:b/>
          <w:bCs/>
          <w:noProof/>
        </w:rPr>
      </w:pPr>
      <w:r>
        <w:rPr>
          <w:b/>
          <w:bCs/>
          <w:noProof/>
        </w:rPr>
        <w:br w:type="page"/>
      </w:r>
    </w:p>
    <w:p w14:paraId="1F9ACB91" w14:textId="77777777" w:rsidR="00B50234" w:rsidRDefault="00B50234" w:rsidP="00B50234">
      <w:pPr>
        <w:rPr>
          <w:noProof/>
        </w:rPr>
      </w:pPr>
      <w:r w:rsidRPr="007F4BE2">
        <w:rPr>
          <w:b/>
          <w:bCs/>
          <w:noProof/>
        </w:rPr>
        <w:lastRenderedPageBreak/>
        <w:t>Suppl</w:t>
      </w:r>
      <w:r>
        <w:rPr>
          <w:b/>
          <w:bCs/>
          <w:noProof/>
        </w:rPr>
        <w:t>e</w:t>
      </w:r>
      <w:r w:rsidRPr="007F4BE2">
        <w:rPr>
          <w:b/>
          <w:bCs/>
          <w:noProof/>
        </w:rPr>
        <w:t xml:space="preserve">mentary Figure </w:t>
      </w:r>
      <w:r>
        <w:rPr>
          <w:b/>
          <w:bCs/>
          <w:noProof/>
        </w:rPr>
        <w:t xml:space="preserve">4 – Weak correlation between Hg and terrigenous input proxies </w:t>
      </w:r>
    </w:p>
    <w:p w14:paraId="10802DE7" w14:textId="48390EE7" w:rsidR="00B50234" w:rsidRDefault="00CA67F0" w:rsidP="00B50234">
      <w:pPr>
        <w:rPr>
          <w:b/>
          <w:bCs/>
          <w:noProof/>
        </w:rPr>
      </w:pPr>
      <w:r>
        <w:rPr>
          <w:b/>
          <w:bCs/>
          <w:noProof/>
        </w:rPr>
        <w:drawing>
          <wp:inline distT="0" distB="0" distL="0" distR="0" wp14:anchorId="4FFD88D0" wp14:editId="6E74DB64">
            <wp:extent cx="5731510" cy="6591300"/>
            <wp:effectExtent l="0" t="0" r="2540" b="0"/>
            <wp:docPr id="1098482333"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82333" name="Picture 2" descr="A screenshot of a graph&#10;&#10;Description automatically generated"/>
                    <pic:cNvPicPr/>
                  </pic:nvPicPr>
                  <pic:blipFill rotWithShape="1">
                    <a:blip r:embed="rId14" cstate="print">
                      <a:extLst>
                        <a:ext uri="{28A0092B-C50C-407E-A947-70E740481C1C}">
                          <a14:useLocalDpi xmlns:a14="http://schemas.microsoft.com/office/drawing/2010/main" val="0"/>
                        </a:ext>
                      </a:extLst>
                    </a:blip>
                    <a:srcRect b="17198"/>
                    <a:stretch/>
                  </pic:blipFill>
                  <pic:spPr bwMode="auto">
                    <a:xfrm>
                      <a:off x="0" y="0"/>
                      <a:ext cx="5731510" cy="6591300"/>
                    </a:xfrm>
                    <a:prstGeom prst="rect">
                      <a:avLst/>
                    </a:prstGeom>
                    <a:ln>
                      <a:noFill/>
                    </a:ln>
                    <a:extLst>
                      <a:ext uri="{53640926-AAD7-44D8-BBD7-CCE9431645EC}">
                        <a14:shadowObscured xmlns:a14="http://schemas.microsoft.com/office/drawing/2010/main"/>
                      </a:ext>
                    </a:extLst>
                  </pic:spPr>
                </pic:pic>
              </a:graphicData>
            </a:graphic>
          </wp:inline>
        </w:drawing>
      </w:r>
    </w:p>
    <w:p w14:paraId="206DC18C" w14:textId="01AA5E89" w:rsidR="00B50234" w:rsidRPr="00212010" w:rsidRDefault="00B50234" w:rsidP="00B50234"/>
    <w:p w14:paraId="2DA6EE67" w14:textId="77777777" w:rsidR="00B50234" w:rsidRPr="00212010" w:rsidRDefault="00B50234" w:rsidP="00B50234"/>
    <w:p w14:paraId="68A05EAB" w14:textId="77777777" w:rsidR="005601CD" w:rsidRDefault="00960D87" w:rsidP="00B50234">
      <w:pPr>
        <w:rPr>
          <w:b/>
          <w:bCs/>
          <w:noProof/>
        </w:rPr>
      </w:pPr>
      <w:r>
        <w:rPr>
          <w:noProof/>
        </w:rPr>
        <w:lastRenderedPageBreak/>
        <w:drawing>
          <wp:inline distT="0" distB="0" distL="0" distR="0" wp14:anchorId="7D23624D" wp14:editId="6C17F73D">
            <wp:extent cx="5731510" cy="6915150"/>
            <wp:effectExtent l="0" t="0" r="2540" b="0"/>
            <wp:docPr id="6" name="Picture 6" descr="A picture containing screenshot, line,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plementary Fig. 4 Asset 12U1516.png"/>
                    <pic:cNvPicPr/>
                  </pic:nvPicPr>
                  <pic:blipFill rotWithShape="1">
                    <a:blip r:embed="rId15" cstate="print">
                      <a:extLst>
                        <a:ext uri="{28A0092B-C50C-407E-A947-70E740481C1C}">
                          <a14:useLocalDpi xmlns:a14="http://schemas.microsoft.com/office/drawing/2010/main" val="0"/>
                        </a:ext>
                      </a:extLst>
                    </a:blip>
                    <a:srcRect b="8225"/>
                    <a:stretch/>
                  </pic:blipFill>
                  <pic:spPr bwMode="auto">
                    <a:xfrm>
                      <a:off x="0" y="0"/>
                      <a:ext cx="5731510" cy="6915150"/>
                    </a:xfrm>
                    <a:prstGeom prst="rect">
                      <a:avLst/>
                    </a:prstGeom>
                    <a:ln>
                      <a:noFill/>
                    </a:ln>
                    <a:extLst>
                      <a:ext uri="{53640926-AAD7-44D8-BBD7-CCE9431645EC}">
                        <a14:shadowObscured xmlns:a14="http://schemas.microsoft.com/office/drawing/2010/main"/>
                      </a:ext>
                    </a:extLst>
                  </pic:spPr>
                </pic:pic>
              </a:graphicData>
            </a:graphic>
          </wp:inline>
        </w:drawing>
      </w:r>
    </w:p>
    <w:p w14:paraId="5D1ADEE6" w14:textId="77777777" w:rsidR="005601CD" w:rsidRDefault="005601CD" w:rsidP="00B50234">
      <w:pPr>
        <w:rPr>
          <w:b/>
          <w:bCs/>
          <w:noProof/>
        </w:rPr>
      </w:pPr>
    </w:p>
    <w:p w14:paraId="16F086B7" w14:textId="1C219764" w:rsidR="008E2C7E" w:rsidRDefault="00B50234" w:rsidP="00B50234">
      <w:pPr>
        <w:rPr>
          <w:sz w:val="22"/>
          <w:szCs w:val="22"/>
        </w:rPr>
      </w:pPr>
      <w:r>
        <w:rPr>
          <w:b/>
          <w:bCs/>
          <w:noProof/>
        </w:rPr>
        <w:t xml:space="preserve">Weak correlation between </w:t>
      </w:r>
      <w:r w:rsidR="00B708F0">
        <w:rPr>
          <w:b/>
          <w:bCs/>
          <w:noProof/>
        </w:rPr>
        <w:t>mercury</w:t>
      </w:r>
      <w:r>
        <w:rPr>
          <w:b/>
          <w:bCs/>
          <w:noProof/>
        </w:rPr>
        <w:t xml:space="preserve"> and terrigenous input proxies</w:t>
      </w:r>
      <w:r w:rsidRPr="00C92C2F">
        <w:rPr>
          <w:b/>
          <w:bCs/>
          <w:noProof/>
          <w:sz w:val="22"/>
          <w:szCs w:val="22"/>
        </w:rPr>
        <w:t xml:space="preserve">. </w:t>
      </w:r>
      <w:r w:rsidRPr="00C92C2F">
        <w:rPr>
          <w:noProof/>
          <w:sz w:val="22"/>
          <w:szCs w:val="22"/>
        </w:rPr>
        <w:t>Cross plots of Hg and Hg/T</w:t>
      </w:r>
      <w:r w:rsidR="00B708F0">
        <w:rPr>
          <w:noProof/>
          <w:sz w:val="22"/>
          <w:szCs w:val="22"/>
        </w:rPr>
        <w:t xml:space="preserve">otal </w:t>
      </w:r>
      <w:r w:rsidRPr="00C92C2F">
        <w:rPr>
          <w:noProof/>
          <w:sz w:val="22"/>
          <w:szCs w:val="22"/>
        </w:rPr>
        <w:t>O</w:t>
      </w:r>
      <w:r w:rsidR="00B708F0">
        <w:rPr>
          <w:noProof/>
          <w:sz w:val="22"/>
          <w:szCs w:val="22"/>
        </w:rPr>
        <w:t xml:space="preserve">rganic </w:t>
      </w:r>
      <w:r w:rsidRPr="00C92C2F">
        <w:rPr>
          <w:noProof/>
          <w:sz w:val="22"/>
          <w:szCs w:val="22"/>
        </w:rPr>
        <w:t>C</w:t>
      </w:r>
      <w:r w:rsidR="00B708F0">
        <w:rPr>
          <w:noProof/>
          <w:sz w:val="22"/>
          <w:szCs w:val="22"/>
        </w:rPr>
        <w:t>arbon (TOC)</w:t>
      </w:r>
      <w:r w:rsidRPr="00C92C2F">
        <w:rPr>
          <w:noProof/>
          <w:sz w:val="22"/>
          <w:szCs w:val="22"/>
        </w:rPr>
        <w:t xml:space="preserve"> against proxies for weathering – K/Al and </w:t>
      </w:r>
      <w:r w:rsidRPr="00C92C2F">
        <w:rPr>
          <w:noProof/>
          <w:sz w:val="22"/>
          <w:szCs w:val="22"/>
          <w:vertAlign w:val="superscript"/>
        </w:rPr>
        <w:t>143</w:t>
      </w:r>
      <w:r w:rsidRPr="00C92C2F">
        <w:rPr>
          <w:noProof/>
          <w:sz w:val="22"/>
          <w:szCs w:val="22"/>
        </w:rPr>
        <w:t>Nd/</w:t>
      </w:r>
      <w:r w:rsidRPr="00C92C2F">
        <w:rPr>
          <w:noProof/>
          <w:sz w:val="22"/>
          <w:szCs w:val="22"/>
          <w:vertAlign w:val="superscript"/>
        </w:rPr>
        <w:t>144</w:t>
      </w:r>
      <w:r w:rsidRPr="00C92C2F">
        <w:rPr>
          <w:noProof/>
          <w:sz w:val="22"/>
          <w:szCs w:val="22"/>
        </w:rPr>
        <w:t>Nd</w:t>
      </w:r>
      <w:r>
        <w:rPr>
          <w:noProof/>
          <w:sz w:val="22"/>
          <w:szCs w:val="22"/>
        </w:rPr>
        <w:t xml:space="preserve"> at sites U1513 (a – h) and U1516 (i – p). </w:t>
      </w:r>
      <w:r w:rsidRPr="00C92C2F">
        <w:rPr>
          <w:noProof/>
          <w:sz w:val="22"/>
          <w:szCs w:val="22"/>
        </w:rPr>
        <w:t xml:space="preserve">These show a lack of correlation between Hg and proxies for terrigenous input, indicating our Hg values are not primarily influenced by transported terrignous material, common in marginal settings. </w:t>
      </w:r>
      <w:r w:rsidRPr="00C92C2F">
        <w:rPr>
          <w:sz w:val="22"/>
          <w:szCs w:val="22"/>
        </w:rPr>
        <w:t>Linear trend strength is displayed in the R</w:t>
      </w:r>
      <w:r w:rsidRPr="00C92C2F">
        <w:rPr>
          <w:sz w:val="22"/>
          <w:szCs w:val="22"/>
          <w:vertAlign w:val="superscript"/>
        </w:rPr>
        <w:t>2</w:t>
      </w:r>
      <w:r w:rsidRPr="00C92C2F">
        <w:rPr>
          <w:sz w:val="22"/>
          <w:szCs w:val="22"/>
        </w:rPr>
        <w:t xml:space="preserve"> value on each graph. XRF data were collected separately to Hg data, and not all Hg samples have a directly corresponding sample with XRF values available. As such, two sets of graphs are figured; the first ‘</w:t>
      </w:r>
      <w:r>
        <w:rPr>
          <w:sz w:val="22"/>
          <w:szCs w:val="22"/>
        </w:rPr>
        <w:t>e</w:t>
      </w:r>
      <w:r w:rsidRPr="00C92C2F">
        <w:rPr>
          <w:sz w:val="22"/>
          <w:szCs w:val="22"/>
        </w:rPr>
        <w:t>xact sample depth match’ shows only data for which XRF data and Hg data are available f</w:t>
      </w:r>
      <w:r>
        <w:rPr>
          <w:sz w:val="22"/>
          <w:szCs w:val="22"/>
        </w:rPr>
        <w:t>ro</w:t>
      </w:r>
      <w:r w:rsidRPr="00C92C2F">
        <w:rPr>
          <w:sz w:val="22"/>
          <w:szCs w:val="22"/>
        </w:rPr>
        <w:t>m within the same sample. The second, ‘</w:t>
      </w:r>
      <w:r>
        <w:rPr>
          <w:sz w:val="22"/>
          <w:szCs w:val="22"/>
        </w:rPr>
        <w:t>a</w:t>
      </w:r>
      <w:r w:rsidRPr="00C92C2F">
        <w:rPr>
          <w:sz w:val="22"/>
          <w:szCs w:val="22"/>
        </w:rPr>
        <w:t>pproximate sample depth match’ shows all Hg data points, matched to the next nearest XRF sample (usually &lt;1cm away in the sediment core</w:t>
      </w:r>
      <w:r w:rsidRPr="00B14574">
        <w:rPr>
          <w:sz w:val="22"/>
          <w:szCs w:val="22"/>
        </w:rPr>
        <w:t xml:space="preserve">).  </w:t>
      </w:r>
    </w:p>
    <w:p w14:paraId="7C656A56" w14:textId="77777777" w:rsidR="008E2C7E" w:rsidRDefault="00B50234" w:rsidP="00B50234">
      <w:pPr>
        <w:rPr>
          <w:noProof/>
          <w:sz w:val="22"/>
          <w:szCs w:val="22"/>
        </w:rPr>
      </w:pPr>
      <w:r w:rsidRPr="007B14D4">
        <w:rPr>
          <w:b/>
          <w:bCs/>
          <w:noProof/>
          <w:sz w:val="22"/>
          <w:szCs w:val="22"/>
        </w:rPr>
        <w:lastRenderedPageBreak/>
        <w:t>U1513 (a – h)</w:t>
      </w:r>
      <w:r>
        <w:rPr>
          <w:noProof/>
          <w:sz w:val="22"/>
          <w:szCs w:val="22"/>
        </w:rPr>
        <w:t xml:space="preserve">: </w:t>
      </w:r>
      <w:r w:rsidRPr="00B14574">
        <w:rPr>
          <w:noProof/>
          <w:sz w:val="22"/>
          <w:szCs w:val="22"/>
        </w:rPr>
        <w:t xml:space="preserve">a) </w:t>
      </w:r>
      <w:r w:rsidRPr="00B14574">
        <w:rPr>
          <w:noProof/>
          <w:sz w:val="22"/>
          <w:szCs w:val="22"/>
          <w:vertAlign w:val="superscript"/>
        </w:rPr>
        <w:t>143</w:t>
      </w:r>
      <w:r w:rsidRPr="00B14574">
        <w:rPr>
          <w:noProof/>
          <w:sz w:val="22"/>
          <w:szCs w:val="22"/>
        </w:rPr>
        <w:t>Nd/</w:t>
      </w:r>
      <w:r w:rsidRPr="00B14574">
        <w:rPr>
          <w:noProof/>
          <w:sz w:val="22"/>
          <w:szCs w:val="22"/>
          <w:vertAlign w:val="superscript"/>
        </w:rPr>
        <w:t>144</w:t>
      </w:r>
      <w:r w:rsidRPr="00B14574">
        <w:rPr>
          <w:noProof/>
          <w:sz w:val="22"/>
          <w:szCs w:val="22"/>
        </w:rPr>
        <w:t>Nd plotted against Hg/TOC - exact sample depth match. R</w:t>
      </w:r>
      <w:r w:rsidRPr="00B14574">
        <w:rPr>
          <w:noProof/>
          <w:sz w:val="22"/>
          <w:szCs w:val="22"/>
          <w:vertAlign w:val="superscript"/>
        </w:rPr>
        <w:t>2</w:t>
      </w:r>
      <w:r w:rsidRPr="00B14574">
        <w:rPr>
          <w:noProof/>
          <w:sz w:val="22"/>
          <w:szCs w:val="22"/>
        </w:rPr>
        <w:t xml:space="preserve"> = 0.0147</w:t>
      </w:r>
      <w:r>
        <w:rPr>
          <w:noProof/>
          <w:sz w:val="22"/>
          <w:szCs w:val="22"/>
        </w:rPr>
        <w:t>;</w:t>
      </w:r>
      <w:r w:rsidRPr="00B14574">
        <w:rPr>
          <w:noProof/>
          <w:sz w:val="22"/>
          <w:szCs w:val="22"/>
        </w:rPr>
        <w:t xml:space="preserve"> b) </w:t>
      </w:r>
      <w:r w:rsidRPr="00B14574">
        <w:rPr>
          <w:noProof/>
          <w:sz w:val="22"/>
          <w:szCs w:val="22"/>
          <w:vertAlign w:val="superscript"/>
        </w:rPr>
        <w:t>143</w:t>
      </w:r>
      <w:r w:rsidRPr="00B14574">
        <w:rPr>
          <w:noProof/>
          <w:sz w:val="22"/>
          <w:szCs w:val="22"/>
        </w:rPr>
        <w:t>Nd/</w:t>
      </w:r>
      <w:r w:rsidRPr="00B14574">
        <w:rPr>
          <w:noProof/>
          <w:sz w:val="22"/>
          <w:szCs w:val="22"/>
          <w:vertAlign w:val="superscript"/>
        </w:rPr>
        <w:t>144</w:t>
      </w:r>
      <w:r w:rsidRPr="00B14574">
        <w:rPr>
          <w:noProof/>
          <w:sz w:val="22"/>
          <w:szCs w:val="22"/>
        </w:rPr>
        <w:t>Nd plotted against Hg - exact sample depth match. R</w:t>
      </w:r>
      <w:r w:rsidRPr="00B14574">
        <w:rPr>
          <w:noProof/>
          <w:sz w:val="22"/>
          <w:szCs w:val="22"/>
          <w:vertAlign w:val="superscript"/>
        </w:rPr>
        <w:t>2</w:t>
      </w:r>
      <w:r w:rsidRPr="00B14574">
        <w:rPr>
          <w:noProof/>
          <w:sz w:val="22"/>
          <w:szCs w:val="22"/>
        </w:rPr>
        <w:t xml:space="preserve"> = 0.1429</w:t>
      </w:r>
      <w:r>
        <w:rPr>
          <w:noProof/>
          <w:sz w:val="22"/>
          <w:szCs w:val="22"/>
        </w:rPr>
        <w:t>;</w:t>
      </w:r>
      <w:r w:rsidRPr="00B14574">
        <w:rPr>
          <w:noProof/>
          <w:sz w:val="22"/>
          <w:szCs w:val="22"/>
        </w:rPr>
        <w:t xml:space="preserve"> c) </w:t>
      </w:r>
      <w:r w:rsidRPr="00B14574">
        <w:rPr>
          <w:noProof/>
          <w:sz w:val="22"/>
          <w:szCs w:val="22"/>
          <w:vertAlign w:val="superscript"/>
        </w:rPr>
        <w:t>143</w:t>
      </w:r>
      <w:r w:rsidRPr="00B14574">
        <w:rPr>
          <w:noProof/>
          <w:sz w:val="22"/>
          <w:szCs w:val="22"/>
        </w:rPr>
        <w:t>Nd/</w:t>
      </w:r>
      <w:r w:rsidRPr="00B14574">
        <w:rPr>
          <w:noProof/>
          <w:sz w:val="22"/>
          <w:szCs w:val="22"/>
          <w:vertAlign w:val="superscript"/>
        </w:rPr>
        <w:t>144</w:t>
      </w:r>
      <w:r w:rsidRPr="00B14574">
        <w:rPr>
          <w:noProof/>
          <w:sz w:val="22"/>
          <w:szCs w:val="22"/>
        </w:rPr>
        <w:t>Nd plotted against Hg/TOC - approximate sample depth match. R</w:t>
      </w:r>
      <w:r w:rsidRPr="00B14574">
        <w:rPr>
          <w:noProof/>
          <w:sz w:val="22"/>
          <w:szCs w:val="22"/>
          <w:vertAlign w:val="superscript"/>
        </w:rPr>
        <w:t>2</w:t>
      </w:r>
      <w:r w:rsidRPr="00B14574">
        <w:rPr>
          <w:noProof/>
          <w:sz w:val="22"/>
          <w:szCs w:val="22"/>
        </w:rPr>
        <w:t xml:space="preserve"> = 0.0921</w:t>
      </w:r>
      <w:r>
        <w:rPr>
          <w:noProof/>
          <w:sz w:val="22"/>
          <w:szCs w:val="22"/>
        </w:rPr>
        <w:t>;</w:t>
      </w:r>
      <w:r w:rsidRPr="00B14574">
        <w:rPr>
          <w:noProof/>
          <w:sz w:val="22"/>
          <w:szCs w:val="22"/>
        </w:rPr>
        <w:t xml:space="preserve"> d)  </w:t>
      </w:r>
      <w:r w:rsidRPr="00B14574">
        <w:rPr>
          <w:noProof/>
          <w:sz w:val="22"/>
          <w:szCs w:val="22"/>
          <w:vertAlign w:val="superscript"/>
        </w:rPr>
        <w:t>143</w:t>
      </w:r>
      <w:r w:rsidRPr="00B14574">
        <w:rPr>
          <w:noProof/>
          <w:sz w:val="22"/>
          <w:szCs w:val="22"/>
        </w:rPr>
        <w:t>Nd/</w:t>
      </w:r>
      <w:r w:rsidRPr="00B14574">
        <w:rPr>
          <w:noProof/>
          <w:sz w:val="22"/>
          <w:szCs w:val="22"/>
          <w:vertAlign w:val="superscript"/>
        </w:rPr>
        <w:t>144</w:t>
      </w:r>
      <w:r w:rsidRPr="00B14574">
        <w:rPr>
          <w:noProof/>
          <w:sz w:val="22"/>
          <w:szCs w:val="22"/>
        </w:rPr>
        <w:t>Nd plotted against Hg - approximate sample depth match. R</w:t>
      </w:r>
      <w:r w:rsidRPr="00B14574">
        <w:rPr>
          <w:noProof/>
          <w:sz w:val="22"/>
          <w:szCs w:val="22"/>
          <w:vertAlign w:val="superscript"/>
        </w:rPr>
        <w:t>2</w:t>
      </w:r>
      <w:r w:rsidRPr="00B14574">
        <w:rPr>
          <w:noProof/>
          <w:sz w:val="22"/>
          <w:szCs w:val="22"/>
        </w:rPr>
        <w:t xml:space="preserve"> = 0.3318</w:t>
      </w:r>
      <w:r>
        <w:rPr>
          <w:noProof/>
          <w:sz w:val="22"/>
          <w:szCs w:val="22"/>
        </w:rPr>
        <w:t>;</w:t>
      </w:r>
      <w:r w:rsidRPr="00B14574">
        <w:rPr>
          <w:noProof/>
          <w:sz w:val="22"/>
          <w:szCs w:val="22"/>
        </w:rPr>
        <w:t xml:space="preserve"> e) K/Al plotted against H/TOC – exact sample depth match.  R</w:t>
      </w:r>
      <w:r w:rsidRPr="00B14574">
        <w:rPr>
          <w:noProof/>
          <w:sz w:val="22"/>
          <w:szCs w:val="22"/>
          <w:vertAlign w:val="superscript"/>
        </w:rPr>
        <w:t>2</w:t>
      </w:r>
      <w:r w:rsidRPr="00B14574">
        <w:rPr>
          <w:noProof/>
          <w:sz w:val="22"/>
          <w:szCs w:val="22"/>
        </w:rPr>
        <w:t xml:space="preserve"> = 0.0417</w:t>
      </w:r>
      <w:r>
        <w:rPr>
          <w:noProof/>
          <w:sz w:val="22"/>
          <w:szCs w:val="22"/>
        </w:rPr>
        <w:t>;</w:t>
      </w:r>
      <w:r w:rsidRPr="00B14574">
        <w:rPr>
          <w:noProof/>
          <w:sz w:val="22"/>
          <w:szCs w:val="22"/>
        </w:rPr>
        <w:t xml:space="preserve"> f) K/Al plotted against Hg – exact sample depth match. R</w:t>
      </w:r>
      <w:r w:rsidRPr="00B14574">
        <w:rPr>
          <w:noProof/>
          <w:sz w:val="22"/>
          <w:szCs w:val="22"/>
          <w:vertAlign w:val="superscript"/>
        </w:rPr>
        <w:t>2</w:t>
      </w:r>
      <w:r w:rsidRPr="00B14574">
        <w:rPr>
          <w:noProof/>
          <w:sz w:val="22"/>
          <w:szCs w:val="22"/>
        </w:rPr>
        <w:t xml:space="preserve"> = 0.0082</w:t>
      </w:r>
      <w:r>
        <w:rPr>
          <w:noProof/>
          <w:sz w:val="22"/>
          <w:szCs w:val="22"/>
        </w:rPr>
        <w:t>;</w:t>
      </w:r>
      <w:r w:rsidRPr="00B14574">
        <w:rPr>
          <w:noProof/>
          <w:sz w:val="22"/>
          <w:szCs w:val="22"/>
        </w:rPr>
        <w:t xml:space="preserve"> g) K/Al plotted against Hg/TOC – apprximate sample depth match. R</w:t>
      </w:r>
      <w:r w:rsidRPr="00B14574">
        <w:rPr>
          <w:noProof/>
          <w:sz w:val="22"/>
          <w:szCs w:val="22"/>
          <w:vertAlign w:val="superscript"/>
        </w:rPr>
        <w:t>2</w:t>
      </w:r>
      <w:r w:rsidRPr="00B14574">
        <w:rPr>
          <w:noProof/>
          <w:sz w:val="22"/>
          <w:szCs w:val="22"/>
        </w:rPr>
        <w:t xml:space="preserve"> = 0.0274</w:t>
      </w:r>
      <w:r>
        <w:rPr>
          <w:noProof/>
          <w:sz w:val="22"/>
          <w:szCs w:val="22"/>
        </w:rPr>
        <w:t>;</w:t>
      </w:r>
      <w:r w:rsidRPr="00B14574">
        <w:rPr>
          <w:noProof/>
          <w:sz w:val="22"/>
          <w:szCs w:val="22"/>
        </w:rPr>
        <w:t xml:space="preserve"> h) K/Al plotted against Hg– apprximate sample depth match. R</w:t>
      </w:r>
      <w:r w:rsidRPr="00B14574">
        <w:rPr>
          <w:noProof/>
          <w:sz w:val="22"/>
          <w:szCs w:val="22"/>
          <w:vertAlign w:val="superscript"/>
        </w:rPr>
        <w:t>2</w:t>
      </w:r>
      <w:r w:rsidRPr="00B14574">
        <w:rPr>
          <w:noProof/>
          <w:sz w:val="22"/>
          <w:szCs w:val="22"/>
        </w:rPr>
        <w:t xml:space="preserve"> = 0.1011.</w:t>
      </w:r>
      <w:r>
        <w:rPr>
          <w:noProof/>
          <w:sz w:val="22"/>
          <w:szCs w:val="22"/>
        </w:rPr>
        <w:t xml:space="preserve"> </w:t>
      </w:r>
    </w:p>
    <w:p w14:paraId="7814B763" w14:textId="246CC8F0" w:rsidR="00B50234" w:rsidRPr="00425E24" w:rsidRDefault="00B50234" w:rsidP="00B50234">
      <w:pPr>
        <w:rPr>
          <w:noProof/>
          <w:sz w:val="22"/>
          <w:szCs w:val="22"/>
        </w:rPr>
      </w:pPr>
      <w:r w:rsidRPr="001857EA">
        <w:rPr>
          <w:b/>
          <w:bCs/>
          <w:noProof/>
          <w:sz w:val="22"/>
          <w:szCs w:val="22"/>
        </w:rPr>
        <w:t>U1516 (i – p)</w:t>
      </w:r>
      <w:r>
        <w:rPr>
          <w:noProof/>
          <w:sz w:val="22"/>
          <w:szCs w:val="22"/>
        </w:rPr>
        <w:t>: i</w:t>
      </w:r>
      <w:r w:rsidRPr="00425E24">
        <w:rPr>
          <w:noProof/>
          <w:sz w:val="22"/>
          <w:szCs w:val="22"/>
        </w:rPr>
        <w:t xml:space="preserve">) </w:t>
      </w:r>
      <w:r w:rsidRPr="00425E24">
        <w:rPr>
          <w:noProof/>
          <w:sz w:val="22"/>
          <w:szCs w:val="22"/>
          <w:vertAlign w:val="superscript"/>
        </w:rPr>
        <w:t>143</w:t>
      </w:r>
      <w:r w:rsidRPr="00425E24">
        <w:rPr>
          <w:noProof/>
          <w:sz w:val="22"/>
          <w:szCs w:val="22"/>
        </w:rPr>
        <w:t>Nd/</w:t>
      </w:r>
      <w:r w:rsidRPr="00425E24">
        <w:rPr>
          <w:noProof/>
          <w:sz w:val="22"/>
          <w:szCs w:val="22"/>
          <w:vertAlign w:val="superscript"/>
        </w:rPr>
        <w:t>144</w:t>
      </w:r>
      <w:r w:rsidRPr="00425E24">
        <w:rPr>
          <w:noProof/>
          <w:sz w:val="22"/>
          <w:szCs w:val="22"/>
        </w:rPr>
        <w:t>Nd plotted against Hg/TOC - approximate sample depth match. R</w:t>
      </w:r>
      <w:r w:rsidRPr="00425E24">
        <w:rPr>
          <w:noProof/>
          <w:sz w:val="22"/>
          <w:szCs w:val="22"/>
          <w:vertAlign w:val="superscript"/>
        </w:rPr>
        <w:t>2</w:t>
      </w:r>
      <w:r w:rsidRPr="00425E24">
        <w:rPr>
          <w:noProof/>
          <w:sz w:val="22"/>
          <w:szCs w:val="22"/>
        </w:rPr>
        <w:t xml:space="preserve"> = 0.0474</w:t>
      </w:r>
      <w:r>
        <w:rPr>
          <w:noProof/>
          <w:sz w:val="22"/>
          <w:szCs w:val="22"/>
        </w:rPr>
        <w:t>;</w:t>
      </w:r>
      <w:r w:rsidRPr="00425E24">
        <w:rPr>
          <w:noProof/>
          <w:sz w:val="22"/>
          <w:szCs w:val="22"/>
        </w:rPr>
        <w:t xml:space="preserve"> j) </w:t>
      </w:r>
      <w:r w:rsidRPr="00425E24">
        <w:rPr>
          <w:noProof/>
          <w:sz w:val="22"/>
          <w:szCs w:val="22"/>
          <w:vertAlign w:val="superscript"/>
        </w:rPr>
        <w:t>143</w:t>
      </w:r>
      <w:r w:rsidRPr="00425E24">
        <w:rPr>
          <w:noProof/>
          <w:sz w:val="22"/>
          <w:szCs w:val="22"/>
        </w:rPr>
        <w:t>Nd/</w:t>
      </w:r>
      <w:r w:rsidRPr="00425E24">
        <w:rPr>
          <w:noProof/>
          <w:sz w:val="22"/>
          <w:szCs w:val="22"/>
          <w:vertAlign w:val="superscript"/>
        </w:rPr>
        <w:t>144</w:t>
      </w:r>
      <w:r w:rsidRPr="00425E24">
        <w:rPr>
          <w:noProof/>
          <w:sz w:val="22"/>
          <w:szCs w:val="22"/>
        </w:rPr>
        <w:t>Nd plotted against Hg - approximate sample depth match. R</w:t>
      </w:r>
      <w:r w:rsidRPr="00425E24">
        <w:rPr>
          <w:noProof/>
          <w:sz w:val="22"/>
          <w:szCs w:val="22"/>
          <w:vertAlign w:val="superscript"/>
        </w:rPr>
        <w:t>2</w:t>
      </w:r>
      <w:r w:rsidRPr="00425E24">
        <w:rPr>
          <w:noProof/>
          <w:sz w:val="22"/>
          <w:szCs w:val="22"/>
        </w:rPr>
        <w:t xml:space="preserve"> = 0.0001</w:t>
      </w:r>
      <w:r>
        <w:rPr>
          <w:noProof/>
          <w:sz w:val="22"/>
          <w:szCs w:val="22"/>
        </w:rPr>
        <w:t>;</w:t>
      </w:r>
      <w:r w:rsidRPr="00425E24">
        <w:rPr>
          <w:noProof/>
          <w:sz w:val="22"/>
          <w:szCs w:val="22"/>
        </w:rPr>
        <w:t xml:space="preserve"> k) </w:t>
      </w:r>
      <w:r w:rsidRPr="00425E24">
        <w:rPr>
          <w:noProof/>
          <w:sz w:val="22"/>
          <w:szCs w:val="22"/>
          <w:vertAlign w:val="superscript"/>
        </w:rPr>
        <w:t>143</w:t>
      </w:r>
      <w:r w:rsidRPr="00425E24">
        <w:rPr>
          <w:noProof/>
          <w:sz w:val="22"/>
          <w:szCs w:val="22"/>
        </w:rPr>
        <w:t>Nd/</w:t>
      </w:r>
      <w:r w:rsidRPr="00425E24">
        <w:rPr>
          <w:noProof/>
          <w:sz w:val="22"/>
          <w:szCs w:val="22"/>
          <w:vertAlign w:val="superscript"/>
        </w:rPr>
        <w:t>144</w:t>
      </w:r>
      <w:r w:rsidRPr="00425E24">
        <w:rPr>
          <w:noProof/>
          <w:sz w:val="22"/>
          <w:szCs w:val="22"/>
        </w:rPr>
        <w:t>Nd plotted against Hg/TOC - approximate sample depth match, Hg &lt; 600 ng/g. R</w:t>
      </w:r>
      <w:r w:rsidRPr="00425E24">
        <w:rPr>
          <w:noProof/>
          <w:sz w:val="22"/>
          <w:szCs w:val="22"/>
          <w:vertAlign w:val="superscript"/>
        </w:rPr>
        <w:t>2</w:t>
      </w:r>
      <w:r w:rsidRPr="00425E24">
        <w:rPr>
          <w:noProof/>
          <w:sz w:val="22"/>
          <w:szCs w:val="22"/>
        </w:rPr>
        <w:t xml:space="preserve"> = 0.1212</w:t>
      </w:r>
      <w:r>
        <w:rPr>
          <w:noProof/>
          <w:sz w:val="22"/>
          <w:szCs w:val="22"/>
        </w:rPr>
        <w:t>;</w:t>
      </w:r>
      <w:r w:rsidRPr="00425E24">
        <w:rPr>
          <w:noProof/>
          <w:sz w:val="22"/>
          <w:szCs w:val="22"/>
        </w:rPr>
        <w:t xml:space="preserve"> l)  K/Al plotted against Hg - approximate sample depth match. R</w:t>
      </w:r>
      <w:r w:rsidRPr="00425E24">
        <w:rPr>
          <w:noProof/>
          <w:sz w:val="22"/>
          <w:szCs w:val="22"/>
          <w:vertAlign w:val="superscript"/>
        </w:rPr>
        <w:t>2</w:t>
      </w:r>
      <w:r w:rsidRPr="00425E24">
        <w:rPr>
          <w:noProof/>
          <w:sz w:val="22"/>
          <w:szCs w:val="22"/>
        </w:rPr>
        <w:t xml:space="preserve"> = 0.015</w:t>
      </w:r>
      <w:r>
        <w:rPr>
          <w:noProof/>
          <w:sz w:val="22"/>
          <w:szCs w:val="22"/>
        </w:rPr>
        <w:t>;</w:t>
      </w:r>
      <w:r w:rsidRPr="00425E24">
        <w:rPr>
          <w:noProof/>
          <w:sz w:val="22"/>
          <w:szCs w:val="22"/>
        </w:rPr>
        <w:t xml:space="preserve"> m) K/Al plotted against H/TOC – approximate sample depth match. R</w:t>
      </w:r>
      <w:r w:rsidRPr="00425E24">
        <w:rPr>
          <w:noProof/>
          <w:sz w:val="22"/>
          <w:szCs w:val="22"/>
          <w:vertAlign w:val="superscript"/>
        </w:rPr>
        <w:t>2</w:t>
      </w:r>
      <w:r w:rsidRPr="00425E24">
        <w:rPr>
          <w:noProof/>
          <w:sz w:val="22"/>
          <w:szCs w:val="22"/>
        </w:rPr>
        <w:t xml:space="preserve"> = 0.1118</w:t>
      </w:r>
      <w:r>
        <w:rPr>
          <w:noProof/>
          <w:sz w:val="22"/>
          <w:szCs w:val="22"/>
        </w:rPr>
        <w:t>;</w:t>
      </w:r>
      <w:r w:rsidRPr="00425E24">
        <w:rPr>
          <w:noProof/>
          <w:sz w:val="22"/>
          <w:szCs w:val="22"/>
        </w:rPr>
        <w:t xml:space="preserve"> n) K/Al plotted against Hg – approximate sample depth match, Hg &lt; 600 ng/g. R</w:t>
      </w:r>
      <w:r w:rsidRPr="00425E24">
        <w:rPr>
          <w:noProof/>
          <w:sz w:val="22"/>
          <w:szCs w:val="22"/>
          <w:vertAlign w:val="superscript"/>
        </w:rPr>
        <w:t>2</w:t>
      </w:r>
      <w:r w:rsidRPr="00425E24">
        <w:rPr>
          <w:noProof/>
          <w:sz w:val="22"/>
          <w:szCs w:val="22"/>
        </w:rPr>
        <w:t xml:space="preserve"> = 0.0045</w:t>
      </w:r>
      <w:r>
        <w:rPr>
          <w:noProof/>
          <w:sz w:val="22"/>
          <w:szCs w:val="22"/>
        </w:rPr>
        <w:t>;</w:t>
      </w:r>
      <w:r w:rsidRPr="00425E24">
        <w:rPr>
          <w:noProof/>
          <w:sz w:val="22"/>
          <w:szCs w:val="22"/>
        </w:rPr>
        <w:t xml:space="preserve"> o) K/Al plotted against Hg/TOC – exact sample depth match. R</w:t>
      </w:r>
      <w:r w:rsidRPr="00425E24">
        <w:rPr>
          <w:noProof/>
          <w:sz w:val="22"/>
          <w:szCs w:val="22"/>
          <w:vertAlign w:val="superscript"/>
        </w:rPr>
        <w:t>2</w:t>
      </w:r>
      <w:r w:rsidRPr="00425E24">
        <w:rPr>
          <w:noProof/>
          <w:sz w:val="22"/>
          <w:szCs w:val="22"/>
        </w:rPr>
        <w:t xml:space="preserve"> = 0.1567</w:t>
      </w:r>
      <w:r>
        <w:rPr>
          <w:noProof/>
          <w:sz w:val="22"/>
          <w:szCs w:val="22"/>
        </w:rPr>
        <w:t>;</w:t>
      </w:r>
      <w:r w:rsidRPr="00425E24">
        <w:rPr>
          <w:noProof/>
          <w:sz w:val="22"/>
          <w:szCs w:val="22"/>
        </w:rPr>
        <w:t xml:space="preserve"> p) K/Al plotted against Hg– exact sample depth match. R</w:t>
      </w:r>
      <w:r w:rsidRPr="00425E24">
        <w:rPr>
          <w:noProof/>
          <w:sz w:val="22"/>
          <w:szCs w:val="22"/>
          <w:vertAlign w:val="superscript"/>
        </w:rPr>
        <w:t>2</w:t>
      </w:r>
      <w:r w:rsidRPr="00425E24">
        <w:rPr>
          <w:noProof/>
          <w:sz w:val="22"/>
          <w:szCs w:val="22"/>
        </w:rPr>
        <w:t xml:space="preserve"> = 0.1567.</w:t>
      </w:r>
    </w:p>
    <w:p w14:paraId="4DCC463A" w14:textId="77777777" w:rsidR="00B50234" w:rsidRDefault="00B50234" w:rsidP="00B50234">
      <w:pPr>
        <w:spacing w:after="160" w:line="259" w:lineRule="auto"/>
        <w:rPr>
          <w:b/>
          <w:bCs/>
        </w:rPr>
      </w:pPr>
    </w:p>
    <w:p w14:paraId="30AF0340" w14:textId="77777777" w:rsidR="00B50234" w:rsidRDefault="00B50234" w:rsidP="00B50234">
      <w:pPr>
        <w:spacing w:after="160" w:line="259" w:lineRule="auto"/>
        <w:rPr>
          <w:b/>
          <w:bCs/>
          <w:noProof/>
        </w:rPr>
      </w:pPr>
      <w:r>
        <w:rPr>
          <w:b/>
          <w:bCs/>
          <w:noProof/>
        </w:rPr>
        <w:br w:type="page"/>
      </w:r>
    </w:p>
    <w:p w14:paraId="451C8278" w14:textId="77777777" w:rsidR="00B50234" w:rsidRDefault="00B50234" w:rsidP="00B50234">
      <w:pPr>
        <w:jc w:val="center"/>
        <w:rPr>
          <w:b/>
          <w:bCs/>
          <w:noProof/>
        </w:rPr>
      </w:pPr>
    </w:p>
    <w:p w14:paraId="71C615B9" w14:textId="77777777" w:rsidR="00B50234" w:rsidRPr="007F4BE2" w:rsidRDefault="00B50234" w:rsidP="00B50234">
      <w:pPr>
        <w:rPr>
          <w:b/>
          <w:bCs/>
          <w:noProof/>
        </w:rPr>
      </w:pPr>
      <w:r w:rsidRPr="007F4BE2">
        <w:rPr>
          <w:b/>
          <w:bCs/>
          <w:noProof/>
        </w:rPr>
        <w:t>Suppl</w:t>
      </w:r>
      <w:r>
        <w:rPr>
          <w:b/>
          <w:bCs/>
          <w:noProof/>
        </w:rPr>
        <w:t>e</w:t>
      </w:r>
      <w:r w:rsidRPr="007F4BE2">
        <w:rPr>
          <w:b/>
          <w:bCs/>
          <w:noProof/>
        </w:rPr>
        <w:t xml:space="preserve">mentary Figure </w:t>
      </w:r>
      <w:r>
        <w:rPr>
          <w:b/>
          <w:bCs/>
          <w:noProof/>
        </w:rPr>
        <w:t>5 – Absence of isorenieratine</w:t>
      </w:r>
      <w:r w:rsidRPr="00321D76">
        <w:rPr>
          <w:noProof/>
          <w:sz w:val="22"/>
          <w:szCs w:val="22"/>
        </w:rPr>
        <w:drawing>
          <wp:inline distT="0" distB="0" distL="0" distR="0" wp14:anchorId="493F04B5" wp14:editId="11A4705E">
            <wp:extent cx="5495925" cy="6618605"/>
            <wp:effectExtent l="0" t="0" r="9525" b="0"/>
            <wp:docPr id="2" name="Picture 2" descr="Diagram, schematic, timeline,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sorenieratane sampling horizons.jpg"/>
                    <pic:cNvPicPr/>
                  </pic:nvPicPr>
                  <pic:blipFill>
                    <a:blip r:embed="rId16">
                      <a:extLst>
                        <a:ext uri="{28A0092B-C50C-407E-A947-70E740481C1C}">
                          <a14:useLocalDpi xmlns:a14="http://schemas.microsoft.com/office/drawing/2010/main" val="0"/>
                        </a:ext>
                      </a:extLst>
                    </a:blip>
                    <a:stretch>
                      <a:fillRect/>
                    </a:stretch>
                  </pic:blipFill>
                  <pic:spPr>
                    <a:xfrm>
                      <a:off x="0" y="0"/>
                      <a:ext cx="5495925" cy="6618605"/>
                    </a:xfrm>
                    <a:prstGeom prst="rect">
                      <a:avLst/>
                    </a:prstGeom>
                  </pic:spPr>
                </pic:pic>
              </a:graphicData>
            </a:graphic>
          </wp:inline>
        </w:drawing>
      </w:r>
    </w:p>
    <w:p w14:paraId="573C5C22" w14:textId="13AEDA77" w:rsidR="00B50234" w:rsidRPr="00321D76" w:rsidRDefault="00B50234" w:rsidP="00B50234">
      <w:pPr>
        <w:rPr>
          <w:noProof/>
          <w:sz w:val="22"/>
          <w:szCs w:val="22"/>
        </w:rPr>
      </w:pPr>
      <w:r w:rsidRPr="00321D76">
        <w:rPr>
          <w:b/>
          <w:bCs/>
          <w:noProof/>
          <w:sz w:val="22"/>
          <w:szCs w:val="22"/>
        </w:rPr>
        <w:t>Absence of isorenieratine.</w:t>
      </w:r>
      <w:r w:rsidRPr="00321D76">
        <w:rPr>
          <w:noProof/>
          <w:sz w:val="22"/>
          <w:szCs w:val="22"/>
        </w:rPr>
        <w:t xml:space="preserve"> Red arrows indicate sampled horizons tested for </w:t>
      </w:r>
      <w:proofErr w:type="spellStart"/>
      <w:r w:rsidRPr="00321D76">
        <w:rPr>
          <w:sz w:val="22"/>
          <w:szCs w:val="22"/>
        </w:rPr>
        <w:t>isorenieratene</w:t>
      </w:r>
      <w:proofErr w:type="spellEnd"/>
      <w:r w:rsidRPr="00321D76">
        <w:rPr>
          <w:noProof/>
          <w:sz w:val="22"/>
          <w:szCs w:val="22"/>
        </w:rPr>
        <w:t>. No isorenieratane was found in any sample, indicating no photic zone euxinia across O</w:t>
      </w:r>
      <w:r w:rsidR="001377F6">
        <w:rPr>
          <w:noProof/>
          <w:sz w:val="22"/>
          <w:szCs w:val="22"/>
        </w:rPr>
        <w:t xml:space="preserve">cean </w:t>
      </w:r>
      <w:r w:rsidRPr="00321D76">
        <w:rPr>
          <w:noProof/>
          <w:sz w:val="22"/>
          <w:szCs w:val="22"/>
        </w:rPr>
        <w:t>A</w:t>
      </w:r>
      <w:r w:rsidR="001377F6">
        <w:rPr>
          <w:noProof/>
          <w:sz w:val="22"/>
          <w:szCs w:val="22"/>
        </w:rPr>
        <w:t xml:space="preserve">noxic </w:t>
      </w:r>
      <w:r w:rsidRPr="00321D76">
        <w:rPr>
          <w:noProof/>
          <w:sz w:val="22"/>
          <w:szCs w:val="22"/>
        </w:rPr>
        <w:t>E</w:t>
      </w:r>
      <w:r w:rsidR="001377F6">
        <w:rPr>
          <w:noProof/>
          <w:sz w:val="22"/>
          <w:szCs w:val="22"/>
        </w:rPr>
        <w:t>vent</w:t>
      </w:r>
      <w:r w:rsidRPr="00321D76">
        <w:rPr>
          <w:noProof/>
          <w:sz w:val="22"/>
          <w:szCs w:val="22"/>
        </w:rPr>
        <w:t xml:space="preserve"> 2 or the M</w:t>
      </w:r>
      <w:r w:rsidR="001377F6">
        <w:rPr>
          <w:noProof/>
          <w:sz w:val="22"/>
          <w:szCs w:val="22"/>
        </w:rPr>
        <w:t>id-</w:t>
      </w:r>
      <w:r w:rsidRPr="00321D76">
        <w:rPr>
          <w:noProof/>
          <w:sz w:val="22"/>
          <w:szCs w:val="22"/>
        </w:rPr>
        <w:t>C</w:t>
      </w:r>
      <w:r w:rsidR="001377F6">
        <w:rPr>
          <w:noProof/>
          <w:sz w:val="22"/>
          <w:szCs w:val="22"/>
        </w:rPr>
        <w:t xml:space="preserve">enomanian </w:t>
      </w:r>
      <w:r w:rsidRPr="00321D76">
        <w:rPr>
          <w:noProof/>
          <w:sz w:val="22"/>
          <w:szCs w:val="22"/>
        </w:rPr>
        <w:t>E</w:t>
      </w:r>
      <w:r w:rsidR="001377F6">
        <w:rPr>
          <w:noProof/>
          <w:sz w:val="22"/>
          <w:szCs w:val="22"/>
        </w:rPr>
        <w:t>vent</w:t>
      </w:r>
      <w:r w:rsidRPr="00321D76">
        <w:rPr>
          <w:noProof/>
          <w:sz w:val="22"/>
          <w:szCs w:val="22"/>
        </w:rPr>
        <w:t xml:space="preserve">. Data are plotted next to sample age, core colour, lithology and the bulk </w:t>
      </w:r>
      <w:bookmarkStart w:id="0" w:name="_Hlk125124867"/>
      <w:r w:rsidRPr="00321D76">
        <w:rPr>
          <w:rFonts w:cstheme="minorHAnsi"/>
          <w:noProof/>
          <w:sz w:val="22"/>
          <w:szCs w:val="22"/>
        </w:rPr>
        <w:t>δ</w:t>
      </w:r>
      <w:r w:rsidRPr="00321D76">
        <w:rPr>
          <w:noProof/>
          <w:sz w:val="22"/>
          <w:szCs w:val="22"/>
          <w:vertAlign w:val="superscript"/>
        </w:rPr>
        <w:t>13</w:t>
      </w:r>
      <w:r w:rsidRPr="00321D76">
        <w:rPr>
          <w:noProof/>
          <w:sz w:val="22"/>
          <w:szCs w:val="22"/>
        </w:rPr>
        <w:t>C</w:t>
      </w:r>
      <w:bookmarkEnd w:id="0"/>
      <w:r w:rsidRPr="00321D76">
        <w:rPr>
          <w:noProof/>
          <w:sz w:val="22"/>
          <w:szCs w:val="22"/>
          <w:vertAlign w:val="subscript"/>
        </w:rPr>
        <w:t>(carbonate)</w:t>
      </w:r>
      <w:r w:rsidRPr="00321D76">
        <w:rPr>
          <w:noProof/>
          <w:sz w:val="22"/>
          <w:szCs w:val="22"/>
        </w:rPr>
        <w:t xml:space="preserve"> data for reference.</w:t>
      </w:r>
    </w:p>
    <w:p w14:paraId="4A186069" w14:textId="77777777" w:rsidR="00FC2D70" w:rsidRDefault="00FC2D70" w:rsidP="00B50234">
      <w:pPr>
        <w:spacing w:after="160" w:line="259" w:lineRule="auto"/>
        <w:rPr>
          <w:b/>
          <w:bCs/>
        </w:rPr>
      </w:pPr>
    </w:p>
    <w:p w14:paraId="3396D6EE" w14:textId="77777777" w:rsidR="00156E7C" w:rsidRDefault="00156E7C">
      <w:pPr>
        <w:spacing w:after="160" w:line="259" w:lineRule="auto"/>
        <w:rPr>
          <w:b/>
          <w:bCs/>
        </w:rPr>
      </w:pPr>
      <w:r>
        <w:rPr>
          <w:b/>
          <w:bCs/>
        </w:rPr>
        <w:br w:type="page"/>
      </w:r>
    </w:p>
    <w:p w14:paraId="2BBC762E" w14:textId="76C03145" w:rsidR="00FC2D70" w:rsidRPr="00215FCE" w:rsidRDefault="007D41B1" w:rsidP="00B50234">
      <w:pPr>
        <w:spacing w:after="160" w:line="259" w:lineRule="auto"/>
        <w:rPr>
          <w:b/>
          <w:bCs/>
        </w:rPr>
      </w:pPr>
      <w:r w:rsidRPr="00215FCE">
        <w:rPr>
          <w:b/>
          <w:bCs/>
          <w:noProof/>
        </w:rPr>
        <w:lastRenderedPageBreak/>
        <w:drawing>
          <wp:anchor distT="0" distB="0" distL="114300" distR="114300" simplePos="0" relativeHeight="251747840" behindDoc="0" locked="0" layoutInCell="1" allowOverlap="1" wp14:anchorId="6B95F275" wp14:editId="542AEAEF">
            <wp:simplePos x="0" y="0"/>
            <wp:positionH relativeFrom="column">
              <wp:posOffset>-386715</wp:posOffset>
            </wp:positionH>
            <wp:positionV relativeFrom="paragraph">
              <wp:posOffset>484052</wp:posOffset>
            </wp:positionV>
            <wp:extent cx="6532880" cy="6014085"/>
            <wp:effectExtent l="0" t="0" r="1270" b="5715"/>
            <wp:wrapTopAndBottom/>
            <wp:docPr id="1385144861" name="Picture 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44861" name="Picture 4" descr="A screenshot of a graph&#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532880" cy="6014085"/>
                    </a:xfrm>
                    <a:prstGeom prst="rect">
                      <a:avLst/>
                    </a:prstGeom>
                  </pic:spPr>
                </pic:pic>
              </a:graphicData>
            </a:graphic>
            <wp14:sizeRelH relativeFrom="page">
              <wp14:pctWidth>0</wp14:pctWidth>
            </wp14:sizeRelH>
            <wp14:sizeRelV relativeFrom="page">
              <wp14:pctHeight>0</wp14:pctHeight>
            </wp14:sizeRelV>
          </wp:anchor>
        </w:drawing>
      </w:r>
      <w:r w:rsidR="00FC2D70" w:rsidRPr="00215FCE">
        <w:rPr>
          <w:b/>
          <w:bCs/>
        </w:rPr>
        <w:t xml:space="preserve">Supplementary Figure 6 – Strong correlation between </w:t>
      </w:r>
      <w:r w:rsidR="00B708F0" w:rsidRPr="00215FCE">
        <w:rPr>
          <w:b/>
          <w:bCs/>
        </w:rPr>
        <w:t xml:space="preserve">Neodymium and Strontium </w:t>
      </w:r>
      <w:r w:rsidR="00FC2D70" w:rsidRPr="00215FCE">
        <w:rPr>
          <w:b/>
          <w:bCs/>
        </w:rPr>
        <w:t>isotope values in fine fraction and bulk samples</w:t>
      </w:r>
    </w:p>
    <w:p w14:paraId="41A75CFE" w14:textId="7E3714A7" w:rsidR="00B50234" w:rsidRPr="008A50DF" w:rsidRDefault="007D41B1" w:rsidP="00B50234">
      <w:pPr>
        <w:spacing w:after="160" w:line="259" w:lineRule="auto"/>
      </w:pPr>
      <w:r w:rsidRPr="00215FCE">
        <w:rPr>
          <w:b/>
          <w:bCs/>
          <w:sz w:val="22"/>
          <w:szCs w:val="22"/>
        </w:rPr>
        <w:t>Strong correlation between N</w:t>
      </w:r>
      <w:r w:rsidR="00B708F0" w:rsidRPr="00215FCE">
        <w:rPr>
          <w:b/>
          <w:bCs/>
          <w:sz w:val="22"/>
          <w:szCs w:val="22"/>
        </w:rPr>
        <w:t>eodymium</w:t>
      </w:r>
      <w:r w:rsidRPr="00215FCE">
        <w:rPr>
          <w:b/>
          <w:bCs/>
          <w:sz w:val="22"/>
          <w:szCs w:val="22"/>
        </w:rPr>
        <w:t xml:space="preserve"> and S</w:t>
      </w:r>
      <w:r w:rsidR="00B708F0" w:rsidRPr="00215FCE">
        <w:rPr>
          <w:b/>
          <w:bCs/>
          <w:sz w:val="22"/>
          <w:szCs w:val="22"/>
        </w:rPr>
        <w:t>t</w:t>
      </w:r>
      <w:r w:rsidRPr="00215FCE">
        <w:rPr>
          <w:b/>
          <w:bCs/>
          <w:sz w:val="22"/>
          <w:szCs w:val="22"/>
        </w:rPr>
        <w:t>r</w:t>
      </w:r>
      <w:r w:rsidR="00B708F0" w:rsidRPr="00215FCE">
        <w:rPr>
          <w:b/>
          <w:bCs/>
          <w:sz w:val="22"/>
          <w:szCs w:val="22"/>
        </w:rPr>
        <w:t>ontium</w:t>
      </w:r>
      <w:r w:rsidRPr="00215FCE">
        <w:rPr>
          <w:b/>
          <w:bCs/>
          <w:sz w:val="22"/>
          <w:szCs w:val="22"/>
        </w:rPr>
        <w:t xml:space="preserve"> isotope values in fine fraction and bulk samples</w:t>
      </w:r>
      <w:r w:rsidR="00AF75C1" w:rsidRPr="00215FCE">
        <w:rPr>
          <w:b/>
          <w:bCs/>
          <w:sz w:val="22"/>
          <w:szCs w:val="22"/>
        </w:rPr>
        <w:t>.</w:t>
      </w:r>
      <w:r w:rsidR="001264BF" w:rsidRPr="00215FCE">
        <w:rPr>
          <w:b/>
          <w:bCs/>
          <w:sz w:val="22"/>
          <w:szCs w:val="22"/>
        </w:rPr>
        <w:t xml:space="preserve"> </w:t>
      </w:r>
      <w:r w:rsidR="0093684C" w:rsidRPr="00215FCE">
        <w:rPr>
          <w:sz w:val="22"/>
          <w:szCs w:val="22"/>
          <w:vertAlign w:val="superscript"/>
        </w:rPr>
        <w:t>87</w:t>
      </w:r>
      <w:r w:rsidR="0093684C" w:rsidRPr="00215FCE">
        <w:rPr>
          <w:sz w:val="22"/>
          <w:szCs w:val="22"/>
        </w:rPr>
        <w:t>Sr/</w:t>
      </w:r>
      <w:r w:rsidR="0093684C" w:rsidRPr="00215FCE">
        <w:rPr>
          <w:sz w:val="22"/>
          <w:szCs w:val="22"/>
          <w:vertAlign w:val="superscript"/>
        </w:rPr>
        <w:t>86</w:t>
      </w:r>
      <w:r w:rsidR="0093684C" w:rsidRPr="00215FCE">
        <w:rPr>
          <w:sz w:val="22"/>
          <w:szCs w:val="22"/>
        </w:rPr>
        <w:t xml:space="preserve">Sr </w:t>
      </w:r>
      <w:r w:rsidR="00DD1AAA" w:rsidRPr="00215FCE">
        <w:rPr>
          <w:sz w:val="22"/>
          <w:szCs w:val="22"/>
        </w:rPr>
        <w:t>(</w:t>
      </w:r>
      <w:r w:rsidR="00AF75C1" w:rsidRPr="00215FCE">
        <w:rPr>
          <w:sz w:val="22"/>
          <w:szCs w:val="22"/>
        </w:rPr>
        <w:t>a.-c.</w:t>
      </w:r>
      <w:r w:rsidR="00DD1AAA" w:rsidRPr="00215FCE">
        <w:rPr>
          <w:sz w:val="22"/>
          <w:szCs w:val="22"/>
        </w:rPr>
        <w:t xml:space="preserve">) </w:t>
      </w:r>
      <w:r w:rsidR="000A467D" w:rsidRPr="00215FCE">
        <w:rPr>
          <w:sz w:val="22"/>
          <w:szCs w:val="22"/>
        </w:rPr>
        <w:t>show strong correlations between fine fraction (&lt;2 micron)</w:t>
      </w:r>
      <w:r w:rsidR="00BD34B2" w:rsidRPr="00215FCE">
        <w:rPr>
          <w:sz w:val="22"/>
          <w:szCs w:val="22"/>
        </w:rPr>
        <w:t>, bulk, and 2-20 micron samples</w:t>
      </w:r>
      <w:r w:rsidR="00AF1B7E" w:rsidRPr="00215FCE">
        <w:rPr>
          <w:sz w:val="22"/>
          <w:szCs w:val="22"/>
        </w:rPr>
        <w:t>, where the linear trend strength is displayed in the R</w:t>
      </w:r>
      <w:r w:rsidR="00AF1B7E" w:rsidRPr="00215FCE">
        <w:rPr>
          <w:sz w:val="22"/>
          <w:szCs w:val="22"/>
          <w:vertAlign w:val="superscript"/>
        </w:rPr>
        <w:t>2</w:t>
      </w:r>
      <w:r w:rsidR="00AF1B7E" w:rsidRPr="00215FCE">
        <w:rPr>
          <w:sz w:val="22"/>
          <w:szCs w:val="22"/>
        </w:rPr>
        <w:t xml:space="preserve"> value on each plot</w:t>
      </w:r>
      <w:r w:rsidR="00BD34B2" w:rsidRPr="00215FCE">
        <w:rPr>
          <w:sz w:val="22"/>
          <w:szCs w:val="22"/>
        </w:rPr>
        <w:t xml:space="preserve">. </w:t>
      </w:r>
      <w:r w:rsidR="00753B3E" w:rsidRPr="00215FCE">
        <w:rPr>
          <w:sz w:val="22"/>
          <w:szCs w:val="22"/>
        </w:rPr>
        <w:t xml:space="preserve">a) </w:t>
      </w:r>
      <w:r w:rsidR="000C1BF7" w:rsidRPr="00215FCE">
        <w:rPr>
          <w:sz w:val="22"/>
          <w:szCs w:val="22"/>
        </w:rPr>
        <w:t>Samples run with both f</w:t>
      </w:r>
      <w:r w:rsidR="00753B3E" w:rsidRPr="00215FCE">
        <w:rPr>
          <w:sz w:val="22"/>
          <w:szCs w:val="22"/>
        </w:rPr>
        <w:t xml:space="preserve">ine fraction </w:t>
      </w:r>
      <w:r w:rsidR="00CF77A2" w:rsidRPr="00215FCE">
        <w:rPr>
          <w:sz w:val="22"/>
          <w:szCs w:val="22"/>
        </w:rPr>
        <w:t xml:space="preserve">and all other fraction (&gt;2 micron) </w:t>
      </w:r>
      <w:r w:rsidR="000C1BF7" w:rsidRPr="00215FCE">
        <w:rPr>
          <w:sz w:val="22"/>
          <w:szCs w:val="22"/>
        </w:rPr>
        <w:t>sediments</w:t>
      </w:r>
      <w:r w:rsidR="00CF77A2" w:rsidRPr="00215FCE">
        <w:rPr>
          <w:sz w:val="22"/>
          <w:szCs w:val="22"/>
        </w:rPr>
        <w:t xml:space="preserve"> correlate strongly, where </w:t>
      </w:r>
      <w:r w:rsidR="00753B3E" w:rsidRPr="00215FCE">
        <w:rPr>
          <w:sz w:val="22"/>
          <w:szCs w:val="22"/>
        </w:rPr>
        <w:t>R</w:t>
      </w:r>
      <w:r w:rsidR="00753B3E" w:rsidRPr="00215FCE">
        <w:rPr>
          <w:sz w:val="22"/>
          <w:szCs w:val="22"/>
          <w:vertAlign w:val="superscript"/>
        </w:rPr>
        <w:t>2</w:t>
      </w:r>
      <w:r w:rsidR="00753B3E" w:rsidRPr="00215FCE">
        <w:rPr>
          <w:sz w:val="22"/>
          <w:szCs w:val="22"/>
        </w:rPr>
        <w:t xml:space="preserve"> = 0.8288</w:t>
      </w:r>
      <w:r w:rsidR="00CF77A2" w:rsidRPr="00215FCE">
        <w:rPr>
          <w:sz w:val="22"/>
          <w:szCs w:val="22"/>
        </w:rPr>
        <w:t xml:space="preserve">. This strong relationship is maintained when the </w:t>
      </w:r>
      <w:r w:rsidR="00B5167D" w:rsidRPr="00215FCE">
        <w:rPr>
          <w:sz w:val="22"/>
          <w:szCs w:val="22"/>
        </w:rPr>
        <w:t xml:space="preserve">2-20 micron fraction is eliminated. b) shows bulk (&gt;20 micron) </w:t>
      </w:r>
      <w:r w:rsidR="00E5322A" w:rsidRPr="00215FCE">
        <w:rPr>
          <w:sz w:val="22"/>
          <w:szCs w:val="22"/>
        </w:rPr>
        <w:t>against</w:t>
      </w:r>
      <w:r w:rsidR="00B5167D" w:rsidRPr="00215FCE">
        <w:rPr>
          <w:sz w:val="22"/>
          <w:szCs w:val="22"/>
        </w:rPr>
        <w:t xml:space="preserve"> fine fractions samples, where R</w:t>
      </w:r>
      <w:r w:rsidR="00B5167D" w:rsidRPr="00215FCE">
        <w:rPr>
          <w:sz w:val="22"/>
          <w:szCs w:val="22"/>
          <w:vertAlign w:val="superscript"/>
        </w:rPr>
        <w:t>2</w:t>
      </w:r>
      <w:r w:rsidR="00B5167D" w:rsidRPr="00215FCE">
        <w:rPr>
          <w:sz w:val="22"/>
          <w:szCs w:val="22"/>
        </w:rPr>
        <w:t xml:space="preserve"> = 0.83</w:t>
      </w:r>
      <w:r w:rsidR="002E288F" w:rsidRPr="00215FCE">
        <w:rPr>
          <w:sz w:val="22"/>
          <w:szCs w:val="22"/>
        </w:rPr>
        <w:t>89. c) Fine fraction (&lt;2 micron) and mid-size (2-20 micron) samples have a stronger correlation, where R</w:t>
      </w:r>
      <w:r w:rsidR="002E288F" w:rsidRPr="00215FCE">
        <w:rPr>
          <w:sz w:val="22"/>
          <w:szCs w:val="22"/>
          <w:vertAlign w:val="superscript"/>
        </w:rPr>
        <w:t>2</w:t>
      </w:r>
      <w:r w:rsidR="002E288F" w:rsidRPr="00215FCE">
        <w:rPr>
          <w:sz w:val="22"/>
          <w:szCs w:val="22"/>
        </w:rPr>
        <w:t xml:space="preserve"> = 0.9538, though it should be noted that the sample size is only 5. </w:t>
      </w:r>
      <w:r w:rsidR="00567670" w:rsidRPr="00215FCE">
        <w:rPr>
          <w:sz w:val="22"/>
          <w:szCs w:val="22"/>
        </w:rPr>
        <w:t>Similar relationships are evidence</w:t>
      </w:r>
      <w:r w:rsidR="00E5322A" w:rsidRPr="00215FCE">
        <w:rPr>
          <w:sz w:val="22"/>
          <w:szCs w:val="22"/>
        </w:rPr>
        <w:t>d</w:t>
      </w:r>
      <w:r w:rsidR="00567670" w:rsidRPr="00215FCE">
        <w:rPr>
          <w:sz w:val="22"/>
          <w:szCs w:val="22"/>
        </w:rPr>
        <w:t xml:space="preserve"> between the size fractions of </w:t>
      </w:r>
      <w:proofErr w:type="spellStart"/>
      <w:r w:rsidR="00567670" w:rsidRPr="00215FCE">
        <w:rPr>
          <w:sz w:val="22"/>
          <w:szCs w:val="22"/>
        </w:rPr>
        <w:t>εNd</w:t>
      </w:r>
      <w:proofErr w:type="spellEnd"/>
      <w:r w:rsidR="00567670" w:rsidRPr="00215FCE">
        <w:rPr>
          <w:sz w:val="22"/>
          <w:szCs w:val="22"/>
        </w:rPr>
        <w:t xml:space="preserve"> data (d. – </w:t>
      </w:r>
      <w:r w:rsidR="00FC1A39" w:rsidRPr="00215FCE">
        <w:rPr>
          <w:sz w:val="22"/>
          <w:szCs w:val="22"/>
        </w:rPr>
        <w:t>f</w:t>
      </w:r>
      <w:r w:rsidR="00567670" w:rsidRPr="00215FCE">
        <w:rPr>
          <w:sz w:val="22"/>
          <w:szCs w:val="22"/>
        </w:rPr>
        <w:t>.).</w:t>
      </w:r>
      <w:r w:rsidR="00431CD6" w:rsidRPr="00215FCE">
        <w:rPr>
          <w:sz w:val="22"/>
          <w:szCs w:val="22"/>
        </w:rPr>
        <w:t xml:space="preserve"> d) Fine fraction and all other fraction (&gt;2 micron) size</w:t>
      </w:r>
      <w:r w:rsidR="00E5322A" w:rsidRPr="00215FCE">
        <w:rPr>
          <w:sz w:val="22"/>
          <w:szCs w:val="22"/>
        </w:rPr>
        <w:t xml:space="preserve"> sediments</w:t>
      </w:r>
      <w:r w:rsidR="00397C03" w:rsidRPr="00215FCE">
        <w:rPr>
          <w:sz w:val="22"/>
          <w:szCs w:val="22"/>
        </w:rPr>
        <w:t xml:space="preserve"> have strongly correlating </w:t>
      </w:r>
      <w:proofErr w:type="spellStart"/>
      <w:r w:rsidR="00397C03" w:rsidRPr="00215FCE">
        <w:rPr>
          <w:sz w:val="22"/>
          <w:szCs w:val="22"/>
        </w:rPr>
        <w:t>εNd</w:t>
      </w:r>
      <w:proofErr w:type="spellEnd"/>
      <w:r w:rsidR="00397C03" w:rsidRPr="00215FCE">
        <w:rPr>
          <w:sz w:val="22"/>
          <w:szCs w:val="22"/>
        </w:rPr>
        <w:t xml:space="preserve"> data, </w:t>
      </w:r>
      <w:r w:rsidR="00431CD6" w:rsidRPr="00215FCE">
        <w:rPr>
          <w:sz w:val="22"/>
          <w:szCs w:val="22"/>
        </w:rPr>
        <w:t>where R</w:t>
      </w:r>
      <w:r w:rsidR="00431CD6" w:rsidRPr="00215FCE">
        <w:rPr>
          <w:sz w:val="22"/>
          <w:szCs w:val="22"/>
          <w:vertAlign w:val="superscript"/>
        </w:rPr>
        <w:t>2</w:t>
      </w:r>
      <w:r w:rsidR="00431CD6" w:rsidRPr="00215FCE">
        <w:rPr>
          <w:sz w:val="22"/>
          <w:szCs w:val="22"/>
        </w:rPr>
        <w:t xml:space="preserve"> = 0.7572. </w:t>
      </w:r>
      <w:r w:rsidR="00FC1A39" w:rsidRPr="00215FCE">
        <w:rPr>
          <w:sz w:val="22"/>
          <w:szCs w:val="22"/>
        </w:rPr>
        <w:t>A relatively</w:t>
      </w:r>
      <w:r w:rsidR="00431CD6" w:rsidRPr="00215FCE">
        <w:rPr>
          <w:sz w:val="22"/>
          <w:szCs w:val="22"/>
        </w:rPr>
        <w:t xml:space="preserve"> strong relationship is maintained when the 2-20 micron fraction is eliminated. </w:t>
      </w:r>
      <w:r w:rsidR="00FC1A39" w:rsidRPr="00215FCE">
        <w:rPr>
          <w:sz w:val="22"/>
          <w:szCs w:val="22"/>
        </w:rPr>
        <w:t>e</w:t>
      </w:r>
      <w:r w:rsidR="00431CD6" w:rsidRPr="00215FCE">
        <w:rPr>
          <w:sz w:val="22"/>
          <w:szCs w:val="22"/>
        </w:rPr>
        <w:t xml:space="preserve">) shows bulk (&gt;20 micron) and fine fractions samples, </w:t>
      </w:r>
      <w:r w:rsidR="00431CD6" w:rsidRPr="00215FCE">
        <w:rPr>
          <w:sz w:val="22"/>
          <w:szCs w:val="22"/>
        </w:rPr>
        <w:lastRenderedPageBreak/>
        <w:t>where R</w:t>
      </w:r>
      <w:r w:rsidR="00431CD6" w:rsidRPr="00215FCE">
        <w:rPr>
          <w:sz w:val="22"/>
          <w:szCs w:val="22"/>
          <w:vertAlign w:val="superscript"/>
        </w:rPr>
        <w:t>2</w:t>
      </w:r>
      <w:r w:rsidR="00431CD6" w:rsidRPr="00215FCE">
        <w:rPr>
          <w:sz w:val="22"/>
          <w:szCs w:val="22"/>
        </w:rPr>
        <w:t xml:space="preserve"> = 0.</w:t>
      </w:r>
      <w:r w:rsidR="00FC1A39" w:rsidRPr="00215FCE">
        <w:rPr>
          <w:sz w:val="22"/>
          <w:szCs w:val="22"/>
        </w:rPr>
        <w:t>6019</w:t>
      </w:r>
      <w:r w:rsidR="00431CD6" w:rsidRPr="00215FCE">
        <w:rPr>
          <w:sz w:val="22"/>
          <w:szCs w:val="22"/>
        </w:rPr>
        <w:t xml:space="preserve">. c) Fine fraction (&lt;2 micron) and mid-size (2-20 micron) </w:t>
      </w:r>
      <w:proofErr w:type="spellStart"/>
      <w:r w:rsidR="00FC1A39" w:rsidRPr="00215FCE">
        <w:rPr>
          <w:sz w:val="22"/>
          <w:szCs w:val="22"/>
        </w:rPr>
        <w:t>εNd</w:t>
      </w:r>
      <w:proofErr w:type="spellEnd"/>
      <w:r w:rsidR="00FC1A39" w:rsidRPr="00215FCE">
        <w:rPr>
          <w:sz w:val="22"/>
          <w:szCs w:val="22"/>
        </w:rPr>
        <w:t xml:space="preserve"> </w:t>
      </w:r>
      <w:r w:rsidR="00431CD6" w:rsidRPr="00215FCE">
        <w:rPr>
          <w:sz w:val="22"/>
          <w:szCs w:val="22"/>
        </w:rPr>
        <w:t xml:space="preserve">samples </w:t>
      </w:r>
      <w:r w:rsidR="00FC1A39" w:rsidRPr="00215FCE">
        <w:rPr>
          <w:sz w:val="22"/>
          <w:szCs w:val="22"/>
        </w:rPr>
        <w:t>demonstrate the stronges</w:t>
      </w:r>
      <w:r w:rsidR="00250602" w:rsidRPr="00215FCE">
        <w:rPr>
          <w:sz w:val="22"/>
          <w:szCs w:val="22"/>
        </w:rPr>
        <w:t>t</w:t>
      </w:r>
      <w:r w:rsidR="00431CD6" w:rsidRPr="00215FCE">
        <w:rPr>
          <w:sz w:val="22"/>
          <w:szCs w:val="22"/>
        </w:rPr>
        <w:t xml:space="preserve"> correlation, where R</w:t>
      </w:r>
      <w:r w:rsidR="00431CD6" w:rsidRPr="00215FCE">
        <w:rPr>
          <w:sz w:val="22"/>
          <w:szCs w:val="22"/>
          <w:vertAlign w:val="superscript"/>
        </w:rPr>
        <w:t>2</w:t>
      </w:r>
      <w:r w:rsidR="00431CD6" w:rsidRPr="00215FCE">
        <w:rPr>
          <w:sz w:val="22"/>
          <w:szCs w:val="22"/>
        </w:rPr>
        <w:t xml:space="preserve"> = 0.9</w:t>
      </w:r>
      <w:r w:rsidR="00FC1A39" w:rsidRPr="00215FCE">
        <w:rPr>
          <w:sz w:val="22"/>
          <w:szCs w:val="22"/>
        </w:rPr>
        <w:t>985</w:t>
      </w:r>
      <w:r w:rsidR="00431CD6" w:rsidRPr="00215FCE">
        <w:rPr>
          <w:sz w:val="22"/>
          <w:szCs w:val="22"/>
        </w:rPr>
        <w:t>, though</w:t>
      </w:r>
      <w:r w:rsidR="00250602" w:rsidRPr="00215FCE">
        <w:rPr>
          <w:sz w:val="22"/>
          <w:szCs w:val="22"/>
        </w:rPr>
        <w:t>, again,</w:t>
      </w:r>
      <w:r w:rsidR="00431CD6" w:rsidRPr="00215FCE">
        <w:rPr>
          <w:sz w:val="22"/>
          <w:szCs w:val="22"/>
        </w:rPr>
        <w:t xml:space="preserve"> the sample size is only 5. </w:t>
      </w:r>
      <w:r w:rsidR="00567670" w:rsidRPr="00215FCE">
        <w:rPr>
          <w:sz w:val="22"/>
          <w:szCs w:val="22"/>
        </w:rPr>
        <w:t xml:space="preserve"> </w:t>
      </w:r>
      <w:r w:rsidR="00B5167D" w:rsidRPr="00215FCE">
        <w:rPr>
          <w:sz w:val="22"/>
          <w:szCs w:val="22"/>
        </w:rPr>
        <w:t xml:space="preserve">  </w:t>
      </w:r>
      <w:r w:rsidR="00753B3E" w:rsidRPr="00215FCE">
        <w:rPr>
          <w:sz w:val="22"/>
          <w:szCs w:val="22"/>
        </w:rPr>
        <w:t xml:space="preserve"> </w:t>
      </w:r>
      <w:r w:rsidR="00AF1B7E" w:rsidRPr="00215FCE">
        <w:rPr>
          <w:sz w:val="22"/>
          <w:szCs w:val="22"/>
        </w:rPr>
        <w:t xml:space="preserve"> </w:t>
      </w:r>
      <w:r w:rsidR="000A467D" w:rsidRPr="00215FCE">
        <w:rPr>
          <w:sz w:val="22"/>
          <w:szCs w:val="22"/>
        </w:rPr>
        <w:t xml:space="preserve"> </w:t>
      </w:r>
      <w:r w:rsidR="00B50234">
        <w:rPr>
          <w:b/>
          <w:bCs/>
        </w:rPr>
        <w:br w:type="page"/>
      </w:r>
    </w:p>
    <w:p w14:paraId="307A6A56" w14:textId="3AC42780" w:rsidR="00A25D7B" w:rsidRPr="005F26E3" w:rsidRDefault="005F26E3" w:rsidP="00B50234">
      <w:pPr>
        <w:spacing w:after="160" w:line="259" w:lineRule="auto"/>
        <w:rPr>
          <w:b/>
          <w:bCs/>
        </w:rPr>
      </w:pPr>
      <w:r w:rsidRPr="005F26E3">
        <w:rPr>
          <w:b/>
          <w:bCs/>
          <w:noProof/>
        </w:rPr>
        <w:lastRenderedPageBreak/>
        <w:drawing>
          <wp:anchor distT="0" distB="0" distL="114300" distR="114300" simplePos="0" relativeHeight="251748864" behindDoc="0" locked="0" layoutInCell="1" allowOverlap="1" wp14:anchorId="758C5169" wp14:editId="781ECA47">
            <wp:simplePos x="0" y="0"/>
            <wp:positionH relativeFrom="column">
              <wp:posOffset>-619125</wp:posOffset>
            </wp:positionH>
            <wp:positionV relativeFrom="paragraph">
              <wp:posOffset>304165</wp:posOffset>
            </wp:positionV>
            <wp:extent cx="6985635" cy="4772025"/>
            <wp:effectExtent l="0" t="0" r="5715" b="0"/>
            <wp:wrapTopAndBottom/>
            <wp:docPr id="540944455" name="Picture 1" descr="A map of the oce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944455" name="Picture 1" descr="A map of the ocean&#10;&#10;Description automatically generated"/>
                    <pic:cNvPicPr/>
                  </pic:nvPicPr>
                  <pic:blipFill rotWithShape="1">
                    <a:blip r:embed="rId18" cstate="print">
                      <a:extLst>
                        <a:ext uri="{28A0092B-C50C-407E-A947-70E740481C1C}">
                          <a14:useLocalDpi xmlns:a14="http://schemas.microsoft.com/office/drawing/2010/main" val="0"/>
                        </a:ext>
                      </a:extLst>
                    </a:blip>
                    <a:srcRect l="3045" t="5827" r="3765" b="3947"/>
                    <a:stretch/>
                  </pic:blipFill>
                  <pic:spPr bwMode="auto">
                    <a:xfrm>
                      <a:off x="0" y="0"/>
                      <a:ext cx="6985635" cy="4772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5D7B" w:rsidRPr="005F26E3">
        <w:rPr>
          <w:b/>
          <w:bCs/>
        </w:rPr>
        <w:t xml:space="preserve">Supplementary Figure 7 – </w:t>
      </w:r>
      <w:proofErr w:type="spellStart"/>
      <w:r w:rsidR="00A25D7B" w:rsidRPr="005F26E3">
        <w:rPr>
          <w:b/>
          <w:bCs/>
        </w:rPr>
        <w:t>εNd</w:t>
      </w:r>
      <w:proofErr w:type="spellEnd"/>
      <w:r w:rsidR="00A25D7B" w:rsidRPr="005F26E3">
        <w:rPr>
          <w:b/>
          <w:bCs/>
        </w:rPr>
        <w:t xml:space="preserve"> values in </w:t>
      </w:r>
      <w:r w:rsidR="00B708F0">
        <w:rPr>
          <w:b/>
          <w:bCs/>
        </w:rPr>
        <w:t>southwest</w:t>
      </w:r>
      <w:r w:rsidR="00A25D7B" w:rsidRPr="005F26E3">
        <w:rPr>
          <w:b/>
          <w:bCs/>
        </w:rPr>
        <w:t xml:space="preserve"> Australia</w:t>
      </w:r>
    </w:p>
    <w:p w14:paraId="73E1A8AD" w14:textId="3BF4F34A" w:rsidR="00A25D7B" w:rsidRPr="005F26E3" w:rsidRDefault="005D1FB8" w:rsidP="00B50234">
      <w:pPr>
        <w:spacing w:after="160" w:line="259" w:lineRule="auto"/>
        <w:rPr>
          <w:sz w:val="22"/>
          <w:szCs w:val="22"/>
        </w:rPr>
      </w:pPr>
      <w:proofErr w:type="spellStart"/>
      <w:r w:rsidRPr="005F26E3">
        <w:rPr>
          <w:b/>
          <w:bCs/>
          <w:sz w:val="22"/>
          <w:szCs w:val="22"/>
        </w:rPr>
        <w:t>εNd</w:t>
      </w:r>
      <w:proofErr w:type="spellEnd"/>
      <w:r w:rsidRPr="005F26E3">
        <w:rPr>
          <w:b/>
          <w:bCs/>
          <w:sz w:val="22"/>
          <w:szCs w:val="22"/>
        </w:rPr>
        <w:t xml:space="preserve"> isotope values in SW Australia</w:t>
      </w:r>
      <w:r w:rsidR="00C7068E" w:rsidRPr="005F26E3">
        <w:rPr>
          <w:b/>
          <w:bCs/>
          <w:sz w:val="22"/>
          <w:szCs w:val="22"/>
        </w:rPr>
        <w:t xml:space="preserve">. </w:t>
      </w:r>
      <w:r w:rsidR="00857AE1" w:rsidRPr="005F26E3">
        <w:rPr>
          <w:sz w:val="22"/>
          <w:szCs w:val="22"/>
        </w:rPr>
        <w:t>Each circular point represents a sediment</w:t>
      </w:r>
      <w:r w:rsidR="006F4A54" w:rsidRPr="005F26E3">
        <w:rPr>
          <w:sz w:val="22"/>
          <w:szCs w:val="22"/>
        </w:rPr>
        <w:t xml:space="preserve"> or </w:t>
      </w:r>
      <w:r w:rsidR="00857AE1" w:rsidRPr="005F26E3">
        <w:rPr>
          <w:sz w:val="22"/>
          <w:szCs w:val="22"/>
        </w:rPr>
        <w:t xml:space="preserve">rock sample with </w:t>
      </w:r>
      <w:proofErr w:type="spellStart"/>
      <w:r w:rsidR="00857AE1" w:rsidRPr="005F26E3">
        <w:rPr>
          <w:sz w:val="22"/>
          <w:szCs w:val="22"/>
        </w:rPr>
        <w:t>a</w:t>
      </w:r>
      <w:r w:rsidR="006F4A54" w:rsidRPr="005F26E3">
        <w:rPr>
          <w:sz w:val="22"/>
          <w:szCs w:val="22"/>
        </w:rPr>
        <w:t>ssocaited</w:t>
      </w:r>
      <w:proofErr w:type="spellEnd"/>
      <w:r w:rsidR="00857AE1" w:rsidRPr="005F26E3">
        <w:rPr>
          <w:sz w:val="22"/>
          <w:szCs w:val="22"/>
        </w:rPr>
        <w:t xml:space="preserve"> </w:t>
      </w:r>
      <w:proofErr w:type="spellStart"/>
      <w:r w:rsidR="00857AE1" w:rsidRPr="005F26E3">
        <w:rPr>
          <w:sz w:val="22"/>
          <w:szCs w:val="22"/>
        </w:rPr>
        <w:t>εNd</w:t>
      </w:r>
      <w:proofErr w:type="spellEnd"/>
      <w:r w:rsidR="00857AE1" w:rsidRPr="005F26E3">
        <w:rPr>
          <w:sz w:val="22"/>
          <w:szCs w:val="22"/>
        </w:rPr>
        <w:t xml:space="preserve"> data, plotted in a co</w:t>
      </w:r>
      <w:r w:rsidR="00C0384D" w:rsidRPr="005F26E3">
        <w:rPr>
          <w:sz w:val="22"/>
          <w:szCs w:val="22"/>
        </w:rPr>
        <w:t xml:space="preserve">lour representing the </w:t>
      </w:r>
      <w:proofErr w:type="spellStart"/>
      <w:r w:rsidR="00C0384D" w:rsidRPr="005F26E3">
        <w:rPr>
          <w:sz w:val="22"/>
          <w:szCs w:val="22"/>
        </w:rPr>
        <w:t>εNd</w:t>
      </w:r>
      <w:proofErr w:type="spellEnd"/>
      <w:r w:rsidR="00C0384D" w:rsidRPr="005F26E3">
        <w:rPr>
          <w:sz w:val="22"/>
          <w:szCs w:val="22"/>
        </w:rPr>
        <w:t xml:space="preserve"> value. Areas which may contribute sediments to the </w:t>
      </w:r>
      <w:proofErr w:type="spellStart"/>
      <w:r w:rsidR="00C0384D" w:rsidRPr="005F26E3">
        <w:rPr>
          <w:sz w:val="22"/>
          <w:szCs w:val="22"/>
        </w:rPr>
        <w:t>Mentelle</w:t>
      </w:r>
      <w:proofErr w:type="spellEnd"/>
      <w:r w:rsidR="00C0384D" w:rsidRPr="005F26E3">
        <w:rPr>
          <w:sz w:val="22"/>
          <w:szCs w:val="22"/>
        </w:rPr>
        <w:t xml:space="preserve"> Basin are labelled</w:t>
      </w:r>
      <w:r w:rsidR="00A73AD2" w:rsidRPr="005F26E3">
        <w:rPr>
          <w:sz w:val="22"/>
          <w:szCs w:val="22"/>
        </w:rPr>
        <w:t xml:space="preserve"> and coloured in according to the average </w:t>
      </w:r>
      <w:proofErr w:type="spellStart"/>
      <w:r w:rsidR="00A73AD2" w:rsidRPr="005F26E3">
        <w:rPr>
          <w:sz w:val="22"/>
          <w:szCs w:val="22"/>
        </w:rPr>
        <w:t>εNd</w:t>
      </w:r>
      <w:proofErr w:type="spellEnd"/>
      <w:r w:rsidR="00A73AD2" w:rsidRPr="005F26E3">
        <w:rPr>
          <w:sz w:val="22"/>
          <w:szCs w:val="22"/>
        </w:rPr>
        <w:t xml:space="preserve"> value of all samples within that area.</w:t>
      </w:r>
      <w:r w:rsidR="00D8795B" w:rsidRPr="005F26E3">
        <w:rPr>
          <w:sz w:val="22"/>
          <w:szCs w:val="22"/>
        </w:rPr>
        <w:t xml:space="preserve"> Highly variable regions of geology</w:t>
      </w:r>
      <w:r w:rsidR="00351308" w:rsidRPr="005F26E3">
        <w:rPr>
          <w:sz w:val="22"/>
          <w:szCs w:val="22"/>
        </w:rPr>
        <w:t xml:space="preserve">, areas with few samples, and sedimentary basins for which </w:t>
      </w:r>
      <w:proofErr w:type="spellStart"/>
      <w:r w:rsidR="0094131F" w:rsidRPr="005F26E3">
        <w:rPr>
          <w:sz w:val="22"/>
          <w:szCs w:val="22"/>
        </w:rPr>
        <w:t>εNd</w:t>
      </w:r>
      <w:proofErr w:type="spellEnd"/>
      <w:r w:rsidR="0094131F" w:rsidRPr="005F26E3">
        <w:rPr>
          <w:sz w:val="22"/>
          <w:szCs w:val="22"/>
        </w:rPr>
        <w:t xml:space="preserve"> </w:t>
      </w:r>
      <w:r w:rsidR="00351308" w:rsidRPr="005F26E3">
        <w:rPr>
          <w:sz w:val="22"/>
          <w:szCs w:val="22"/>
        </w:rPr>
        <w:t xml:space="preserve">values are a mix of other </w:t>
      </w:r>
      <w:r w:rsidR="00917A3D" w:rsidRPr="005F26E3">
        <w:rPr>
          <w:sz w:val="22"/>
          <w:szCs w:val="22"/>
        </w:rPr>
        <w:t xml:space="preserve">source </w:t>
      </w:r>
      <w:r w:rsidR="00351308" w:rsidRPr="005F26E3">
        <w:rPr>
          <w:sz w:val="22"/>
          <w:szCs w:val="22"/>
        </w:rPr>
        <w:t>regions</w:t>
      </w:r>
      <w:r w:rsidR="00917A3D" w:rsidRPr="005F26E3">
        <w:rPr>
          <w:sz w:val="22"/>
          <w:szCs w:val="22"/>
        </w:rPr>
        <w:t xml:space="preserve"> (such as the Perth Basin)</w:t>
      </w:r>
      <w:r w:rsidR="0094131F" w:rsidRPr="005F26E3">
        <w:rPr>
          <w:sz w:val="22"/>
          <w:szCs w:val="22"/>
        </w:rPr>
        <w:t>,</w:t>
      </w:r>
      <w:r w:rsidR="00351308" w:rsidRPr="005F26E3">
        <w:rPr>
          <w:sz w:val="22"/>
          <w:szCs w:val="22"/>
        </w:rPr>
        <w:t xml:space="preserve"> are left white. </w:t>
      </w:r>
      <w:r w:rsidR="00A73AD2" w:rsidRPr="005F26E3">
        <w:rPr>
          <w:sz w:val="22"/>
          <w:szCs w:val="22"/>
        </w:rPr>
        <w:t xml:space="preserve"> </w:t>
      </w:r>
    </w:p>
    <w:p w14:paraId="4F82D3FF" w14:textId="77777777" w:rsidR="005A6DDC" w:rsidRPr="00A707EA" w:rsidRDefault="005A6DDC" w:rsidP="00B50234">
      <w:pPr>
        <w:spacing w:after="160" w:line="259" w:lineRule="auto"/>
        <w:rPr>
          <w:color w:val="FF0000"/>
          <w:sz w:val="22"/>
          <w:szCs w:val="22"/>
        </w:rPr>
      </w:pPr>
    </w:p>
    <w:p w14:paraId="5529B8A7" w14:textId="77777777" w:rsidR="00BC4AE9" w:rsidRPr="00A707EA" w:rsidRDefault="00BC4AE9">
      <w:pPr>
        <w:spacing w:after="160" w:line="259" w:lineRule="auto"/>
        <w:rPr>
          <w:b/>
          <w:bCs/>
          <w:color w:val="FF0000"/>
        </w:rPr>
      </w:pPr>
      <w:r w:rsidRPr="00A707EA">
        <w:rPr>
          <w:b/>
          <w:bCs/>
          <w:color w:val="FF0000"/>
        </w:rPr>
        <w:br w:type="page"/>
      </w:r>
    </w:p>
    <w:p w14:paraId="332EEDF8" w14:textId="1ECA624C" w:rsidR="005A6DDC" w:rsidRPr="00215FCE" w:rsidRDefault="005A6DDC" w:rsidP="00B50234">
      <w:pPr>
        <w:spacing w:after="160" w:line="259" w:lineRule="auto"/>
        <w:rPr>
          <w:b/>
          <w:bCs/>
        </w:rPr>
      </w:pPr>
      <w:r w:rsidRPr="00215FCE">
        <w:rPr>
          <w:b/>
          <w:bCs/>
        </w:rPr>
        <w:lastRenderedPageBreak/>
        <w:t xml:space="preserve">Supplementary Figure 8  - Sedimentation rate in the </w:t>
      </w:r>
      <w:proofErr w:type="spellStart"/>
      <w:r w:rsidRPr="00215FCE">
        <w:rPr>
          <w:b/>
          <w:bCs/>
        </w:rPr>
        <w:t>Mentelle</w:t>
      </w:r>
      <w:proofErr w:type="spellEnd"/>
      <w:r w:rsidRPr="00215FCE">
        <w:rPr>
          <w:b/>
          <w:bCs/>
        </w:rPr>
        <w:t xml:space="preserve"> Basin</w:t>
      </w:r>
    </w:p>
    <w:p w14:paraId="76CBD575" w14:textId="183C9586" w:rsidR="00BC4AE9" w:rsidRPr="00A707EA" w:rsidRDefault="00BC4AE9" w:rsidP="00BC4AE9">
      <w:pPr>
        <w:spacing w:after="160" w:line="259" w:lineRule="auto"/>
        <w:rPr>
          <w:b/>
          <w:bCs/>
          <w:noProof/>
          <w:color w:val="FF0000"/>
        </w:rPr>
      </w:pPr>
      <w:r w:rsidRPr="00A707EA">
        <w:rPr>
          <w:b/>
          <w:bCs/>
          <w:noProof/>
          <w:color w:val="FF0000"/>
        </w:rPr>
        <w:drawing>
          <wp:inline distT="0" distB="0" distL="0" distR="0" wp14:anchorId="47F902BB" wp14:editId="4EF17259">
            <wp:extent cx="3827564" cy="5259308"/>
            <wp:effectExtent l="0" t="0" r="1905" b="0"/>
            <wp:docPr id="1249312923"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312923" name="Picture 1" descr="A screen shot of a graph&#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27564" cy="5259308"/>
                    </a:xfrm>
                    <a:prstGeom prst="rect">
                      <a:avLst/>
                    </a:prstGeom>
                  </pic:spPr>
                </pic:pic>
              </a:graphicData>
            </a:graphic>
          </wp:inline>
        </w:drawing>
      </w:r>
    </w:p>
    <w:p w14:paraId="6C690033" w14:textId="306A149A" w:rsidR="00BC4AE9" w:rsidRPr="00215FCE" w:rsidRDefault="00BC4AE9" w:rsidP="00BC4AE9">
      <w:pPr>
        <w:spacing w:after="160" w:line="259" w:lineRule="auto"/>
        <w:rPr>
          <w:noProof/>
        </w:rPr>
      </w:pPr>
      <w:r w:rsidRPr="00215FCE">
        <w:rPr>
          <w:b/>
          <w:bCs/>
          <w:noProof/>
        </w:rPr>
        <w:t>Sedimentation rate in the Mentelle Basin</w:t>
      </w:r>
      <w:r w:rsidR="001C23BC" w:rsidRPr="00215FCE">
        <w:rPr>
          <w:b/>
          <w:bCs/>
          <w:noProof/>
        </w:rPr>
        <w:t xml:space="preserve">. </w:t>
      </w:r>
      <w:r w:rsidR="009F7DF3" w:rsidRPr="00215FCE">
        <w:rPr>
          <w:noProof/>
        </w:rPr>
        <w:t xml:space="preserve">Age depth plot above, and 1pt. smoothing spline </w:t>
      </w:r>
      <w:r w:rsidR="007664ED" w:rsidRPr="00215FCE">
        <w:rPr>
          <w:noProof/>
        </w:rPr>
        <w:t>demonstrating high sedimentation rate across O</w:t>
      </w:r>
      <w:r w:rsidR="00B708F0" w:rsidRPr="00215FCE">
        <w:rPr>
          <w:noProof/>
        </w:rPr>
        <w:t xml:space="preserve">cean </w:t>
      </w:r>
      <w:r w:rsidR="007664ED" w:rsidRPr="00215FCE">
        <w:rPr>
          <w:noProof/>
        </w:rPr>
        <w:t>A</w:t>
      </w:r>
      <w:r w:rsidR="00B708F0" w:rsidRPr="00215FCE">
        <w:rPr>
          <w:noProof/>
        </w:rPr>
        <w:t xml:space="preserve">noxic </w:t>
      </w:r>
      <w:r w:rsidR="007664ED" w:rsidRPr="00215FCE">
        <w:rPr>
          <w:noProof/>
        </w:rPr>
        <w:t>E</w:t>
      </w:r>
      <w:r w:rsidR="00B708F0" w:rsidRPr="00215FCE">
        <w:rPr>
          <w:noProof/>
        </w:rPr>
        <w:t xml:space="preserve">vent </w:t>
      </w:r>
      <w:r w:rsidR="007664ED" w:rsidRPr="00215FCE">
        <w:rPr>
          <w:noProof/>
        </w:rPr>
        <w:t>2 below.</w:t>
      </w:r>
    </w:p>
    <w:p w14:paraId="4CA7518B" w14:textId="121DFA83" w:rsidR="00B50234" w:rsidRPr="001127E0" w:rsidRDefault="00B50234" w:rsidP="00B50234">
      <w:pPr>
        <w:tabs>
          <w:tab w:val="left" w:pos="2430"/>
        </w:tabs>
        <w:rPr>
          <w:b/>
          <w:bCs/>
        </w:rPr>
      </w:pPr>
      <w:r w:rsidRPr="001127E0">
        <w:rPr>
          <w:b/>
          <w:bCs/>
        </w:rPr>
        <w:lastRenderedPageBreak/>
        <w:t xml:space="preserve">Supplementary Figure </w:t>
      </w:r>
      <w:r w:rsidR="00E872E5">
        <w:rPr>
          <w:b/>
          <w:bCs/>
        </w:rPr>
        <w:t>9</w:t>
      </w:r>
      <w:r w:rsidRPr="001127E0">
        <w:rPr>
          <w:b/>
          <w:bCs/>
        </w:rPr>
        <w:t xml:space="preserve"> </w:t>
      </w:r>
      <w:r>
        <w:rPr>
          <w:b/>
          <w:bCs/>
        </w:rPr>
        <w:t xml:space="preserve">–Strong correlation between </w:t>
      </w:r>
      <w:r w:rsidR="00B708F0">
        <w:rPr>
          <w:b/>
          <w:bCs/>
        </w:rPr>
        <w:t>mercury</w:t>
      </w:r>
      <w:r>
        <w:rPr>
          <w:b/>
          <w:bCs/>
        </w:rPr>
        <w:t xml:space="preserve"> and T</w:t>
      </w:r>
      <w:r w:rsidR="00B708F0">
        <w:rPr>
          <w:b/>
          <w:bCs/>
        </w:rPr>
        <w:t xml:space="preserve">otal </w:t>
      </w:r>
      <w:r>
        <w:rPr>
          <w:b/>
          <w:bCs/>
        </w:rPr>
        <w:t>O</w:t>
      </w:r>
      <w:r w:rsidR="00B708F0">
        <w:rPr>
          <w:b/>
          <w:bCs/>
        </w:rPr>
        <w:t xml:space="preserve">rganic </w:t>
      </w:r>
      <w:r>
        <w:rPr>
          <w:b/>
          <w:bCs/>
        </w:rPr>
        <w:t>C</w:t>
      </w:r>
      <w:r w:rsidR="00B708F0">
        <w:rPr>
          <w:b/>
          <w:bCs/>
        </w:rPr>
        <w:t>arbon</w:t>
      </w:r>
      <w:r>
        <w:rPr>
          <w:b/>
          <w:bCs/>
          <w:noProof/>
        </w:rPr>
        <w:drawing>
          <wp:inline distT="0" distB="0" distL="0" distR="0" wp14:anchorId="6C778D1A" wp14:editId="416D1F2C">
            <wp:extent cx="5731510" cy="8482965"/>
            <wp:effectExtent l="0" t="0" r="2540" b="0"/>
            <wp:docPr id="15" name="Picture 15" descr="A picture containing screenshot, line,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upplementary Fig. 6 Asset 8U1513.png"/>
                    <pic:cNvPicPr/>
                  </pic:nvPicPr>
                  <pic:blipFill rotWithShape="1">
                    <a:blip r:embed="rId20"/>
                    <a:srcRect t="2978"/>
                    <a:stretch/>
                  </pic:blipFill>
                  <pic:spPr bwMode="auto">
                    <a:xfrm>
                      <a:off x="0" y="0"/>
                      <a:ext cx="5731510" cy="8482965"/>
                    </a:xfrm>
                    <a:prstGeom prst="rect">
                      <a:avLst/>
                    </a:prstGeom>
                    <a:ln>
                      <a:noFill/>
                    </a:ln>
                    <a:extLst>
                      <a:ext uri="{53640926-AAD7-44D8-BBD7-CCE9431645EC}">
                        <a14:shadowObscured xmlns:a14="http://schemas.microsoft.com/office/drawing/2010/main"/>
                      </a:ext>
                    </a:extLst>
                  </pic:spPr>
                </pic:pic>
              </a:graphicData>
            </a:graphic>
          </wp:inline>
        </w:drawing>
      </w:r>
    </w:p>
    <w:p w14:paraId="49F01018" w14:textId="77777777" w:rsidR="00B50234" w:rsidRDefault="00B50234" w:rsidP="00B50234">
      <w:pPr>
        <w:tabs>
          <w:tab w:val="left" w:pos="2430"/>
        </w:tabs>
        <w:rPr>
          <w:b/>
          <w:bCs/>
        </w:rPr>
      </w:pPr>
      <w:r>
        <w:rPr>
          <w:b/>
          <w:bCs/>
          <w:noProof/>
        </w:rPr>
        <w:lastRenderedPageBreak/>
        <w:drawing>
          <wp:inline distT="0" distB="0" distL="0" distR="0" wp14:anchorId="1251B739" wp14:editId="63EED02F">
            <wp:extent cx="5731510" cy="84226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pplementary Fig. 6 Asset 10U1516.png"/>
                    <pic:cNvPicPr/>
                  </pic:nvPicPr>
                  <pic:blipFill rotWithShape="1">
                    <a:blip r:embed="rId21"/>
                    <a:srcRect t="3981"/>
                    <a:stretch/>
                  </pic:blipFill>
                  <pic:spPr bwMode="auto">
                    <a:xfrm>
                      <a:off x="0" y="0"/>
                      <a:ext cx="5731510" cy="8422640"/>
                    </a:xfrm>
                    <a:prstGeom prst="rect">
                      <a:avLst/>
                    </a:prstGeom>
                    <a:ln>
                      <a:noFill/>
                    </a:ln>
                    <a:extLst>
                      <a:ext uri="{53640926-AAD7-44D8-BBD7-CCE9431645EC}">
                        <a14:shadowObscured xmlns:a14="http://schemas.microsoft.com/office/drawing/2010/main"/>
                      </a:ext>
                    </a:extLst>
                  </pic:spPr>
                </pic:pic>
              </a:graphicData>
            </a:graphic>
          </wp:inline>
        </w:drawing>
      </w:r>
    </w:p>
    <w:p w14:paraId="6D2AABF3" w14:textId="14660B19" w:rsidR="008E2C7E" w:rsidRDefault="00B50234" w:rsidP="00B50234">
      <w:pPr>
        <w:tabs>
          <w:tab w:val="left" w:pos="2430"/>
        </w:tabs>
        <w:rPr>
          <w:sz w:val="22"/>
          <w:szCs w:val="22"/>
        </w:rPr>
      </w:pPr>
      <w:r w:rsidRPr="00321D76">
        <w:rPr>
          <w:b/>
          <w:bCs/>
          <w:sz w:val="22"/>
          <w:szCs w:val="22"/>
        </w:rPr>
        <w:t xml:space="preserve">Strong </w:t>
      </w:r>
      <w:r>
        <w:rPr>
          <w:b/>
          <w:bCs/>
          <w:sz w:val="22"/>
          <w:szCs w:val="22"/>
        </w:rPr>
        <w:t>correlation</w:t>
      </w:r>
      <w:r w:rsidRPr="00321D76">
        <w:rPr>
          <w:b/>
          <w:bCs/>
          <w:sz w:val="22"/>
          <w:szCs w:val="22"/>
        </w:rPr>
        <w:t xml:space="preserve"> between </w:t>
      </w:r>
      <w:r w:rsidR="00FC50C1">
        <w:rPr>
          <w:b/>
          <w:bCs/>
          <w:sz w:val="22"/>
          <w:szCs w:val="22"/>
        </w:rPr>
        <w:t>m</w:t>
      </w:r>
      <w:r w:rsidR="00B708F0">
        <w:rPr>
          <w:b/>
          <w:bCs/>
          <w:sz w:val="22"/>
          <w:szCs w:val="22"/>
        </w:rPr>
        <w:t>ercury</w:t>
      </w:r>
      <w:r w:rsidRPr="00321D76">
        <w:rPr>
          <w:b/>
          <w:bCs/>
          <w:sz w:val="22"/>
          <w:szCs w:val="22"/>
        </w:rPr>
        <w:t xml:space="preserve"> and T</w:t>
      </w:r>
      <w:r w:rsidR="00B708F0">
        <w:rPr>
          <w:b/>
          <w:bCs/>
          <w:sz w:val="22"/>
          <w:szCs w:val="22"/>
        </w:rPr>
        <w:t xml:space="preserve">otal </w:t>
      </w:r>
      <w:r w:rsidRPr="00321D76">
        <w:rPr>
          <w:b/>
          <w:bCs/>
          <w:sz w:val="22"/>
          <w:szCs w:val="22"/>
        </w:rPr>
        <w:t>O</w:t>
      </w:r>
      <w:r w:rsidR="00B708F0">
        <w:rPr>
          <w:b/>
          <w:bCs/>
          <w:sz w:val="22"/>
          <w:szCs w:val="22"/>
        </w:rPr>
        <w:t xml:space="preserve">rganic </w:t>
      </w:r>
      <w:r w:rsidRPr="00321D76">
        <w:rPr>
          <w:b/>
          <w:bCs/>
          <w:sz w:val="22"/>
          <w:szCs w:val="22"/>
        </w:rPr>
        <w:t>C</w:t>
      </w:r>
      <w:r w:rsidR="00B708F0">
        <w:rPr>
          <w:b/>
          <w:bCs/>
          <w:sz w:val="22"/>
          <w:szCs w:val="22"/>
        </w:rPr>
        <w:t>arbon</w:t>
      </w:r>
      <w:r w:rsidRPr="00321D76">
        <w:rPr>
          <w:b/>
          <w:bCs/>
          <w:sz w:val="22"/>
          <w:szCs w:val="22"/>
        </w:rPr>
        <w:t>.</w:t>
      </w:r>
      <w:r w:rsidRPr="00321D76">
        <w:rPr>
          <w:sz w:val="22"/>
          <w:szCs w:val="22"/>
        </w:rPr>
        <w:t xml:space="preserve"> </w:t>
      </w:r>
      <w:r>
        <w:rPr>
          <w:sz w:val="22"/>
          <w:szCs w:val="22"/>
        </w:rPr>
        <w:t xml:space="preserve">Plots from </w:t>
      </w:r>
      <w:r w:rsidRPr="00321D76">
        <w:rPr>
          <w:sz w:val="22"/>
          <w:szCs w:val="22"/>
        </w:rPr>
        <w:t xml:space="preserve">U1513 </w:t>
      </w:r>
      <w:r>
        <w:rPr>
          <w:sz w:val="22"/>
          <w:szCs w:val="22"/>
        </w:rPr>
        <w:t xml:space="preserve">(a – </w:t>
      </w:r>
      <w:proofErr w:type="spellStart"/>
      <w:r>
        <w:rPr>
          <w:sz w:val="22"/>
          <w:szCs w:val="22"/>
        </w:rPr>
        <w:t>i</w:t>
      </w:r>
      <w:proofErr w:type="spellEnd"/>
      <w:r>
        <w:rPr>
          <w:sz w:val="22"/>
          <w:szCs w:val="22"/>
        </w:rPr>
        <w:t xml:space="preserve">) </w:t>
      </w:r>
      <w:r w:rsidRPr="00321D76">
        <w:rPr>
          <w:sz w:val="22"/>
          <w:szCs w:val="22"/>
        </w:rPr>
        <w:t>and U1516</w:t>
      </w:r>
      <w:r>
        <w:rPr>
          <w:sz w:val="22"/>
          <w:szCs w:val="22"/>
        </w:rPr>
        <w:t xml:space="preserve"> (j – n) show relationship between Hg and TOC/Fe/Al/S</w:t>
      </w:r>
      <w:r w:rsidRPr="00321D76">
        <w:rPr>
          <w:sz w:val="22"/>
          <w:szCs w:val="22"/>
        </w:rPr>
        <w:t>. Linear trend strength is displayed in the R</w:t>
      </w:r>
      <w:r w:rsidRPr="00321D76">
        <w:rPr>
          <w:sz w:val="22"/>
          <w:szCs w:val="22"/>
          <w:vertAlign w:val="superscript"/>
        </w:rPr>
        <w:t>2</w:t>
      </w:r>
      <w:r w:rsidRPr="00321D76">
        <w:rPr>
          <w:sz w:val="22"/>
          <w:szCs w:val="22"/>
        </w:rPr>
        <w:t xml:space="preserve"> </w:t>
      </w:r>
      <w:r w:rsidRPr="00321D76">
        <w:rPr>
          <w:sz w:val="22"/>
          <w:szCs w:val="22"/>
        </w:rPr>
        <w:lastRenderedPageBreak/>
        <w:t xml:space="preserve">value on each </w:t>
      </w:r>
      <w:r>
        <w:rPr>
          <w:sz w:val="22"/>
          <w:szCs w:val="22"/>
        </w:rPr>
        <w:t>plot</w:t>
      </w:r>
      <w:r w:rsidRPr="00321D76">
        <w:rPr>
          <w:sz w:val="22"/>
          <w:szCs w:val="22"/>
        </w:rPr>
        <w:t>.</w:t>
      </w:r>
      <w:r>
        <w:rPr>
          <w:sz w:val="22"/>
          <w:szCs w:val="22"/>
        </w:rPr>
        <w:t xml:space="preserve"> </w:t>
      </w:r>
      <w:r w:rsidRPr="00321D76">
        <w:rPr>
          <w:sz w:val="22"/>
          <w:szCs w:val="22"/>
        </w:rPr>
        <w:t xml:space="preserve">Al, Fe and S </w:t>
      </w:r>
      <w:r>
        <w:rPr>
          <w:sz w:val="22"/>
          <w:szCs w:val="22"/>
        </w:rPr>
        <w:t xml:space="preserve">data are </w:t>
      </w:r>
      <w:r w:rsidRPr="00321D76">
        <w:rPr>
          <w:sz w:val="22"/>
          <w:szCs w:val="22"/>
        </w:rPr>
        <w:t xml:space="preserve">counts from </w:t>
      </w:r>
      <w:r w:rsidR="008E2C7E">
        <w:rPr>
          <w:sz w:val="22"/>
          <w:szCs w:val="22"/>
        </w:rPr>
        <w:t>core scanning</w:t>
      </w:r>
      <w:r>
        <w:rPr>
          <w:sz w:val="22"/>
          <w:szCs w:val="22"/>
        </w:rPr>
        <w:t xml:space="preserve"> </w:t>
      </w:r>
      <w:r w:rsidRPr="00321D76">
        <w:rPr>
          <w:sz w:val="22"/>
          <w:szCs w:val="22"/>
        </w:rPr>
        <w:t xml:space="preserve">XRF. </w:t>
      </w:r>
      <w:r>
        <w:rPr>
          <w:sz w:val="22"/>
          <w:szCs w:val="22"/>
        </w:rPr>
        <w:t>R</w:t>
      </w:r>
      <w:r w:rsidRPr="00321D76">
        <w:rPr>
          <w:sz w:val="22"/>
          <w:szCs w:val="22"/>
        </w:rPr>
        <w:t xml:space="preserve">elationships </w:t>
      </w:r>
      <w:r>
        <w:rPr>
          <w:sz w:val="22"/>
          <w:szCs w:val="22"/>
        </w:rPr>
        <w:t xml:space="preserve">between Hg and Al/Fe/S </w:t>
      </w:r>
      <w:r w:rsidRPr="00321D76">
        <w:rPr>
          <w:sz w:val="22"/>
          <w:szCs w:val="22"/>
        </w:rPr>
        <w:t>are considerably weaker than the relationship between Hg and TOC, even after the removal of exceptionally high Fe or S values.</w:t>
      </w:r>
      <w:r>
        <w:rPr>
          <w:sz w:val="22"/>
          <w:szCs w:val="22"/>
        </w:rPr>
        <w:t xml:space="preserve"> </w:t>
      </w:r>
    </w:p>
    <w:p w14:paraId="18A5DE06" w14:textId="7272B589" w:rsidR="008E2C7E" w:rsidRDefault="00B50234" w:rsidP="00B50234">
      <w:pPr>
        <w:tabs>
          <w:tab w:val="left" w:pos="2430"/>
        </w:tabs>
        <w:rPr>
          <w:sz w:val="22"/>
          <w:szCs w:val="22"/>
        </w:rPr>
      </w:pPr>
      <w:r w:rsidRPr="00E7222D">
        <w:rPr>
          <w:b/>
          <w:bCs/>
          <w:sz w:val="22"/>
          <w:szCs w:val="22"/>
        </w:rPr>
        <w:t xml:space="preserve">U1513 (a – </w:t>
      </w:r>
      <w:proofErr w:type="spellStart"/>
      <w:r w:rsidRPr="00E7222D">
        <w:rPr>
          <w:b/>
          <w:bCs/>
          <w:sz w:val="22"/>
          <w:szCs w:val="22"/>
        </w:rPr>
        <w:t>i</w:t>
      </w:r>
      <w:proofErr w:type="spellEnd"/>
      <w:r w:rsidRPr="00E7222D">
        <w:rPr>
          <w:b/>
          <w:bCs/>
          <w:sz w:val="22"/>
          <w:szCs w:val="22"/>
        </w:rPr>
        <w:t>)</w:t>
      </w:r>
      <w:r w:rsidRPr="00BE6530">
        <w:rPr>
          <w:sz w:val="22"/>
          <w:szCs w:val="22"/>
        </w:rPr>
        <w:t>: a) TOC &gt; 0.2%</w:t>
      </w:r>
      <w:r w:rsidRPr="00112E5C">
        <w:rPr>
          <w:sz w:val="22"/>
          <w:szCs w:val="22"/>
        </w:rPr>
        <w:t xml:space="preserve">, </w:t>
      </w:r>
      <w:r w:rsidRPr="00B145F9">
        <w:rPr>
          <w:sz w:val="22"/>
          <w:szCs w:val="22"/>
        </w:rPr>
        <w:t>R</w:t>
      </w:r>
      <w:r w:rsidRPr="00B145F9">
        <w:rPr>
          <w:sz w:val="22"/>
          <w:szCs w:val="22"/>
          <w:vertAlign w:val="superscript"/>
        </w:rPr>
        <w:t>2</w:t>
      </w:r>
      <w:r w:rsidRPr="00B145F9">
        <w:rPr>
          <w:sz w:val="22"/>
          <w:szCs w:val="22"/>
        </w:rPr>
        <w:t xml:space="preserve"> = 0.1925. Value is heavily influenced by anomalously high TOC in samples </w:t>
      </w:r>
      <w:r w:rsidR="008E2C7E" w:rsidRPr="00B145F9">
        <w:rPr>
          <w:sz w:val="22"/>
          <w:szCs w:val="22"/>
        </w:rPr>
        <w:t>from</w:t>
      </w:r>
      <w:r w:rsidRPr="00B145F9">
        <w:rPr>
          <w:sz w:val="22"/>
          <w:szCs w:val="22"/>
        </w:rPr>
        <w:t xml:space="preserve"> the black shale horizon within OAE2. b)  0.2 % &gt; TOC &lt; 3 %, removing the high TOC values. R</w:t>
      </w:r>
      <w:r w:rsidRPr="00B145F9">
        <w:rPr>
          <w:sz w:val="22"/>
          <w:szCs w:val="22"/>
          <w:vertAlign w:val="superscript"/>
        </w:rPr>
        <w:t>2</w:t>
      </w:r>
      <w:r w:rsidRPr="00B145F9">
        <w:rPr>
          <w:sz w:val="22"/>
          <w:szCs w:val="22"/>
        </w:rPr>
        <w:t xml:space="preserve"> = 0.4407. c) further reducing the included values to 0.2 % &gt; TOC &lt; 2 % weakens the relationship between Hg and TOC - R</w:t>
      </w:r>
      <w:r w:rsidRPr="00B145F9">
        <w:rPr>
          <w:sz w:val="22"/>
          <w:szCs w:val="22"/>
          <w:vertAlign w:val="superscript"/>
        </w:rPr>
        <w:t>2</w:t>
      </w:r>
      <w:r w:rsidRPr="00B145F9">
        <w:rPr>
          <w:sz w:val="22"/>
          <w:szCs w:val="22"/>
        </w:rPr>
        <w:t xml:space="preserve"> = 0.3652.</w:t>
      </w:r>
      <w:r w:rsidRPr="00BE6530">
        <w:rPr>
          <w:sz w:val="22"/>
          <w:szCs w:val="22"/>
        </w:rPr>
        <w:t xml:space="preserve"> e) Weak </w:t>
      </w:r>
      <w:r>
        <w:rPr>
          <w:sz w:val="22"/>
          <w:szCs w:val="22"/>
        </w:rPr>
        <w:t>correlation</w:t>
      </w:r>
      <w:r w:rsidRPr="00BE6530">
        <w:rPr>
          <w:sz w:val="22"/>
          <w:szCs w:val="22"/>
        </w:rPr>
        <w:t xml:space="preserve"> between Hg and Fe </w:t>
      </w:r>
      <w:r>
        <w:rPr>
          <w:sz w:val="22"/>
          <w:szCs w:val="22"/>
        </w:rPr>
        <w:t xml:space="preserve">counts </w:t>
      </w:r>
      <w:r w:rsidRPr="00BE6530">
        <w:rPr>
          <w:sz w:val="22"/>
          <w:szCs w:val="22"/>
        </w:rPr>
        <w:t xml:space="preserve">- </w:t>
      </w:r>
      <w:r w:rsidRPr="00B145F9">
        <w:rPr>
          <w:sz w:val="22"/>
          <w:szCs w:val="22"/>
        </w:rPr>
        <w:t>R</w:t>
      </w:r>
      <w:r w:rsidRPr="00B145F9">
        <w:rPr>
          <w:sz w:val="22"/>
          <w:szCs w:val="22"/>
          <w:vertAlign w:val="superscript"/>
        </w:rPr>
        <w:t>2</w:t>
      </w:r>
      <w:r w:rsidRPr="00B145F9">
        <w:rPr>
          <w:sz w:val="22"/>
          <w:szCs w:val="22"/>
        </w:rPr>
        <w:t xml:space="preserve"> = 0.0513.</w:t>
      </w:r>
      <w:r>
        <w:rPr>
          <w:sz w:val="22"/>
          <w:szCs w:val="22"/>
        </w:rPr>
        <w:t xml:space="preserve"> f) correlation remains weak after excluding the sample with an exceptionally high Fe count (Fe &lt; 150,000) - </w:t>
      </w:r>
      <w:r w:rsidRPr="00B145F9">
        <w:rPr>
          <w:sz w:val="22"/>
          <w:szCs w:val="22"/>
        </w:rPr>
        <w:t>R</w:t>
      </w:r>
      <w:r w:rsidRPr="00B145F9">
        <w:rPr>
          <w:sz w:val="22"/>
          <w:szCs w:val="22"/>
          <w:vertAlign w:val="superscript"/>
        </w:rPr>
        <w:t>2</w:t>
      </w:r>
      <w:r w:rsidRPr="00B145F9">
        <w:rPr>
          <w:sz w:val="22"/>
          <w:szCs w:val="22"/>
        </w:rPr>
        <w:t xml:space="preserve"> = 0.0</w:t>
      </w:r>
      <w:r>
        <w:rPr>
          <w:sz w:val="22"/>
          <w:szCs w:val="22"/>
        </w:rPr>
        <w:t xml:space="preserve">310. f) Weak correlation between Hg and S counts - </w:t>
      </w:r>
      <w:r w:rsidRPr="00B145F9">
        <w:rPr>
          <w:sz w:val="22"/>
          <w:szCs w:val="22"/>
        </w:rPr>
        <w:t>R</w:t>
      </w:r>
      <w:r w:rsidRPr="00B145F9">
        <w:rPr>
          <w:sz w:val="22"/>
          <w:szCs w:val="22"/>
          <w:vertAlign w:val="superscript"/>
        </w:rPr>
        <w:t>2</w:t>
      </w:r>
      <w:r w:rsidRPr="00B145F9">
        <w:rPr>
          <w:sz w:val="22"/>
          <w:szCs w:val="22"/>
        </w:rPr>
        <w:t xml:space="preserve"> = 0.0</w:t>
      </w:r>
      <w:r>
        <w:rPr>
          <w:sz w:val="22"/>
          <w:szCs w:val="22"/>
        </w:rPr>
        <w:t xml:space="preserve">269. g) Excluding the </w:t>
      </w:r>
      <w:r w:rsidR="008E2C7E">
        <w:rPr>
          <w:sz w:val="22"/>
          <w:szCs w:val="22"/>
        </w:rPr>
        <w:t>anomalously</w:t>
      </w:r>
      <w:r>
        <w:rPr>
          <w:sz w:val="22"/>
          <w:szCs w:val="22"/>
        </w:rPr>
        <w:t xml:space="preserve"> high S value (S &lt; 50,000) still results in a weak correlation - </w:t>
      </w:r>
      <w:r w:rsidRPr="00B145F9">
        <w:rPr>
          <w:sz w:val="22"/>
          <w:szCs w:val="22"/>
        </w:rPr>
        <w:t>R</w:t>
      </w:r>
      <w:r w:rsidRPr="00B145F9">
        <w:rPr>
          <w:sz w:val="22"/>
          <w:szCs w:val="22"/>
          <w:vertAlign w:val="superscript"/>
        </w:rPr>
        <w:t>2</w:t>
      </w:r>
      <w:r w:rsidRPr="00B145F9">
        <w:rPr>
          <w:sz w:val="22"/>
          <w:szCs w:val="22"/>
        </w:rPr>
        <w:t xml:space="preserve"> = 0.0</w:t>
      </w:r>
      <w:r>
        <w:rPr>
          <w:sz w:val="22"/>
          <w:szCs w:val="22"/>
        </w:rPr>
        <w:t>822. h) Excluding S counts &gt; 8000 strengthens the correlation (</w:t>
      </w:r>
      <w:r w:rsidRPr="00B145F9">
        <w:rPr>
          <w:sz w:val="22"/>
          <w:szCs w:val="22"/>
        </w:rPr>
        <w:t>R</w:t>
      </w:r>
      <w:r w:rsidRPr="00B145F9">
        <w:rPr>
          <w:sz w:val="22"/>
          <w:szCs w:val="22"/>
          <w:vertAlign w:val="superscript"/>
        </w:rPr>
        <w:t>2</w:t>
      </w:r>
      <w:r w:rsidRPr="00B145F9">
        <w:rPr>
          <w:sz w:val="22"/>
          <w:szCs w:val="22"/>
        </w:rPr>
        <w:t xml:space="preserve"> = 0.</w:t>
      </w:r>
      <w:r>
        <w:rPr>
          <w:sz w:val="22"/>
          <w:szCs w:val="22"/>
        </w:rPr>
        <w:t xml:space="preserve">1237), but this is still considerably weaker than the correlation between Hg and TOC. </w:t>
      </w:r>
      <w:proofErr w:type="spellStart"/>
      <w:r>
        <w:rPr>
          <w:sz w:val="22"/>
          <w:szCs w:val="22"/>
        </w:rPr>
        <w:t>i</w:t>
      </w:r>
      <w:proofErr w:type="spellEnd"/>
      <w:r>
        <w:rPr>
          <w:sz w:val="22"/>
          <w:szCs w:val="22"/>
        </w:rPr>
        <w:t xml:space="preserve">) Weak correlation between Hg and Al - </w:t>
      </w:r>
      <w:r w:rsidRPr="00B145F9">
        <w:rPr>
          <w:sz w:val="22"/>
          <w:szCs w:val="22"/>
        </w:rPr>
        <w:t>R</w:t>
      </w:r>
      <w:r w:rsidRPr="00B145F9">
        <w:rPr>
          <w:sz w:val="22"/>
          <w:szCs w:val="22"/>
          <w:vertAlign w:val="superscript"/>
        </w:rPr>
        <w:t>2</w:t>
      </w:r>
      <w:r w:rsidRPr="00B145F9">
        <w:rPr>
          <w:sz w:val="22"/>
          <w:szCs w:val="22"/>
        </w:rPr>
        <w:t xml:space="preserve"> = 0</w:t>
      </w:r>
      <w:r>
        <w:rPr>
          <w:sz w:val="22"/>
          <w:szCs w:val="22"/>
        </w:rPr>
        <w:t xml:space="preserve">.005. </w:t>
      </w:r>
    </w:p>
    <w:p w14:paraId="19A65751" w14:textId="68583D93" w:rsidR="00B50234" w:rsidRDefault="00B50234" w:rsidP="00B50234">
      <w:pPr>
        <w:tabs>
          <w:tab w:val="left" w:pos="2430"/>
        </w:tabs>
        <w:rPr>
          <w:sz w:val="22"/>
          <w:szCs w:val="22"/>
        </w:rPr>
      </w:pPr>
      <w:r w:rsidRPr="00E7222D">
        <w:rPr>
          <w:b/>
          <w:bCs/>
          <w:sz w:val="22"/>
          <w:szCs w:val="22"/>
        </w:rPr>
        <w:t>U1516 (j – n)</w:t>
      </w:r>
      <w:r>
        <w:rPr>
          <w:sz w:val="22"/>
          <w:szCs w:val="22"/>
        </w:rPr>
        <w:t xml:space="preserve">: j) </w:t>
      </w:r>
      <w:r w:rsidRPr="00BE6530">
        <w:rPr>
          <w:sz w:val="22"/>
          <w:szCs w:val="22"/>
        </w:rPr>
        <w:t>TOC &gt; 0.2%</w:t>
      </w:r>
      <w:r w:rsidRPr="00112E5C">
        <w:rPr>
          <w:sz w:val="22"/>
          <w:szCs w:val="22"/>
        </w:rPr>
        <w:t xml:space="preserve">, </w:t>
      </w:r>
      <w:r w:rsidRPr="00B145F9">
        <w:rPr>
          <w:sz w:val="22"/>
          <w:szCs w:val="22"/>
        </w:rPr>
        <w:t>R</w:t>
      </w:r>
      <w:r w:rsidRPr="00B145F9">
        <w:rPr>
          <w:sz w:val="22"/>
          <w:szCs w:val="22"/>
          <w:vertAlign w:val="superscript"/>
        </w:rPr>
        <w:t>2</w:t>
      </w:r>
      <w:r w:rsidRPr="00B145F9">
        <w:rPr>
          <w:sz w:val="22"/>
          <w:szCs w:val="22"/>
        </w:rPr>
        <w:t xml:space="preserve"> = 0.1</w:t>
      </w:r>
      <w:r>
        <w:rPr>
          <w:sz w:val="22"/>
          <w:szCs w:val="22"/>
        </w:rPr>
        <w:t>708</w:t>
      </w:r>
      <w:r w:rsidRPr="00B145F9">
        <w:rPr>
          <w:sz w:val="22"/>
          <w:szCs w:val="22"/>
        </w:rPr>
        <w:t xml:space="preserve">. Value influenced by anomalously high TOC in samples </w:t>
      </w:r>
      <w:r w:rsidR="008E2C7E" w:rsidRPr="00B145F9">
        <w:rPr>
          <w:sz w:val="22"/>
          <w:szCs w:val="22"/>
        </w:rPr>
        <w:t>from</w:t>
      </w:r>
      <w:r w:rsidRPr="00B145F9">
        <w:rPr>
          <w:sz w:val="22"/>
          <w:szCs w:val="22"/>
        </w:rPr>
        <w:t xml:space="preserve"> the black shale horizon</w:t>
      </w:r>
      <w:r>
        <w:rPr>
          <w:sz w:val="22"/>
          <w:szCs w:val="22"/>
        </w:rPr>
        <w:t>s</w:t>
      </w:r>
      <w:r w:rsidRPr="00B145F9">
        <w:rPr>
          <w:sz w:val="22"/>
          <w:szCs w:val="22"/>
        </w:rPr>
        <w:t xml:space="preserve"> within OAE2.</w:t>
      </w:r>
      <w:r w:rsidRPr="00F929A6">
        <w:rPr>
          <w:sz w:val="22"/>
          <w:szCs w:val="22"/>
        </w:rPr>
        <w:t xml:space="preserve"> </w:t>
      </w:r>
      <w:r>
        <w:rPr>
          <w:sz w:val="22"/>
          <w:szCs w:val="22"/>
        </w:rPr>
        <w:t>k</w:t>
      </w:r>
      <w:r w:rsidRPr="00B145F9">
        <w:rPr>
          <w:sz w:val="22"/>
          <w:szCs w:val="22"/>
        </w:rPr>
        <w:t>)  0.2 % &gt; TOC &lt; 3 %, removing the high TOC values. R</w:t>
      </w:r>
      <w:r w:rsidRPr="00B145F9">
        <w:rPr>
          <w:sz w:val="22"/>
          <w:szCs w:val="22"/>
          <w:vertAlign w:val="superscript"/>
        </w:rPr>
        <w:t>2</w:t>
      </w:r>
      <w:r w:rsidRPr="00B145F9">
        <w:rPr>
          <w:sz w:val="22"/>
          <w:szCs w:val="22"/>
        </w:rPr>
        <w:t xml:space="preserve"> = 0.</w:t>
      </w:r>
      <w:r>
        <w:rPr>
          <w:sz w:val="22"/>
          <w:szCs w:val="22"/>
        </w:rPr>
        <w:t>1738</w:t>
      </w:r>
      <w:r w:rsidRPr="00B145F9">
        <w:rPr>
          <w:sz w:val="22"/>
          <w:szCs w:val="22"/>
        </w:rPr>
        <w:t xml:space="preserve">. </w:t>
      </w:r>
      <w:r>
        <w:rPr>
          <w:sz w:val="22"/>
          <w:szCs w:val="22"/>
        </w:rPr>
        <w:t>l</w:t>
      </w:r>
      <w:r w:rsidRPr="00B145F9">
        <w:rPr>
          <w:sz w:val="22"/>
          <w:szCs w:val="22"/>
        </w:rPr>
        <w:t xml:space="preserve">) further reducing the included values to 0.2 % &gt; TOC &lt; 2 % </w:t>
      </w:r>
      <w:r>
        <w:rPr>
          <w:sz w:val="22"/>
          <w:szCs w:val="22"/>
        </w:rPr>
        <w:t>strengthens</w:t>
      </w:r>
      <w:r w:rsidRPr="00B145F9">
        <w:rPr>
          <w:sz w:val="22"/>
          <w:szCs w:val="22"/>
        </w:rPr>
        <w:t xml:space="preserve"> the relationship between Hg and TOC - R</w:t>
      </w:r>
      <w:r w:rsidRPr="00B145F9">
        <w:rPr>
          <w:sz w:val="22"/>
          <w:szCs w:val="22"/>
          <w:vertAlign w:val="superscript"/>
        </w:rPr>
        <w:t>2</w:t>
      </w:r>
      <w:r w:rsidRPr="00B145F9">
        <w:rPr>
          <w:sz w:val="22"/>
          <w:szCs w:val="22"/>
        </w:rPr>
        <w:t xml:space="preserve"> = 0.</w:t>
      </w:r>
      <w:r>
        <w:rPr>
          <w:sz w:val="22"/>
          <w:szCs w:val="22"/>
        </w:rPr>
        <w:t>2858</w:t>
      </w:r>
      <w:r w:rsidRPr="00B145F9">
        <w:rPr>
          <w:sz w:val="22"/>
          <w:szCs w:val="22"/>
        </w:rPr>
        <w:t>.</w:t>
      </w:r>
      <w:r w:rsidRPr="00BE6530">
        <w:rPr>
          <w:sz w:val="22"/>
          <w:szCs w:val="22"/>
        </w:rPr>
        <w:t xml:space="preserve"> </w:t>
      </w:r>
      <w:r>
        <w:rPr>
          <w:sz w:val="22"/>
          <w:szCs w:val="22"/>
        </w:rPr>
        <w:t>m</w:t>
      </w:r>
      <w:r w:rsidRPr="00BE6530">
        <w:rPr>
          <w:sz w:val="22"/>
          <w:szCs w:val="22"/>
        </w:rPr>
        <w:t xml:space="preserve">) Weak </w:t>
      </w:r>
      <w:r>
        <w:rPr>
          <w:sz w:val="22"/>
          <w:szCs w:val="22"/>
        </w:rPr>
        <w:t>correlation</w:t>
      </w:r>
      <w:r w:rsidRPr="00BE6530">
        <w:rPr>
          <w:sz w:val="22"/>
          <w:szCs w:val="22"/>
        </w:rPr>
        <w:t xml:space="preserve"> between Hg and Fe </w:t>
      </w:r>
      <w:r>
        <w:rPr>
          <w:sz w:val="22"/>
          <w:szCs w:val="22"/>
        </w:rPr>
        <w:t xml:space="preserve">counts </w:t>
      </w:r>
      <w:r w:rsidRPr="00BE6530">
        <w:rPr>
          <w:sz w:val="22"/>
          <w:szCs w:val="22"/>
        </w:rPr>
        <w:t xml:space="preserve">- </w:t>
      </w:r>
      <w:r w:rsidRPr="00B145F9">
        <w:rPr>
          <w:sz w:val="22"/>
          <w:szCs w:val="22"/>
        </w:rPr>
        <w:t>R</w:t>
      </w:r>
      <w:r w:rsidRPr="00B145F9">
        <w:rPr>
          <w:sz w:val="22"/>
          <w:szCs w:val="22"/>
          <w:vertAlign w:val="superscript"/>
        </w:rPr>
        <w:t>2</w:t>
      </w:r>
      <w:r w:rsidRPr="00B145F9">
        <w:rPr>
          <w:sz w:val="22"/>
          <w:szCs w:val="22"/>
        </w:rPr>
        <w:t xml:space="preserve"> = 0.</w:t>
      </w:r>
      <w:r>
        <w:rPr>
          <w:sz w:val="22"/>
          <w:szCs w:val="22"/>
        </w:rPr>
        <w:t>1506</w:t>
      </w:r>
      <w:r w:rsidRPr="00B145F9">
        <w:rPr>
          <w:sz w:val="22"/>
          <w:szCs w:val="22"/>
        </w:rPr>
        <w:t>.</w:t>
      </w:r>
      <w:r>
        <w:rPr>
          <w:sz w:val="22"/>
          <w:szCs w:val="22"/>
        </w:rPr>
        <w:t xml:space="preserve"> n) correlation between Hg and Fe remains weak after excluding the sample with an exceptionally high Hg concentration (Hg &lt;600) - </w:t>
      </w:r>
      <w:r w:rsidRPr="00B145F9">
        <w:rPr>
          <w:sz w:val="22"/>
          <w:szCs w:val="22"/>
        </w:rPr>
        <w:t>R</w:t>
      </w:r>
      <w:r w:rsidRPr="00B145F9">
        <w:rPr>
          <w:sz w:val="22"/>
          <w:szCs w:val="22"/>
          <w:vertAlign w:val="superscript"/>
        </w:rPr>
        <w:t>2</w:t>
      </w:r>
      <w:r w:rsidRPr="00B145F9">
        <w:rPr>
          <w:sz w:val="22"/>
          <w:szCs w:val="22"/>
        </w:rPr>
        <w:t xml:space="preserve"> = 0.0</w:t>
      </w:r>
      <w:r>
        <w:rPr>
          <w:sz w:val="22"/>
          <w:szCs w:val="22"/>
        </w:rPr>
        <w:t xml:space="preserve">357. o) Weak correlation between Hg and S counts - </w:t>
      </w:r>
      <w:r w:rsidRPr="00B145F9">
        <w:rPr>
          <w:sz w:val="22"/>
          <w:szCs w:val="22"/>
        </w:rPr>
        <w:t>R</w:t>
      </w:r>
      <w:r w:rsidRPr="00B145F9">
        <w:rPr>
          <w:sz w:val="22"/>
          <w:szCs w:val="22"/>
          <w:vertAlign w:val="superscript"/>
        </w:rPr>
        <w:t>2</w:t>
      </w:r>
      <w:r w:rsidRPr="00B145F9">
        <w:rPr>
          <w:sz w:val="22"/>
          <w:szCs w:val="22"/>
        </w:rPr>
        <w:t xml:space="preserve"> = 0.0</w:t>
      </w:r>
      <w:r>
        <w:rPr>
          <w:sz w:val="22"/>
          <w:szCs w:val="22"/>
        </w:rPr>
        <w:t xml:space="preserve">306. p) Excluding the </w:t>
      </w:r>
      <w:r w:rsidR="008E2C7E">
        <w:rPr>
          <w:sz w:val="22"/>
          <w:szCs w:val="22"/>
        </w:rPr>
        <w:t>anomalously</w:t>
      </w:r>
      <w:r>
        <w:rPr>
          <w:sz w:val="22"/>
          <w:szCs w:val="22"/>
        </w:rPr>
        <w:t xml:space="preserve"> high S value (S &lt; 9,000) still results in a weak correlation - </w:t>
      </w:r>
      <w:r w:rsidRPr="00B145F9">
        <w:rPr>
          <w:sz w:val="22"/>
          <w:szCs w:val="22"/>
        </w:rPr>
        <w:t>R</w:t>
      </w:r>
      <w:r w:rsidRPr="00B145F9">
        <w:rPr>
          <w:sz w:val="22"/>
          <w:szCs w:val="22"/>
          <w:vertAlign w:val="superscript"/>
        </w:rPr>
        <w:t>2</w:t>
      </w:r>
      <w:r w:rsidRPr="00B145F9">
        <w:rPr>
          <w:sz w:val="22"/>
          <w:szCs w:val="22"/>
        </w:rPr>
        <w:t xml:space="preserve"> = 0.0</w:t>
      </w:r>
      <w:r>
        <w:rPr>
          <w:sz w:val="22"/>
          <w:szCs w:val="22"/>
        </w:rPr>
        <w:t xml:space="preserve">716. q) Weak correlation between Hg and Al - </w:t>
      </w:r>
      <w:r w:rsidRPr="00B145F9">
        <w:rPr>
          <w:sz w:val="22"/>
          <w:szCs w:val="22"/>
        </w:rPr>
        <w:t>R</w:t>
      </w:r>
      <w:r w:rsidRPr="00B145F9">
        <w:rPr>
          <w:sz w:val="22"/>
          <w:szCs w:val="22"/>
          <w:vertAlign w:val="superscript"/>
        </w:rPr>
        <w:t>2</w:t>
      </w:r>
      <w:r w:rsidRPr="00B145F9">
        <w:rPr>
          <w:sz w:val="22"/>
          <w:szCs w:val="22"/>
        </w:rPr>
        <w:t xml:space="preserve"> = 0</w:t>
      </w:r>
      <w:r>
        <w:rPr>
          <w:sz w:val="22"/>
          <w:szCs w:val="22"/>
        </w:rPr>
        <w:t xml:space="preserve">.0098. r) correlation between Hg and Al remains weak after excluding the sample with an exceptionally high Hg concentration (Hg &lt;600) - </w:t>
      </w:r>
      <w:r w:rsidRPr="00B145F9">
        <w:rPr>
          <w:sz w:val="22"/>
          <w:szCs w:val="22"/>
        </w:rPr>
        <w:t>R</w:t>
      </w:r>
      <w:r w:rsidRPr="00B145F9">
        <w:rPr>
          <w:sz w:val="22"/>
          <w:szCs w:val="22"/>
          <w:vertAlign w:val="superscript"/>
        </w:rPr>
        <w:t>2</w:t>
      </w:r>
      <w:r w:rsidRPr="00B145F9">
        <w:rPr>
          <w:sz w:val="22"/>
          <w:szCs w:val="22"/>
        </w:rPr>
        <w:t xml:space="preserve"> = 0.0</w:t>
      </w:r>
      <w:r>
        <w:rPr>
          <w:sz w:val="22"/>
          <w:szCs w:val="22"/>
        </w:rPr>
        <w:t>130.</w:t>
      </w:r>
    </w:p>
    <w:p w14:paraId="1D7075CD" w14:textId="77777777" w:rsidR="00B50234" w:rsidRDefault="00B50234" w:rsidP="00B50234">
      <w:pPr>
        <w:tabs>
          <w:tab w:val="left" w:pos="2430"/>
        </w:tabs>
        <w:rPr>
          <w:noProof/>
        </w:rPr>
      </w:pPr>
    </w:p>
    <w:p w14:paraId="7E63F5DD" w14:textId="77777777" w:rsidR="00B50234" w:rsidRDefault="00B50234" w:rsidP="00B50234">
      <w:pPr>
        <w:spacing w:after="160" w:line="259" w:lineRule="auto"/>
        <w:rPr>
          <w:b/>
          <w:bCs/>
        </w:rPr>
      </w:pPr>
      <w:r>
        <w:rPr>
          <w:b/>
          <w:bCs/>
        </w:rPr>
        <w:br w:type="page"/>
      </w:r>
    </w:p>
    <w:p w14:paraId="5BDC088F" w14:textId="27894247" w:rsidR="00B50234" w:rsidRDefault="00B50234" w:rsidP="00B50234">
      <w:pPr>
        <w:tabs>
          <w:tab w:val="left" w:pos="2430"/>
        </w:tabs>
        <w:rPr>
          <w:b/>
          <w:bCs/>
        </w:rPr>
      </w:pPr>
      <w:r w:rsidRPr="001127E0">
        <w:rPr>
          <w:b/>
          <w:bCs/>
        </w:rPr>
        <w:lastRenderedPageBreak/>
        <w:t xml:space="preserve">Supplementary Figure </w:t>
      </w:r>
      <w:r w:rsidR="008D291B">
        <w:rPr>
          <w:b/>
          <w:bCs/>
        </w:rPr>
        <w:t>10</w:t>
      </w:r>
      <w:r>
        <w:rPr>
          <w:b/>
          <w:bCs/>
        </w:rPr>
        <w:t xml:space="preserve"> – Foraminifera SEM images</w:t>
      </w:r>
    </w:p>
    <w:p w14:paraId="234137BC" w14:textId="77777777" w:rsidR="00B50234" w:rsidRDefault="00B50234" w:rsidP="00B50234">
      <w:pPr>
        <w:tabs>
          <w:tab w:val="left" w:pos="2430"/>
        </w:tabs>
        <w:jc w:val="center"/>
        <w:rPr>
          <w:b/>
          <w:bCs/>
        </w:rPr>
      </w:pPr>
      <w:r>
        <w:rPr>
          <w:b/>
          <w:bCs/>
          <w:noProof/>
        </w:rPr>
        <w:drawing>
          <wp:inline distT="0" distB="0" distL="0" distR="0" wp14:anchorId="5BB58A0B" wp14:editId="5E7DA235">
            <wp:extent cx="4469576" cy="6971506"/>
            <wp:effectExtent l="0" t="0" r="762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upplimentary Fig. X Foram images.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81606" cy="6990270"/>
                    </a:xfrm>
                    <a:prstGeom prst="rect">
                      <a:avLst/>
                    </a:prstGeom>
                  </pic:spPr>
                </pic:pic>
              </a:graphicData>
            </a:graphic>
          </wp:inline>
        </w:drawing>
      </w:r>
    </w:p>
    <w:p w14:paraId="1803DC59" w14:textId="77777777" w:rsidR="00B50234" w:rsidRDefault="00B50234" w:rsidP="00B50234">
      <w:pPr>
        <w:tabs>
          <w:tab w:val="left" w:pos="2430"/>
        </w:tabs>
        <w:rPr>
          <w:b/>
          <w:bCs/>
        </w:rPr>
      </w:pPr>
      <w:r>
        <w:rPr>
          <w:b/>
          <w:bCs/>
        </w:rPr>
        <w:t xml:space="preserve">Foraminifera SEM images. A - </w:t>
      </w:r>
      <w:proofErr w:type="spellStart"/>
      <w:r w:rsidRPr="00C45C0C">
        <w:rPr>
          <w:i/>
          <w:iCs/>
          <w:sz w:val="22"/>
          <w:szCs w:val="22"/>
        </w:rPr>
        <w:t>Tappanina</w:t>
      </w:r>
      <w:proofErr w:type="spellEnd"/>
      <w:r w:rsidRPr="00C45C0C">
        <w:rPr>
          <w:i/>
          <w:iCs/>
          <w:sz w:val="22"/>
          <w:szCs w:val="22"/>
        </w:rPr>
        <w:t xml:space="preserve"> </w:t>
      </w:r>
      <w:proofErr w:type="spellStart"/>
      <w:r w:rsidRPr="00C45C0C">
        <w:rPr>
          <w:i/>
          <w:iCs/>
          <w:sz w:val="22"/>
          <w:szCs w:val="22"/>
        </w:rPr>
        <w:t>laciniosa</w:t>
      </w:r>
      <w:proofErr w:type="spellEnd"/>
      <w:r>
        <w:rPr>
          <w:i/>
          <w:iCs/>
          <w:sz w:val="22"/>
          <w:szCs w:val="22"/>
        </w:rPr>
        <w:t xml:space="preserve"> </w:t>
      </w:r>
      <w:r w:rsidRPr="00976C24">
        <w:rPr>
          <w:sz w:val="22"/>
          <w:szCs w:val="22"/>
        </w:rPr>
        <w:t>(</w:t>
      </w:r>
      <w:r w:rsidRPr="00C45C0C">
        <w:rPr>
          <w:sz w:val="22"/>
          <w:szCs w:val="22"/>
        </w:rPr>
        <w:t>U1516D-4R-5W-0-3</w:t>
      </w:r>
      <w:r>
        <w:rPr>
          <w:sz w:val="22"/>
          <w:szCs w:val="22"/>
        </w:rPr>
        <w:t xml:space="preserve">); </w:t>
      </w:r>
      <w:r w:rsidRPr="00976C24">
        <w:rPr>
          <w:b/>
          <w:bCs/>
          <w:sz w:val="22"/>
          <w:szCs w:val="22"/>
        </w:rPr>
        <w:t>B</w:t>
      </w:r>
      <w:r>
        <w:rPr>
          <w:sz w:val="22"/>
          <w:szCs w:val="22"/>
        </w:rPr>
        <w:t xml:space="preserve"> - </w:t>
      </w:r>
      <w:proofErr w:type="spellStart"/>
      <w:r w:rsidRPr="00C45C0C">
        <w:rPr>
          <w:i/>
          <w:iCs/>
          <w:sz w:val="22"/>
          <w:szCs w:val="22"/>
        </w:rPr>
        <w:t>Lenticulina</w:t>
      </w:r>
      <w:proofErr w:type="spellEnd"/>
      <w:r w:rsidRPr="00C45C0C">
        <w:rPr>
          <w:i/>
          <w:iCs/>
          <w:sz w:val="22"/>
          <w:szCs w:val="22"/>
        </w:rPr>
        <w:t xml:space="preserve"> spp.</w:t>
      </w:r>
      <w:r>
        <w:rPr>
          <w:i/>
          <w:iCs/>
          <w:sz w:val="22"/>
          <w:szCs w:val="22"/>
        </w:rPr>
        <w:t xml:space="preserve"> </w:t>
      </w:r>
      <w:r w:rsidRPr="00976C24">
        <w:rPr>
          <w:sz w:val="22"/>
          <w:szCs w:val="22"/>
        </w:rPr>
        <w:t>(</w:t>
      </w:r>
      <w:r w:rsidRPr="00C45C0C">
        <w:rPr>
          <w:sz w:val="22"/>
          <w:szCs w:val="22"/>
        </w:rPr>
        <w:t>U1516D-5R-3W-125-128</w:t>
      </w:r>
      <w:r>
        <w:rPr>
          <w:sz w:val="22"/>
          <w:szCs w:val="22"/>
        </w:rPr>
        <w:t xml:space="preserve">); </w:t>
      </w:r>
      <w:r w:rsidRPr="00D14F98">
        <w:rPr>
          <w:b/>
          <w:bCs/>
          <w:sz w:val="22"/>
          <w:szCs w:val="22"/>
        </w:rPr>
        <w:t>C</w:t>
      </w:r>
      <w:r>
        <w:rPr>
          <w:sz w:val="22"/>
          <w:szCs w:val="22"/>
        </w:rPr>
        <w:t xml:space="preserve"> - </w:t>
      </w:r>
      <w:proofErr w:type="spellStart"/>
      <w:r w:rsidRPr="00C45C0C">
        <w:rPr>
          <w:i/>
          <w:iCs/>
          <w:sz w:val="22"/>
          <w:szCs w:val="22"/>
        </w:rPr>
        <w:t>Praebulimina</w:t>
      </w:r>
      <w:proofErr w:type="spellEnd"/>
      <w:r w:rsidRPr="00C45C0C">
        <w:rPr>
          <w:i/>
          <w:iCs/>
          <w:sz w:val="22"/>
          <w:szCs w:val="22"/>
        </w:rPr>
        <w:t xml:space="preserve"> </w:t>
      </w:r>
      <w:proofErr w:type="spellStart"/>
      <w:r w:rsidRPr="00C45C0C">
        <w:rPr>
          <w:i/>
          <w:iCs/>
          <w:sz w:val="22"/>
          <w:szCs w:val="22"/>
        </w:rPr>
        <w:t>nannina</w:t>
      </w:r>
      <w:proofErr w:type="spellEnd"/>
      <w:r>
        <w:rPr>
          <w:i/>
          <w:iCs/>
          <w:sz w:val="22"/>
          <w:szCs w:val="22"/>
        </w:rPr>
        <w:t xml:space="preserve"> </w:t>
      </w:r>
      <w:r>
        <w:rPr>
          <w:sz w:val="22"/>
          <w:szCs w:val="22"/>
        </w:rPr>
        <w:t>(</w:t>
      </w:r>
      <w:r w:rsidRPr="00C45C0C">
        <w:rPr>
          <w:sz w:val="22"/>
          <w:szCs w:val="22"/>
        </w:rPr>
        <w:t>U1516D-3R-3W-52-55</w:t>
      </w:r>
      <w:r>
        <w:rPr>
          <w:sz w:val="22"/>
          <w:szCs w:val="22"/>
        </w:rPr>
        <w:t xml:space="preserve">); </w:t>
      </w:r>
      <w:r w:rsidRPr="00D14F98">
        <w:rPr>
          <w:b/>
          <w:bCs/>
          <w:sz w:val="22"/>
          <w:szCs w:val="22"/>
        </w:rPr>
        <w:t>D</w:t>
      </w:r>
      <w:r>
        <w:rPr>
          <w:sz w:val="22"/>
          <w:szCs w:val="22"/>
        </w:rPr>
        <w:t xml:space="preserve"> - </w:t>
      </w:r>
      <w:proofErr w:type="spellStart"/>
      <w:r w:rsidRPr="00C45C0C">
        <w:rPr>
          <w:i/>
          <w:iCs/>
          <w:sz w:val="22"/>
          <w:szCs w:val="22"/>
        </w:rPr>
        <w:t>Gavelinella</w:t>
      </w:r>
      <w:proofErr w:type="spellEnd"/>
      <w:r w:rsidRPr="00C45C0C">
        <w:rPr>
          <w:i/>
          <w:iCs/>
          <w:sz w:val="22"/>
          <w:szCs w:val="22"/>
        </w:rPr>
        <w:t xml:space="preserve"> </w:t>
      </w:r>
      <w:proofErr w:type="spellStart"/>
      <w:r w:rsidRPr="00C45C0C">
        <w:rPr>
          <w:i/>
          <w:iCs/>
          <w:sz w:val="22"/>
          <w:szCs w:val="22"/>
        </w:rPr>
        <w:t>cenomanica</w:t>
      </w:r>
      <w:proofErr w:type="spellEnd"/>
      <w:r>
        <w:rPr>
          <w:sz w:val="22"/>
          <w:szCs w:val="22"/>
        </w:rPr>
        <w:t xml:space="preserve"> (</w:t>
      </w:r>
      <w:r w:rsidRPr="00C45C0C">
        <w:rPr>
          <w:sz w:val="22"/>
          <w:szCs w:val="22"/>
        </w:rPr>
        <w:t>U1516C-34R-2W-114-117</w:t>
      </w:r>
      <w:r>
        <w:rPr>
          <w:sz w:val="22"/>
          <w:szCs w:val="22"/>
        </w:rPr>
        <w:t xml:space="preserve">); </w:t>
      </w:r>
      <w:r w:rsidRPr="00D14F98">
        <w:rPr>
          <w:b/>
          <w:bCs/>
          <w:sz w:val="22"/>
          <w:szCs w:val="22"/>
        </w:rPr>
        <w:t>E-G</w:t>
      </w:r>
      <w:r>
        <w:rPr>
          <w:sz w:val="22"/>
          <w:szCs w:val="22"/>
        </w:rPr>
        <w:t xml:space="preserve"> - </w:t>
      </w:r>
      <w:proofErr w:type="spellStart"/>
      <w:r w:rsidRPr="00C45C0C">
        <w:rPr>
          <w:i/>
          <w:iCs/>
          <w:sz w:val="22"/>
          <w:szCs w:val="22"/>
        </w:rPr>
        <w:t>Gyroidinoides</w:t>
      </w:r>
      <w:proofErr w:type="spellEnd"/>
      <w:r w:rsidRPr="00C45C0C">
        <w:rPr>
          <w:i/>
          <w:iCs/>
          <w:sz w:val="22"/>
          <w:szCs w:val="22"/>
        </w:rPr>
        <w:t xml:space="preserve"> quadratus</w:t>
      </w:r>
      <w:r>
        <w:rPr>
          <w:sz w:val="22"/>
          <w:szCs w:val="22"/>
        </w:rPr>
        <w:t xml:space="preserve"> (</w:t>
      </w:r>
      <w:r w:rsidRPr="00C45C0C">
        <w:rPr>
          <w:sz w:val="22"/>
          <w:szCs w:val="22"/>
        </w:rPr>
        <w:t>U1516C-34R-3W-6-9</w:t>
      </w:r>
      <w:r>
        <w:rPr>
          <w:sz w:val="22"/>
          <w:szCs w:val="22"/>
        </w:rPr>
        <w:t xml:space="preserve">); </w:t>
      </w:r>
      <w:r w:rsidRPr="00D14F98">
        <w:rPr>
          <w:b/>
          <w:bCs/>
          <w:sz w:val="22"/>
          <w:szCs w:val="22"/>
        </w:rPr>
        <w:t>H-J</w:t>
      </w:r>
      <w:r>
        <w:rPr>
          <w:sz w:val="22"/>
          <w:szCs w:val="22"/>
        </w:rPr>
        <w:t xml:space="preserve"> - </w:t>
      </w:r>
      <w:proofErr w:type="spellStart"/>
      <w:r w:rsidRPr="00C45C0C">
        <w:rPr>
          <w:i/>
          <w:iCs/>
          <w:sz w:val="22"/>
          <w:szCs w:val="22"/>
        </w:rPr>
        <w:t>Gyroidinoides</w:t>
      </w:r>
      <w:proofErr w:type="spellEnd"/>
      <w:r w:rsidRPr="00C45C0C">
        <w:rPr>
          <w:i/>
          <w:iCs/>
          <w:sz w:val="22"/>
          <w:szCs w:val="22"/>
        </w:rPr>
        <w:t xml:space="preserve"> </w:t>
      </w:r>
      <w:proofErr w:type="spellStart"/>
      <w:r w:rsidRPr="00C45C0C">
        <w:rPr>
          <w:i/>
          <w:iCs/>
          <w:sz w:val="22"/>
          <w:szCs w:val="22"/>
        </w:rPr>
        <w:t>lenticulus</w:t>
      </w:r>
      <w:proofErr w:type="spellEnd"/>
      <w:r>
        <w:rPr>
          <w:sz w:val="22"/>
          <w:szCs w:val="22"/>
        </w:rPr>
        <w:t xml:space="preserve"> (</w:t>
      </w:r>
      <w:r w:rsidRPr="00C45C0C">
        <w:rPr>
          <w:sz w:val="22"/>
          <w:szCs w:val="22"/>
        </w:rPr>
        <w:t>U1516C-34R-3W-6-9</w:t>
      </w:r>
      <w:r>
        <w:rPr>
          <w:sz w:val="22"/>
          <w:szCs w:val="22"/>
        </w:rPr>
        <w:t xml:space="preserve">); </w:t>
      </w:r>
      <w:r w:rsidRPr="00D14F98">
        <w:rPr>
          <w:b/>
          <w:bCs/>
          <w:sz w:val="22"/>
          <w:szCs w:val="22"/>
        </w:rPr>
        <w:t>K</w:t>
      </w:r>
      <w:r>
        <w:rPr>
          <w:sz w:val="22"/>
          <w:szCs w:val="22"/>
        </w:rPr>
        <w:t xml:space="preserve"> - </w:t>
      </w:r>
      <w:proofErr w:type="spellStart"/>
      <w:r w:rsidRPr="00C45C0C">
        <w:rPr>
          <w:i/>
          <w:iCs/>
          <w:sz w:val="22"/>
          <w:szCs w:val="22"/>
        </w:rPr>
        <w:t>Gavelinella</w:t>
      </w:r>
      <w:proofErr w:type="spellEnd"/>
      <w:r w:rsidRPr="00C45C0C">
        <w:rPr>
          <w:i/>
          <w:iCs/>
          <w:sz w:val="22"/>
          <w:szCs w:val="22"/>
        </w:rPr>
        <w:t xml:space="preserve"> intermedia</w:t>
      </w:r>
      <w:r>
        <w:rPr>
          <w:sz w:val="22"/>
          <w:szCs w:val="22"/>
        </w:rPr>
        <w:t xml:space="preserve"> (</w:t>
      </w:r>
      <w:r w:rsidRPr="00C45C0C">
        <w:rPr>
          <w:sz w:val="22"/>
          <w:szCs w:val="22"/>
        </w:rPr>
        <w:t>U1516C-34R-2W-114-117</w:t>
      </w:r>
      <w:r>
        <w:rPr>
          <w:sz w:val="22"/>
          <w:szCs w:val="22"/>
        </w:rPr>
        <w:t xml:space="preserve">); </w:t>
      </w:r>
      <w:r w:rsidRPr="00D14F98">
        <w:rPr>
          <w:b/>
          <w:bCs/>
          <w:sz w:val="22"/>
          <w:szCs w:val="22"/>
        </w:rPr>
        <w:t>L-M</w:t>
      </w:r>
      <w:r>
        <w:rPr>
          <w:sz w:val="22"/>
          <w:szCs w:val="22"/>
        </w:rPr>
        <w:t xml:space="preserve"> - </w:t>
      </w:r>
      <w:proofErr w:type="spellStart"/>
      <w:r w:rsidRPr="00C45C0C">
        <w:rPr>
          <w:i/>
          <w:iCs/>
          <w:sz w:val="22"/>
          <w:szCs w:val="22"/>
        </w:rPr>
        <w:t>Osangularia</w:t>
      </w:r>
      <w:proofErr w:type="spellEnd"/>
      <w:r w:rsidRPr="00C45C0C">
        <w:rPr>
          <w:i/>
          <w:iCs/>
          <w:sz w:val="22"/>
          <w:szCs w:val="22"/>
        </w:rPr>
        <w:t xml:space="preserve"> </w:t>
      </w:r>
      <w:proofErr w:type="spellStart"/>
      <w:r w:rsidRPr="00C45C0C">
        <w:rPr>
          <w:i/>
          <w:iCs/>
          <w:sz w:val="22"/>
          <w:szCs w:val="22"/>
        </w:rPr>
        <w:t>utaturensis</w:t>
      </w:r>
      <w:proofErr w:type="spellEnd"/>
      <w:r>
        <w:rPr>
          <w:sz w:val="22"/>
          <w:szCs w:val="22"/>
        </w:rPr>
        <w:t xml:space="preserve"> (</w:t>
      </w:r>
      <w:r w:rsidRPr="00C45C0C">
        <w:rPr>
          <w:sz w:val="22"/>
          <w:szCs w:val="22"/>
        </w:rPr>
        <w:t>U1516D-3R-3W-52-55</w:t>
      </w:r>
      <w:r>
        <w:rPr>
          <w:sz w:val="22"/>
          <w:szCs w:val="22"/>
        </w:rPr>
        <w:t>).</w:t>
      </w:r>
      <w:r w:rsidRPr="0039574C">
        <w:rPr>
          <w:b/>
          <w:bCs/>
          <w:noProof/>
        </w:rPr>
        <w:t xml:space="preserve"> </w:t>
      </w:r>
    </w:p>
    <w:p w14:paraId="67290CE2" w14:textId="77777777" w:rsidR="00B50234" w:rsidRDefault="00B50234" w:rsidP="00B50234">
      <w:pPr>
        <w:spacing w:after="160" w:line="259" w:lineRule="auto"/>
        <w:rPr>
          <w:b/>
          <w:bCs/>
        </w:rPr>
      </w:pPr>
      <w:r>
        <w:rPr>
          <w:b/>
          <w:bCs/>
        </w:rPr>
        <w:br w:type="page"/>
      </w:r>
    </w:p>
    <w:p w14:paraId="7E987F46" w14:textId="77777777" w:rsidR="00A42ADD" w:rsidRDefault="00A42ADD" w:rsidP="00A42ADD">
      <w:pPr>
        <w:rPr>
          <w:b/>
          <w:bCs/>
        </w:rPr>
      </w:pPr>
      <w:r w:rsidRPr="00545A17">
        <w:rPr>
          <w:b/>
          <w:bCs/>
        </w:rPr>
        <w:lastRenderedPageBreak/>
        <w:t xml:space="preserve">Supplementary Figure </w:t>
      </w:r>
      <w:r>
        <w:rPr>
          <w:b/>
          <w:bCs/>
        </w:rPr>
        <w:t>11.  Benthic foraminiferal stable isotope data</w:t>
      </w:r>
    </w:p>
    <w:p w14:paraId="3B579445" w14:textId="77777777" w:rsidR="00A42ADD" w:rsidRDefault="00A42ADD" w:rsidP="00A42ADD">
      <w:pPr>
        <w:rPr>
          <w:b/>
          <w:bCs/>
        </w:rPr>
      </w:pPr>
      <w:r>
        <w:rPr>
          <w:noProof/>
        </w:rPr>
        <w:drawing>
          <wp:anchor distT="0" distB="0" distL="114300" distR="114300" simplePos="0" relativeHeight="251750912" behindDoc="0" locked="0" layoutInCell="1" allowOverlap="1" wp14:anchorId="2E451117" wp14:editId="2AAD717A">
            <wp:simplePos x="0" y="0"/>
            <wp:positionH relativeFrom="column">
              <wp:posOffset>-485775</wp:posOffset>
            </wp:positionH>
            <wp:positionV relativeFrom="paragraph">
              <wp:posOffset>370840</wp:posOffset>
            </wp:positionV>
            <wp:extent cx="6683375" cy="3048000"/>
            <wp:effectExtent l="0" t="0" r="3175" b="0"/>
            <wp:wrapTopAndBottom/>
            <wp:docPr id="1450887142"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887142" name="Picture 3" descr="A screenshot of a video gam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683375" cy="3048000"/>
                    </a:xfrm>
                    <a:prstGeom prst="rect">
                      <a:avLst/>
                    </a:prstGeom>
                  </pic:spPr>
                </pic:pic>
              </a:graphicData>
            </a:graphic>
            <wp14:sizeRelH relativeFrom="page">
              <wp14:pctWidth>0</wp14:pctWidth>
            </wp14:sizeRelH>
            <wp14:sizeRelV relativeFrom="page">
              <wp14:pctHeight>0</wp14:pctHeight>
            </wp14:sizeRelV>
          </wp:anchor>
        </w:drawing>
      </w:r>
    </w:p>
    <w:p w14:paraId="29DFEE04" w14:textId="77777777" w:rsidR="00A42ADD" w:rsidRPr="0004542D" w:rsidRDefault="00A42ADD" w:rsidP="00A42ADD"/>
    <w:p w14:paraId="0EBAC5DB" w14:textId="77777777" w:rsidR="00A42ADD" w:rsidRPr="0029447F" w:rsidRDefault="00A42ADD" w:rsidP="00A42ADD">
      <w:pPr>
        <w:rPr>
          <w:rFonts w:eastAsia="Times New Roman"/>
          <w:sz w:val="22"/>
          <w:szCs w:val="22"/>
        </w:rPr>
      </w:pPr>
      <w:r w:rsidRPr="00DD1549">
        <w:rPr>
          <w:b/>
          <w:bCs/>
          <w:sz w:val="22"/>
          <w:szCs w:val="22"/>
        </w:rPr>
        <w:t>Benthic foraminiferal stable isotope data</w:t>
      </w:r>
      <w:r w:rsidRPr="00DD1549">
        <w:rPr>
          <w:sz w:val="22"/>
          <w:szCs w:val="22"/>
        </w:rPr>
        <w:t xml:space="preserve"> – δ</w:t>
      </w:r>
      <w:r w:rsidRPr="00DD1549">
        <w:rPr>
          <w:sz w:val="22"/>
          <w:szCs w:val="22"/>
          <w:vertAlign w:val="superscript"/>
        </w:rPr>
        <w:t>13</w:t>
      </w:r>
      <w:r w:rsidRPr="00DD1549">
        <w:rPr>
          <w:sz w:val="22"/>
          <w:szCs w:val="22"/>
        </w:rPr>
        <w:t>C and δ</w:t>
      </w:r>
      <w:r w:rsidRPr="00DD1549">
        <w:rPr>
          <w:sz w:val="22"/>
          <w:szCs w:val="22"/>
          <w:vertAlign w:val="superscript"/>
        </w:rPr>
        <w:t>18</w:t>
      </w:r>
      <w:r w:rsidRPr="00DD1549">
        <w:rPr>
          <w:sz w:val="22"/>
          <w:szCs w:val="22"/>
        </w:rPr>
        <w:t xml:space="preserve">O cross plots showing a shift in the benthic foraminiferal carbonate composition before and </w:t>
      </w:r>
      <w:r>
        <w:rPr>
          <w:sz w:val="22"/>
          <w:szCs w:val="22"/>
        </w:rPr>
        <w:t>during/</w:t>
      </w:r>
      <w:r w:rsidRPr="00DD1549">
        <w:rPr>
          <w:sz w:val="22"/>
          <w:szCs w:val="22"/>
        </w:rPr>
        <w:t>after O</w:t>
      </w:r>
      <w:r>
        <w:rPr>
          <w:sz w:val="22"/>
          <w:szCs w:val="22"/>
        </w:rPr>
        <w:t xml:space="preserve">cean </w:t>
      </w:r>
      <w:r w:rsidRPr="00DD1549">
        <w:rPr>
          <w:sz w:val="22"/>
          <w:szCs w:val="22"/>
        </w:rPr>
        <w:t>A</w:t>
      </w:r>
      <w:r>
        <w:rPr>
          <w:sz w:val="22"/>
          <w:szCs w:val="22"/>
        </w:rPr>
        <w:t xml:space="preserve">noxic </w:t>
      </w:r>
      <w:r w:rsidRPr="00DD1549">
        <w:rPr>
          <w:sz w:val="22"/>
          <w:szCs w:val="22"/>
        </w:rPr>
        <w:t>E</w:t>
      </w:r>
      <w:r>
        <w:rPr>
          <w:sz w:val="22"/>
          <w:szCs w:val="22"/>
        </w:rPr>
        <w:t xml:space="preserve">vent </w:t>
      </w:r>
      <w:r w:rsidRPr="00DD1549">
        <w:rPr>
          <w:sz w:val="22"/>
          <w:szCs w:val="22"/>
        </w:rPr>
        <w:t>2</w:t>
      </w:r>
      <w:r>
        <w:rPr>
          <w:sz w:val="22"/>
          <w:szCs w:val="22"/>
        </w:rPr>
        <w:t xml:space="preserve"> (OAE2)</w:t>
      </w:r>
      <w:r w:rsidRPr="00DD1549">
        <w:rPr>
          <w:sz w:val="22"/>
          <w:szCs w:val="22"/>
        </w:rPr>
        <w:t xml:space="preserve">. Of the survivor species found before and after OAE2, the </w:t>
      </w:r>
      <w:r>
        <w:rPr>
          <w:sz w:val="22"/>
          <w:szCs w:val="22"/>
        </w:rPr>
        <w:t xml:space="preserve">change in </w:t>
      </w:r>
      <w:r w:rsidRPr="00DD1549">
        <w:rPr>
          <w:sz w:val="22"/>
          <w:szCs w:val="22"/>
        </w:rPr>
        <w:t>δ</w:t>
      </w:r>
      <w:r w:rsidRPr="00DD1549">
        <w:rPr>
          <w:sz w:val="22"/>
          <w:szCs w:val="22"/>
          <w:vertAlign w:val="superscript"/>
        </w:rPr>
        <w:t>18</w:t>
      </w:r>
      <w:r w:rsidRPr="00DD1549">
        <w:rPr>
          <w:sz w:val="22"/>
          <w:szCs w:val="22"/>
        </w:rPr>
        <w:t xml:space="preserve">O (approximately - 1‰) is indicative of warmer temperatures, and </w:t>
      </w:r>
      <w:r>
        <w:rPr>
          <w:sz w:val="22"/>
          <w:szCs w:val="22"/>
        </w:rPr>
        <w:t>of</w:t>
      </w:r>
      <w:r w:rsidRPr="00DD1549">
        <w:rPr>
          <w:sz w:val="22"/>
          <w:szCs w:val="22"/>
        </w:rPr>
        <w:t xml:space="preserve"> δ</w:t>
      </w:r>
      <w:r w:rsidRPr="00DD1549">
        <w:rPr>
          <w:sz w:val="22"/>
          <w:szCs w:val="22"/>
          <w:vertAlign w:val="superscript"/>
        </w:rPr>
        <w:t>13</w:t>
      </w:r>
      <w:r w:rsidRPr="00DD1549">
        <w:rPr>
          <w:sz w:val="22"/>
          <w:szCs w:val="22"/>
        </w:rPr>
        <w:t xml:space="preserve">C (approximately +1‰) </w:t>
      </w:r>
      <w:r w:rsidRPr="00DD1549">
        <w:rPr>
          <w:rFonts w:eastAsia="Times New Roman"/>
          <w:sz w:val="22"/>
          <w:szCs w:val="22"/>
        </w:rPr>
        <w:t xml:space="preserve">indicative of the global </w:t>
      </w:r>
      <w:r w:rsidRPr="00DD1549">
        <w:rPr>
          <w:sz w:val="22"/>
          <w:szCs w:val="22"/>
        </w:rPr>
        <w:t>δ</w:t>
      </w:r>
      <w:r w:rsidRPr="00DD1549">
        <w:rPr>
          <w:sz w:val="22"/>
          <w:szCs w:val="22"/>
          <w:vertAlign w:val="superscript"/>
        </w:rPr>
        <w:t>13</w:t>
      </w:r>
      <w:r w:rsidRPr="00DD1549">
        <w:rPr>
          <w:sz w:val="22"/>
          <w:szCs w:val="22"/>
        </w:rPr>
        <w:t>C</w:t>
      </w:r>
      <w:r w:rsidRPr="00DD1549">
        <w:rPr>
          <w:rFonts w:eastAsia="Times New Roman"/>
          <w:sz w:val="22"/>
          <w:szCs w:val="22"/>
        </w:rPr>
        <w:t xml:space="preserve"> shift of OAE2</w:t>
      </w:r>
      <w:r>
        <w:rPr>
          <w:rFonts w:eastAsia="Times New Roman"/>
          <w:sz w:val="22"/>
          <w:szCs w:val="22"/>
        </w:rPr>
        <w:t>.</w:t>
      </w:r>
      <w:r w:rsidRPr="00DD1549">
        <w:rPr>
          <w:rFonts w:eastAsia="Times New Roman"/>
          <w:sz w:val="22"/>
          <w:szCs w:val="22"/>
        </w:rPr>
        <w:t xml:space="preserve"> </w:t>
      </w:r>
      <w:r>
        <w:rPr>
          <w:rFonts w:eastAsia="Times New Roman"/>
          <w:sz w:val="22"/>
          <w:szCs w:val="22"/>
        </w:rPr>
        <w:t>T</w:t>
      </w:r>
      <w:r w:rsidRPr="00DD1549">
        <w:rPr>
          <w:rFonts w:eastAsia="Times New Roman"/>
          <w:sz w:val="22"/>
          <w:szCs w:val="22"/>
        </w:rPr>
        <w:t xml:space="preserve">he difference between species in both plots is indicative of species-specific offsets often related to sediment living depth </w:t>
      </w:r>
      <w:r>
        <w:rPr>
          <w:rFonts w:eastAsia="Times New Roman"/>
          <w:sz w:val="22"/>
          <w:szCs w:val="22"/>
        </w:rPr>
        <w:t xml:space="preserve">e.g., </w:t>
      </w:r>
      <w:r w:rsidRPr="00DD1549">
        <w:rPr>
          <w:rFonts w:eastAsia="Times New Roman"/>
          <w:sz w:val="22"/>
          <w:szCs w:val="22"/>
        </w:rPr>
        <w:t xml:space="preserve">lower </w:t>
      </w:r>
      <w:r w:rsidRPr="00DD1549">
        <w:rPr>
          <w:sz w:val="22"/>
          <w:szCs w:val="22"/>
        </w:rPr>
        <w:t>δ</w:t>
      </w:r>
      <w:r w:rsidRPr="00DD1549">
        <w:rPr>
          <w:sz w:val="22"/>
          <w:szCs w:val="22"/>
          <w:vertAlign w:val="superscript"/>
        </w:rPr>
        <w:t>13</w:t>
      </w:r>
      <w:r w:rsidRPr="00DD1549">
        <w:rPr>
          <w:sz w:val="22"/>
          <w:szCs w:val="22"/>
        </w:rPr>
        <w:t>C</w:t>
      </w:r>
      <w:r w:rsidRPr="00DD1549">
        <w:rPr>
          <w:rFonts w:eastAsia="Times New Roman"/>
          <w:sz w:val="22"/>
          <w:szCs w:val="22"/>
        </w:rPr>
        <w:t xml:space="preserve"> in deep sediment pore water profiles.</w:t>
      </w:r>
    </w:p>
    <w:p w14:paraId="727C0464" w14:textId="77777777" w:rsidR="00A42ADD" w:rsidRDefault="00A42ADD" w:rsidP="00B50234">
      <w:pPr>
        <w:rPr>
          <w:b/>
          <w:bCs/>
        </w:rPr>
      </w:pPr>
    </w:p>
    <w:p w14:paraId="0840B797" w14:textId="77777777" w:rsidR="00A42ADD" w:rsidRDefault="00A42ADD" w:rsidP="00B50234">
      <w:pPr>
        <w:rPr>
          <w:b/>
          <w:bCs/>
        </w:rPr>
      </w:pPr>
    </w:p>
    <w:p w14:paraId="0123981D" w14:textId="77777777" w:rsidR="00A42ADD" w:rsidRDefault="00A42ADD" w:rsidP="00B50234">
      <w:pPr>
        <w:rPr>
          <w:b/>
          <w:bCs/>
        </w:rPr>
      </w:pPr>
    </w:p>
    <w:p w14:paraId="2CE0300A" w14:textId="35CFD4CD" w:rsidR="00B50234" w:rsidRDefault="00B50234" w:rsidP="00B50234">
      <w:pPr>
        <w:rPr>
          <w:b/>
          <w:bCs/>
        </w:rPr>
      </w:pPr>
      <w:r>
        <w:rPr>
          <w:b/>
          <w:bCs/>
          <w:noProof/>
        </w:rPr>
        <w:drawing>
          <wp:anchor distT="0" distB="0" distL="114300" distR="114300" simplePos="0" relativeHeight="251746816" behindDoc="0" locked="0" layoutInCell="1" allowOverlap="1" wp14:anchorId="14C4BFC5" wp14:editId="5AFDAD59">
            <wp:simplePos x="0" y="0"/>
            <wp:positionH relativeFrom="column">
              <wp:posOffset>1168538</wp:posOffset>
            </wp:positionH>
            <wp:positionV relativeFrom="paragraph">
              <wp:posOffset>285806</wp:posOffset>
            </wp:positionV>
            <wp:extent cx="3041015" cy="1847215"/>
            <wp:effectExtent l="0" t="0" r="0" b="635"/>
            <wp:wrapTopAndBottom/>
            <wp:docPr id="7" name="Picture 7" descr="A picture containing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upplementary Fig. 8 Asset 11.png"/>
                    <pic:cNvPicPr/>
                  </pic:nvPicPr>
                  <pic:blipFill rotWithShape="1">
                    <a:blip r:embed="rId24"/>
                    <a:srcRect t="15310"/>
                    <a:stretch/>
                  </pic:blipFill>
                  <pic:spPr bwMode="auto">
                    <a:xfrm>
                      <a:off x="0" y="0"/>
                      <a:ext cx="3041015" cy="1847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rPr>
        <w:t xml:space="preserve">Supplementary Figure </w:t>
      </w:r>
      <w:r w:rsidR="008D291B">
        <w:rPr>
          <w:b/>
          <w:bCs/>
        </w:rPr>
        <w:t>1</w:t>
      </w:r>
      <w:r w:rsidR="00456AE3">
        <w:rPr>
          <w:b/>
          <w:bCs/>
        </w:rPr>
        <w:t>2</w:t>
      </w:r>
      <w:r>
        <w:rPr>
          <w:b/>
          <w:bCs/>
        </w:rPr>
        <w:t xml:space="preserve"> – Proportion of </w:t>
      </w:r>
      <w:proofErr w:type="spellStart"/>
      <w:r>
        <w:rPr>
          <w:b/>
          <w:bCs/>
        </w:rPr>
        <w:t>infaunal</w:t>
      </w:r>
      <w:proofErr w:type="spellEnd"/>
      <w:r>
        <w:rPr>
          <w:b/>
          <w:bCs/>
        </w:rPr>
        <w:t xml:space="preserve"> species correlates with CA axis 1 </w:t>
      </w:r>
    </w:p>
    <w:p w14:paraId="2F9FC5BA" w14:textId="77777777" w:rsidR="00B50234" w:rsidRDefault="00B50234" w:rsidP="00B50234">
      <w:pPr>
        <w:rPr>
          <w:b/>
          <w:bCs/>
        </w:rPr>
      </w:pPr>
    </w:p>
    <w:p w14:paraId="1F713F19" w14:textId="77777777" w:rsidR="00B50234" w:rsidRPr="006C4CBB" w:rsidRDefault="00B50234" w:rsidP="00B50234">
      <w:pPr>
        <w:rPr>
          <w:sz w:val="22"/>
          <w:szCs w:val="22"/>
        </w:rPr>
      </w:pPr>
      <w:r w:rsidRPr="006C4CBB">
        <w:rPr>
          <w:b/>
          <w:bCs/>
          <w:sz w:val="22"/>
          <w:szCs w:val="22"/>
        </w:rPr>
        <w:t xml:space="preserve">Proportion of </w:t>
      </w:r>
      <w:proofErr w:type="spellStart"/>
      <w:r w:rsidRPr="006C4CBB">
        <w:rPr>
          <w:b/>
          <w:bCs/>
          <w:sz w:val="22"/>
          <w:szCs w:val="22"/>
        </w:rPr>
        <w:t>infaunal</w:t>
      </w:r>
      <w:proofErr w:type="spellEnd"/>
      <w:r w:rsidRPr="006C4CBB">
        <w:rPr>
          <w:b/>
          <w:bCs/>
          <w:sz w:val="22"/>
          <w:szCs w:val="22"/>
        </w:rPr>
        <w:t xml:space="preserve"> species correlates with CA axis 1 - </w:t>
      </w:r>
      <w:r w:rsidRPr="006C4CBB">
        <w:rPr>
          <w:sz w:val="22"/>
          <w:szCs w:val="22"/>
        </w:rPr>
        <w:t xml:space="preserve">Correspondence analysis axis 1 plotted against the percentage of </w:t>
      </w:r>
      <w:proofErr w:type="spellStart"/>
      <w:r w:rsidRPr="006C4CBB">
        <w:rPr>
          <w:sz w:val="22"/>
          <w:szCs w:val="22"/>
        </w:rPr>
        <w:t>infaunal</w:t>
      </w:r>
      <w:proofErr w:type="spellEnd"/>
      <w:r w:rsidRPr="006C4CBB">
        <w:rPr>
          <w:sz w:val="22"/>
          <w:szCs w:val="22"/>
        </w:rPr>
        <w:t xml:space="preserve"> species in the assemblage at given sample depths. A strong relationship is seen between these variables, indicating that a component of change across OAE 2 may be attributed to the changing proportion of </w:t>
      </w:r>
      <w:proofErr w:type="spellStart"/>
      <w:r w:rsidRPr="006C4CBB">
        <w:rPr>
          <w:sz w:val="22"/>
          <w:szCs w:val="22"/>
        </w:rPr>
        <w:t>infaunal</w:t>
      </w:r>
      <w:proofErr w:type="spellEnd"/>
      <w:r w:rsidRPr="006C4CBB">
        <w:rPr>
          <w:sz w:val="22"/>
          <w:szCs w:val="22"/>
        </w:rPr>
        <w:t xml:space="preserve"> species of benthic foraminifera.</w:t>
      </w:r>
    </w:p>
    <w:p w14:paraId="568E6358" w14:textId="77777777" w:rsidR="00B50234" w:rsidRDefault="00B50234" w:rsidP="00B50234">
      <w:pPr>
        <w:rPr>
          <w:b/>
          <w:bCs/>
        </w:rPr>
      </w:pPr>
    </w:p>
    <w:p w14:paraId="2F8608D4" w14:textId="77777777" w:rsidR="00B50234" w:rsidRDefault="00B50234" w:rsidP="00B50234">
      <w:pPr>
        <w:rPr>
          <w:b/>
          <w:bCs/>
        </w:rPr>
      </w:pPr>
    </w:p>
    <w:p w14:paraId="440D6909" w14:textId="1BA10C90" w:rsidR="00B50234" w:rsidRPr="00545A17" w:rsidRDefault="00B50234" w:rsidP="00B50234">
      <w:pPr>
        <w:rPr>
          <w:b/>
          <w:bCs/>
        </w:rPr>
      </w:pPr>
      <w:r w:rsidRPr="00545A17">
        <w:rPr>
          <w:b/>
          <w:bCs/>
        </w:rPr>
        <w:lastRenderedPageBreak/>
        <w:t xml:space="preserve">Supplementary Figure </w:t>
      </w:r>
      <w:r w:rsidR="008D291B">
        <w:rPr>
          <w:b/>
          <w:bCs/>
        </w:rPr>
        <w:t>1</w:t>
      </w:r>
      <w:r w:rsidR="00456AE3">
        <w:rPr>
          <w:b/>
          <w:bCs/>
        </w:rPr>
        <w:t>3</w:t>
      </w:r>
      <w:r>
        <w:rPr>
          <w:b/>
          <w:bCs/>
        </w:rPr>
        <w:t xml:space="preserve"> – Calcium carbonate</w:t>
      </w:r>
    </w:p>
    <w:p w14:paraId="518344B4" w14:textId="77777777" w:rsidR="00B50234" w:rsidRDefault="00B50234" w:rsidP="00B50234"/>
    <w:p w14:paraId="33EF7D57" w14:textId="77777777" w:rsidR="00B50234" w:rsidRDefault="00B50234" w:rsidP="00B50234">
      <w:r>
        <w:rPr>
          <w:noProof/>
        </w:rPr>
        <w:drawing>
          <wp:inline distT="0" distB="0" distL="0" distR="0" wp14:anchorId="50F025CB" wp14:editId="27E6BD41">
            <wp:extent cx="5731510" cy="1689735"/>
            <wp:effectExtent l="0" t="0" r="2540" b="5715"/>
            <wp:docPr id="9" name="Picture 9" descr="A picture containing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pplementary Fig. 9.png"/>
                    <pic:cNvPicPr/>
                  </pic:nvPicPr>
                  <pic:blipFill>
                    <a:blip r:embed="rId25"/>
                    <a:stretch>
                      <a:fillRect/>
                    </a:stretch>
                  </pic:blipFill>
                  <pic:spPr>
                    <a:xfrm>
                      <a:off x="0" y="0"/>
                      <a:ext cx="5731510" cy="1689735"/>
                    </a:xfrm>
                    <a:prstGeom prst="rect">
                      <a:avLst/>
                    </a:prstGeom>
                  </pic:spPr>
                </pic:pic>
              </a:graphicData>
            </a:graphic>
          </wp:inline>
        </w:drawing>
      </w:r>
    </w:p>
    <w:p w14:paraId="05A8452E" w14:textId="77777777" w:rsidR="00B50234" w:rsidRDefault="00B50234" w:rsidP="00B50234"/>
    <w:p w14:paraId="2372AFA2" w14:textId="5E089C72" w:rsidR="00B50234" w:rsidRPr="0020273C" w:rsidRDefault="00B50234" w:rsidP="00B50234">
      <w:pPr>
        <w:rPr>
          <w:sz w:val="22"/>
          <w:szCs w:val="22"/>
        </w:rPr>
      </w:pPr>
      <w:r w:rsidRPr="0020273C">
        <w:rPr>
          <w:b/>
          <w:bCs/>
          <w:sz w:val="22"/>
          <w:szCs w:val="22"/>
        </w:rPr>
        <w:t>Calcium carbonate</w:t>
      </w:r>
      <w:r w:rsidRPr="0020273C">
        <w:rPr>
          <w:sz w:val="22"/>
          <w:szCs w:val="22"/>
        </w:rPr>
        <w:t xml:space="preserve"> -</w:t>
      </w:r>
      <w:r>
        <w:rPr>
          <w:sz w:val="22"/>
          <w:szCs w:val="22"/>
        </w:rPr>
        <w:t xml:space="preserve"> </w:t>
      </w:r>
      <w:r w:rsidRPr="0020273C">
        <w:rPr>
          <w:sz w:val="22"/>
          <w:szCs w:val="22"/>
        </w:rPr>
        <w:t>% CaCO</w:t>
      </w:r>
      <w:r w:rsidRPr="0020273C">
        <w:rPr>
          <w:sz w:val="22"/>
          <w:szCs w:val="22"/>
          <w:vertAlign w:val="subscript"/>
        </w:rPr>
        <w:t>3</w:t>
      </w:r>
      <w:r w:rsidRPr="0020273C">
        <w:rPr>
          <w:sz w:val="22"/>
          <w:szCs w:val="22"/>
        </w:rPr>
        <w:t xml:space="preserve"> plotted against Ca counts form shipboard XRF data at sites U1513 (a.) and U1516 (b.). The high R</w:t>
      </w:r>
      <w:r w:rsidRPr="0020273C">
        <w:rPr>
          <w:sz w:val="22"/>
          <w:szCs w:val="22"/>
          <w:vertAlign w:val="superscript"/>
        </w:rPr>
        <w:t>2</w:t>
      </w:r>
      <w:r w:rsidRPr="0020273C">
        <w:rPr>
          <w:sz w:val="22"/>
          <w:szCs w:val="22"/>
        </w:rPr>
        <w:t xml:space="preserve"> value demonstrates a strong correlation. The linear equation is used to produce a secondary axis on figures, which translates Ca counts into an approximation of % CaCO</w:t>
      </w:r>
      <w:r w:rsidRPr="0020273C">
        <w:rPr>
          <w:sz w:val="22"/>
          <w:szCs w:val="22"/>
          <w:vertAlign w:val="subscript"/>
        </w:rPr>
        <w:t>3</w:t>
      </w:r>
      <w:r w:rsidRPr="0020273C">
        <w:rPr>
          <w:sz w:val="22"/>
          <w:szCs w:val="22"/>
        </w:rPr>
        <w:t>.</w:t>
      </w:r>
    </w:p>
    <w:p w14:paraId="6A491772" w14:textId="0C8BA8DE" w:rsidR="0029447F" w:rsidRPr="00A42ADD" w:rsidRDefault="00B50234">
      <w:pPr>
        <w:spacing w:after="160" w:line="259" w:lineRule="auto"/>
      </w:pPr>
      <w:r>
        <w:br w:type="page"/>
      </w:r>
    </w:p>
    <w:p w14:paraId="12D8E62E" w14:textId="20F17603" w:rsidR="007872C4" w:rsidRDefault="006D44E9" w:rsidP="00417F4A">
      <w:pPr>
        <w:pStyle w:val="Heading2"/>
      </w:pPr>
      <w:r>
        <w:lastRenderedPageBreak/>
        <w:t xml:space="preserve">Supplementary Material </w:t>
      </w:r>
      <w:r w:rsidR="00B50234">
        <w:t>References</w:t>
      </w:r>
    </w:p>
    <w:p w14:paraId="66FFA1C5" w14:textId="1615A93C" w:rsidR="006D44E9" w:rsidRPr="006D44E9" w:rsidRDefault="006D44E9" w:rsidP="006D44E9"/>
    <w:p w14:paraId="2A14791E" w14:textId="6312C0DF" w:rsidR="008265FA" w:rsidRPr="008265FA" w:rsidRDefault="00B50234" w:rsidP="008265FA">
      <w:pPr>
        <w:widowControl w:val="0"/>
        <w:autoSpaceDE w:val="0"/>
        <w:autoSpaceDN w:val="0"/>
        <w:adjustRightInd w:val="0"/>
        <w:ind w:left="640" w:hanging="640"/>
        <w:rPr>
          <w:noProof/>
        </w:rPr>
      </w:pPr>
      <w:r>
        <w:fldChar w:fldCharType="begin" w:fldLock="1"/>
      </w:r>
      <w:r>
        <w:instrText xml:space="preserve">ADDIN Mendeley Bibliography CSL_BIBLIOGRAPHY </w:instrText>
      </w:r>
      <w:r>
        <w:fldChar w:fldCharType="separate"/>
      </w:r>
      <w:r w:rsidR="008265FA" w:rsidRPr="008265FA">
        <w:rPr>
          <w:noProof/>
        </w:rPr>
        <w:t>1.</w:t>
      </w:r>
      <w:r w:rsidR="008265FA" w:rsidRPr="008265FA">
        <w:rPr>
          <w:noProof/>
        </w:rPr>
        <w:tab/>
        <w:t xml:space="preserve">Frieling, J. </w:t>
      </w:r>
      <w:r w:rsidR="008265FA" w:rsidRPr="008265FA">
        <w:rPr>
          <w:i/>
          <w:iCs/>
          <w:noProof/>
        </w:rPr>
        <w:t>et al.</w:t>
      </w:r>
      <w:r w:rsidR="008265FA" w:rsidRPr="008265FA">
        <w:rPr>
          <w:noProof/>
        </w:rPr>
        <w:t xml:space="preserve"> Effects of redox variability and early diagenesis on marine sedimentary Hg records. </w:t>
      </w:r>
      <w:r w:rsidR="008265FA" w:rsidRPr="008265FA">
        <w:rPr>
          <w:i/>
          <w:iCs/>
          <w:noProof/>
        </w:rPr>
        <w:t>Geochim. Cosmochim. Acta</w:t>
      </w:r>
      <w:r w:rsidR="008265FA" w:rsidRPr="008265FA">
        <w:rPr>
          <w:noProof/>
        </w:rPr>
        <w:t xml:space="preserve"> </w:t>
      </w:r>
      <w:r w:rsidR="008265FA" w:rsidRPr="008265FA">
        <w:rPr>
          <w:b/>
          <w:bCs/>
          <w:noProof/>
        </w:rPr>
        <w:t>351</w:t>
      </w:r>
      <w:r w:rsidR="008265FA" w:rsidRPr="008265FA">
        <w:rPr>
          <w:noProof/>
        </w:rPr>
        <w:t>, 78–95 (2023).</w:t>
      </w:r>
    </w:p>
    <w:p w14:paraId="6E773635" w14:textId="77777777" w:rsidR="008265FA" w:rsidRPr="008265FA" w:rsidRDefault="008265FA" w:rsidP="008265FA">
      <w:pPr>
        <w:widowControl w:val="0"/>
        <w:autoSpaceDE w:val="0"/>
        <w:autoSpaceDN w:val="0"/>
        <w:adjustRightInd w:val="0"/>
        <w:ind w:left="640" w:hanging="640"/>
        <w:rPr>
          <w:noProof/>
        </w:rPr>
      </w:pPr>
      <w:r w:rsidRPr="008265FA">
        <w:rPr>
          <w:noProof/>
        </w:rPr>
        <w:t>2.</w:t>
      </w:r>
      <w:r w:rsidRPr="008265FA">
        <w:rPr>
          <w:noProof/>
        </w:rPr>
        <w:tab/>
        <w:t xml:space="preserve">Percival, L. M. E. </w:t>
      </w:r>
      <w:r w:rsidRPr="008265FA">
        <w:rPr>
          <w:i/>
          <w:iCs/>
          <w:noProof/>
        </w:rPr>
        <w:t>et al.</w:t>
      </w:r>
      <w:r w:rsidRPr="008265FA">
        <w:rPr>
          <w:noProof/>
        </w:rPr>
        <w:t xml:space="preserve"> Does large igneous province volcanism always perturb the mercury cycle? Comparing the records of Oceanic Anoxic Event 2 and the end-Cretaceous to other Mesozoic events. </w:t>
      </w:r>
      <w:r w:rsidRPr="008265FA">
        <w:rPr>
          <w:i/>
          <w:iCs/>
          <w:noProof/>
        </w:rPr>
        <w:t>Am. J. Sci.</w:t>
      </w:r>
      <w:r w:rsidRPr="008265FA">
        <w:rPr>
          <w:noProof/>
        </w:rPr>
        <w:t xml:space="preserve"> </w:t>
      </w:r>
      <w:r w:rsidRPr="008265FA">
        <w:rPr>
          <w:b/>
          <w:bCs/>
          <w:noProof/>
        </w:rPr>
        <w:t>318</w:t>
      </w:r>
      <w:r w:rsidRPr="008265FA">
        <w:rPr>
          <w:noProof/>
        </w:rPr>
        <w:t>, 799–860 (2018).</w:t>
      </w:r>
    </w:p>
    <w:p w14:paraId="6E6785F0" w14:textId="77777777" w:rsidR="008265FA" w:rsidRPr="008265FA" w:rsidRDefault="008265FA" w:rsidP="008265FA">
      <w:pPr>
        <w:widowControl w:val="0"/>
        <w:autoSpaceDE w:val="0"/>
        <w:autoSpaceDN w:val="0"/>
        <w:adjustRightInd w:val="0"/>
        <w:ind w:left="640" w:hanging="640"/>
        <w:rPr>
          <w:noProof/>
        </w:rPr>
      </w:pPr>
      <w:r w:rsidRPr="008265FA">
        <w:rPr>
          <w:noProof/>
        </w:rPr>
        <w:t>3.</w:t>
      </w:r>
      <w:r w:rsidRPr="008265FA">
        <w:rPr>
          <w:noProof/>
        </w:rPr>
        <w:tab/>
        <w:t xml:space="preserve">Huber, B. T., Hobbs, R. W., Bogus, K. A. &amp; and the Expedition 369 Scientists. Proceedings of the International Ocean Discovery Program Volume 369 Australia Cretaceous Climate and Tectonics. </w:t>
      </w:r>
      <w:r w:rsidRPr="008265FA">
        <w:rPr>
          <w:i/>
          <w:iCs/>
          <w:noProof/>
        </w:rPr>
        <w:t>Proc. Int. Ocean Discov. Progr.</w:t>
      </w:r>
      <w:r w:rsidRPr="008265FA">
        <w:rPr>
          <w:noProof/>
        </w:rPr>
        <w:t xml:space="preserve"> </w:t>
      </w:r>
      <w:r w:rsidRPr="008265FA">
        <w:rPr>
          <w:b/>
          <w:bCs/>
          <w:noProof/>
        </w:rPr>
        <w:t>369</w:t>
      </w:r>
      <w:r w:rsidRPr="008265FA">
        <w:rPr>
          <w:noProof/>
        </w:rPr>
        <w:t>, (2019).</w:t>
      </w:r>
    </w:p>
    <w:p w14:paraId="148A3D9A" w14:textId="77777777" w:rsidR="008265FA" w:rsidRPr="008265FA" w:rsidRDefault="008265FA" w:rsidP="008265FA">
      <w:pPr>
        <w:widowControl w:val="0"/>
        <w:autoSpaceDE w:val="0"/>
        <w:autoSpaceDN w:val="0"/>
        <w:adjustRightInd w:val="0"/>
        <w:ind w:left="640" w:hanging="640"/>
        <w:rPr>
          <w:noProof/>
        </w:rPr>
      </w:pPr>
      <w:r w:rsidRPr="008265FA">
        <w:rPr>
          <w:noProof/>
        </w:rPr>
        <w:t>4.</w:t>
      </w:r>
      <w:r w:rsidRPr="008265FA">
        <w:rPr>
          <w:noProof/>
        </w:rPr>
        <w:tab/>
        <w:t xml:space="preserve">Amos, H. M. </w:t>
      </w:r>
      <w:r w:rsidRPr="008265FA">
        <w:rPr>
          <w:i/>
          <w:iCs/>
          <w:noProof/>
        </w:rPr>
        <w:t>et al.</w:t>
      </w:r>
      <w:r w:rsidRPr="008265FA">
        <w:rPr>
          <w:noProof/>
        </w:rPr>
        <w:t xml:space="preserve"> Global biogeochemical implications of mercury discharges from rivers and sediment burial. </w:t>
      </w:r>
      <w:r w:rsidRPr="008265FA">
        <w:rPr>
          <w:i/>
          <w:iCs/>
          <w:noProof/>
        </w:rPr>
        <w:t>Environ. Sci. Technol.</w:t>
      </w:r>
      <w:r w:rsidRPr="008265FA">
        <w:rPr>
          <w:noProof/>
        </w:rPr>
        <w:t xml:space="preserve"> </w:t>
      </w:r>
      <w:r w:rsidRPr="008265FA">
        <w:rPr>
          <w:b/>
          <w:bCs/>
          <w:noProof/>
        </w:rPr>
        <w:t>48</w:t>
      </w:r>
      <w:r w:rsidRPr="008265FA">
        <w:rPr>
          <w:noProof/>
        </w:rPr>
        <w:t>, 9514–9522 (2014).</w:t>
      </w:r>
    </w:p>
    <w:p w14:paraId="166A08B3" w14:textId="77777777" w:rsidR="008265FA" w:rsidRPr="008265FA" w:rsidRDefault="008265FA" w:rsidP="008265FA">
      <w:pPr>
        <w:widowControl w:val="0"/>
        <w:autoSpaceDE w:val="0"/>
        <w:autoSpaceDN w:val="0"/>
        <w:adjustRightInd w:val="0"/>
        <w:ind w:left="640" w:hanging="640"/>
        <w:rPr>
          <w:noProof/>
        </w:rPr>
      </w:pPr>
      <w:r w:rsidRPr="008265FA">
        <w:rPr>
          <w:noProof/>
        </w:rPr>
        <w:t>5.</w:t>
      </w:r>
      <w:r w:rsidRPr="008265FA">
        <w:rPr>
          <w:noProof/>
        </w:rPr>
        <w:tab/>
        <w:t xml:space="preserve">Petrizzo, M. R. </w:t>
      </w:r>
      <w:r w:rsidRPr="008265FA">
        <w:rPr>
          <w:i/>
          <w:iCs/>
          <w:noProof/>
        </w:rPr>
        <w:t>et al.</w:t>
      </w:r>
      <w:r w:rsidRPr="008265FA">
        <w:rPr>
          <w:noProof/>
        </w:rPr>
        <w:t xml:space="preserve"> Exploring the paleoceanographic changes registered by planktonic foraminifera across the Cenomanian-Turonian boundary interval and Oceanic Anoxic Event 2 at southern high latitudes in the Mentelle Basin (SE Indian Ocean). </w:t>
      </w:r>
      <w:r w:rsidRPr="008265FA">
        <w:rPr>
          <w:i/>
          <w:iCs/>
          <w:noProof/>
        </w:rPr>
        <w:t>Glob. Planet. Change</w:t>
      </w:r>
      <w:r w:rsidRPr="008265FA">
        <w:rPr>
          <w:noProof/>
        </w:rPr>
        <w:t xml:space="preserve"> </w:t>
      </w:r>
      <w:r w:rsidRPr="008265FA">
        <w:rPr>
          <w:b/>
          <w:bCs/>
          <w:noProof/>
        </w:rPr>
        <w:t>206</w:t>
      </w:r>
      <w:r w:rsidRPr="008265FA">
        <w:rPr>
          <w:noProof/>
        </w:rPr>
        <w:t>, 103595 (2021).</w:t>
      </w:r>
    </w:p>
    <w:p w14:paraId="7CDC8700" w14:textId="77777777" w:rsidR="008265FA" w:rsidRPr="008265FA" w:rsidRDefault="008265FA" w:rsidP="008265FA">
      <w:pPr>
        <w:widowControl w:val="0"/>
        <w:autoSpaceDE w:val="0"/>
        <w:autoSpaceDN w:val="0"/>
        <w:adjustRightInd w:val="0"/>
        <w:ind w:left="640" w:hanging="640"/>
        <w:rPr>
          <w:noProof/>
        </w:rPr>
      </w:pPr>
      <w:r w:rsidRPr="008265FA">
        <w:rPr>
          <w:noProof/>
        </w:rPr>
        <w:t>6.</w:t>
      </w:r>
      <w:r w:rsidRPr="008265FA">
        <w:rPr>
          <w:noProof/>
        </w:rPr>
        <w:tab/>
        <w:t xml:space="preserve">Petrizzo, M. R., MacLeod, K. G., Watkins, D. K., Wolfgring, E. &amp; Huber, B. T. Late Cretaceous Paleoceanographic Evolution and the Onset of Cooling in the Santonian at Southern High Latitudes (IODP Site U1513, SE Indian Ocean). </w:t>
      </w:r>
      <w:r w:rsidRPr="008265FA">
        <w:rPr>
          <w:i/>
          <w:iCs/>
          <w:noProof/>
        </w:rPr>
        <w:t>Paleoceanogr. Paleoclimatology</w:t>
      </w:r>
      <w:r w:rsidRPr="008265FA">
        <w:rPr>
          <w:noProof/>
        </w:rPr>
        <w:t xml:space="preserve"> </w:t>
      </w:r>
      <w:r w:rsidRPr="008265FA">
        <w:rPr>
          <w:b/>
          <w:bCs/>
          <w:noProof/>
        </w:rPr>
        <w:t>37</w:t>
      </w:r>
      <w:r w:rsidRPr="008265FA">
        <w:rPr>
          <w:noProof/>
        </w:rPr>
        <w:t>, (2022).</w:t>
      </w:r>
    </w:p>
    <w:p w14:paraId="3334123F" w14:textId="77777777" w:rsidR="008265FA" w:rsidRPr="008265FA" w:rsidRDefault="008265FA" w:rsidP="008265FA">
      <w:pPr>
        <w:widowControl w:val="0"/>
        <w:autoSpaceDE w:val="0"/>
        <w:autoSpaceDN w:val="0"/>
        <w:adjustRightInd w:val="0"/>
        <w:ind w:left="640" w:hanging="640"/>
        <w:rPr>
          <w:noProof/>
        </w:rPr>
      </w:pPr>
      <w:r w:rsidRPr="008265FA">
        <w:rPr>
          <w:noProof/>
        </w:rPr>
        <w:t>7.</w:t>
      </w:r>
      <w:r w:rsidRPr="008265FA">
        <w:rPr>
          <w:noProof/>
        </w:rPr>
        <w:tab/>
        <w:t xml:space="preserve">Petrizzo, M. R. </w:t>
      </w:r>
      <w:r w:rsidRPr="008265FA">
        <w:rPr>
          <w:i/>
          <w:iCs/>
          <w:noProof/>
        </w:rPr>
        <w:t>et al.</w:t>
      </w:r>
      <w:r w:rsidRPr="008265FA">
        <w:rPr>
          <w:noProof/>
        </w:rPr>
        <w:t xml:space="preserve"> Biotic and Paleoceanographic Changes Across the Late Cretaceous Oceanic Anoxic Event 2 in the Southern High Latitudes (IODP Sites U1513 and U1516, SE Indian Ocean). </w:t>
      </w:r>
      <w:r w:rsidRPr="008265FA">
        <w:rPr>
          <w:i/>
          <w:iCs/>
          <w:noProof/>
        </w:rPr>
        <w:t>Paleoceanogr. Paleoclimatology</w:t>
      </w:r>
      <w:r w:rsidRPr="008265FA">
        <w:rPr>
          <w:noProof/>
        </w:rPr>
        <w:t xml:space="preserve"> </w:t>
      </w:r>
      <w:r w:rsidRPr="008265FA">
        <w:rPr>
          <w:b/>
          <w:bCs/>
          <w:noProof/>
        </w:rPr>
        <w:t>37</w:t>
      </w:r>
      <w:r w:rsidRPr="008265FA">
        <w:rPr>
          <w:noProof/>
        </w:rPr>
        <w:t>, e2022PA004474 (2022).</w:t>
      </w:r>
    </w:p>
    <w:p w14:paraId="6FACCF7A" w14:textId="77777777" w:rsidR="008265FA" w:rsidRPr="008265FA" w:rsidRDefault="008265FA" w:rsidP="008265FA">
      <w:pPr>
        <w:widowControl w:val="0"/>
        <w:autoSpaceDE w:val="0"/>
        <w:autoSpaceDN w:val="0"/>
        <w:adjustRightInd w:val="0"/>
        <w:ind w:left="640" w:hanging="640"/>
        <w:rPr>
          <w:noProof/>
        </w:rPr>
      </w:pPr>
      <w:r w:rsidRPr="008265FA">
        <w:rPr>
          <w:noProof/>
        </w:rPr>
        <w:t>8.</w:t>
      </w:r>
      <w:r w:rsidRPr="008265FA">
        <w:rPr>
          <w:noProof/>
        </w:rPr>
        <w:tab/>
        <w:t xml:space="preserve">Gradstein, F. M., Ogg, J. G., Schmitz, M. D. &amp; Ogg, G. M. </w:t>
      </w:r>
      <w:r w:rsidRPr="008265FA">
        <w:rPr>
          <w:i/>
          <w:iCs/>
          <w:noProof/>
        </w:rPr>
        <w:t>The Geologic time scale, 2012</w:t>
      </w:r>
      <w:r w:rsidRPr="008265FA">
        <w:rPr>
          <w:noProof/>
        </w:rPr>
        <w:t>. (Elsevier Science, 2012).</w:t>
      </w:r>
    </w:p>
    <w:p w14:paraId="53A07E4B" w14:textId="77777777" w:rsidR="008265FA" w:rsidRPr="008265FA" w:rsidRDefault="008265FA" w:rsidP="008265FA">
      <w:pPr>
        <w:widowControl w:val="0"/>
        <w:autoSpaceDE w:val="0"/>
        <w:autoSpaceDN w:val="0"/>
        <w:adjustRightInd w:val="0"/>
        <w:ind w:left="640" w:hanging="640"/>
        <w:rPr>
          <w:noProof/>
        </w:rPr>
      </w:pPr>
      <w:r w:rsidRPr="008265FA">
        <w:rPr>
          <w:noProof/>
        </w:rPr>
        <w:t>9.</w:t>
      </w:r>
      <w:r w:rsidRPr="008265FA">
        <w:rPr>
          <w:noProof/>
        </w:rPr>
        <w:tab/>
        <w:t xml:space="preserve">Friedrich, O. Benthic foraminifera and their role to decipher paleoenvironment during mid-Cretaceous Oceanic Anoxic Events–the “anoxic benthic foraminifera” paradox. </w:t>
      </w:r>
      <w:r w:rsidRPr="008265FA">
        <w:rPr>
          <w:i/>
          <w:iCs/>
          <w:noProof/>
        </w:rPr>
        <w:t>Rev. micropaléontologie</w:t>
      </w:r>
      <w:r w:rsidRPr="008265FA">
        <w:rPr>
          <w:noProof/>
        </w:rPr>
        <w:t xml:space="preserve"> </w:t>
      </w:r>
      <w:r w:rsidRPr="008265FA">
        <w:rPr>
          <w:b/>
          <w:bCs/>
          <w:noProof/>
        </w:rPr>
        <w:t>53</w:t>
      </w:r>
      <w:r w:rsidRPr="008265FA">
        <w:rPr>
          <w:noProof/>
        </w:rPr>
        <w:t>, 175–192 (2010).</w:t>
      </w:r>
    </w:p>
    <w:p w14:paraId="4F19F091" w14:textId="77777777" w:rsidR="008265FA" w:rsidRPr="008265FA" w:rsidRDefault="008265FA" w:rsidP="008265FA">
      <w:pPr>
        <w:widowControl w:val="0"/>
        <w:autoSpaceDE w:val="0"/>
        <w:autoSpaceDN w:val="0"/>
        <w:adjustRightInd w:val="0"/>
        <w:ind w:left="640" w:hanging="640"/>
        <w:rPr>
          <w:noProof/>
        </w:rPr>
      </w:pPr>
      <w:r w:rsidRPr="008265FA">
        <w:rPr>
          <w:noProof/>
        </w:rPr>
        <w:t>10.</w:t>
      </w:r>
      <w:r w:rsidRPr="008265FA">
        <w:rPr>
          <w:noProof/>
        </w:rPr>
        <w:tab/>
        <w:t xml:space="preserve">Koutsoukos, E. A. M. &amp; Hart, M. B. Cretaceous foraminiferal morphogroup distribution patterns, palaeocommunities and trophic structures: a case study from the Sergipe Basin, Brazil. </w:t>
      </w:r>
      <w:r w:rsidRPr="008265FA">
        <w:rPr>
          <w:i/>
          <w:iCs/>
          <w:noProof/>
        </w:rPr>
        <w:t>Earth Environ. Sci. Trans. R. Soc. Edinburgh</w:t>
      </w:r>
      <w:r w:rsidRPr="008265FA">
        <w:rPr>
          <w:noProof/>
        </w:rPr>
        <w:t xml:space="preserve"> </w:t>
      </w:r>
      <w:r w:rsidRPr="008265FA">
        <w:rPr>
          <w:b/>
          <w:bCs/>
          <w:noProof/>
        </w:rPr>
        <w:t>81</w:t>
      </w:r>
      <w:r w:rsidRPr="008265FA">
        <w:rPr>
          <w:noProof/>
        </w:rPr>
        <w:t>, 221–246 (1990).</w:t>
      </w:r>
    </w:p>
    <w:p w14:paraId="312EC50A" w14:textId="77777777" w:rsidR="008265FA" w:rsidRPr="008265FA" w:rsidRDefault="008265FA" w:rsidP="008265FA">
      <w:pPr>
        <w:widowControl w:val="0"/>
        <w:autoSpaceDE w:val="0"/>
        <w:autoSpaceDN w:val="0"/>
        <w:adjustRightInd w:val="0"/>
        <w:ind w:left="640" w:hanging="640"/>
        <w:rPr>
          <w:noProof/>
        </w:rPr>
      </w:pPr>
      <w:r w:rsidRPr="008265FA">
        <w:rPr>
          <w:noProof/>
        </w:rPr>
        <w:t>11.</w:t>
      </w:r>
      <w:r w:rsidRPr="008265FA">
        <w:rPr>
          <w:noProof/>
        </w:rPr>
        <w:tab/>
        <w:t xml:space="preserve">Koutsoukos, E. A. M., Leary, P. N. &amp; Hart, M. B. Latest Cenomanian—earliest Turonian low-oxygen tolerant benthonic foraminifera: a case-study from the Sergipe basin (NE Brazil) and the western Anglo-Paris basin (southern England). </w:t>
      </w:r>
      <w:r w:rsidRPr="008265FA">
        <w:rPr>
          <w:i/>
          <w:iCs/>
          <w:noProof/>
        </w:rPr>
        <w:t>Palaeogeogr. Palaeoclimatol. Palaeoecol.</w:t>
      </w:r>
      <w:r w:rsidRPr="008265FA">
        <w:rPr>
          <w:noProof/>
        </w:rPr>
        <w:t xml:space="preserve"> </w:t>
      </w:r>
      <w:r w:rsidRPr="008265FA">
        <w:rPr>
          <w:b/>
          <w:bCs/>
          <w:noProof/>
        </w:rPr>
        <w:t>77</w:t>
      </w:r>
      <w:r w:rsidRPr="008265FA">
        <w:rPr>
          <w:noProof/>
        </w:rPr>
        <w:t>, 145–177 (1990).</w:t>
      </w:r>
    </w:p>
    <w:p w14:paraId="6A49ECB8" w14:textId="77777777" w:rsidR="008265FA" w:rsidRPr="008265FA" w:rsidRDefault="008265FA" w:rsidP="008265FA">
      <w:pPr>
        <w:widowControl w:val="0"/>
        <w:autoSpaceDE w:val="0"/>
        <w:autoSpaceDN w:val="0"/>
        <w:adjustRightInd w:val="0"/>
        <w:ind w:left="640" w:hanging="640"/>
        <w:rPr>
          <w:noProof/>
        </w:rPr>
      </w:pPr>
      <w:r w:rsidRPr="008265FA">
        <w:rPr>
          <w:noProof/>
        </w:rPr>
        <w:t>12.</w:t>
      </w:r>
      <w:r w:rsidRPr="008265FA">
        <w:rPr>
          <w:noProof/>
        </w:rPr>
        <w:tab/>
        <w:t xml:space="preserve">Bernhard, J. M. Characteristic assemblages and morphologies of benthic foraminifera from anoxic, organic-rich deposits; Jurassic through Holocene. </w:t>
      </w:r>
      <w:r w:rsidRPr="008265FA">
        <w:rPr>
          <w:i/>
          <w:iCs/>
          <w:noProof/>
        </w:rPr>
        <w:t>J. Foraminifer. Res.</w:t>
      </w:r>
      <w:r w:rsidRPr="008265FA">
        <w:rPr>
          <w:noProof/>
        </w:rPr>
        <w:t xml:space="preserve"> </w:t>
      </w:r>
      <w:r w:rsidRPr="008265FA">
        <w:rPr>
          <w:b/>
          <w:bCs/>
          <w:noProof/>
        </w:rPr>
        <w:t>16</w:t>
      </w:r>
      <w:r w:rsidRPr="008265FA">
        <w:rPr>
          <w:noProof/>
        </w:rPr>
        <w:t>, 207–215 (1986).</w:t>
      </w:r>
    </w:p>
    <w:p w14:paraId="310B31C0" w14:textId="77777777" w:rsidR="008265FA" w:rsidRPr="008265FA" w:rsidRDefault="008265FA" w:rsidP="008265FA">
      <w:pPr>
        <w:widowControl w:val="0"/>
        <w:autoSpaceDE w:val="0"/>
        <w:autoSpaceDN w:val="0"/>
        <w:adjustRightInd w:val="0"/>
        <w:ind w:left="640" w:hanging="640"/>
        <w:rPr>
          <w:noProof/>
        </w:rPr>
      </w:pPr>
      <w:r w:rsidRPr="008265FA">
        <w:rPr>
          <w:noProof/>
        </w:rPr>
        <w:t>13.</w:t>
      </w:r>
      <w:r w:rsidRPr="008265FA">
        <w:rPr>
          <w:noProof/>
        </w:rPr>
        <w:tab/>
        <w:t xml:space="preserve">Wendler, I., Huber, B. T., MacLeod, K. G. &amp; Wendler, J. E. Stable oxygen and carbon isotope systematics of exquisitely preserved Turonian foraminifera from Tanzania—Understanding isotopic signatures in fossils. </w:t>
      </w:r>
      <w:r w:rsidRPr="008265FA">
        <w:rPr>
          <w:i/>
          <w:iCs/>
          <w:noProof/>
        </w:rPr>
        <w:t>Mar. Micropaleontol.</w:t>
      </w:r>
      <w:r w:rsidRPr="008265FA">
        <w:rPr>
          <w:noProof/>
        </w:rPr>
        <w:t xml:space="preserve"> </w:t>
      </w:r>
      <w:r w:rsidRPr="008265FA">
        <w:rPr>
          <w:b/>
          <w:bCs/>
          <w:noProof/>
        </w:rPr>
        <w:t>102</w:t>
      </w:r>
      <w:r w:rsidRPr="008265FA">
        <w:rPr>
          <w:noProof/>
        </w:rPr>
        <w:t>, 1–33 (2013).</w:t>
      </w:r>
    </w:p>
    <w:p w14:paraId="1580639A" w14:textId="77777777" w:rsidR="008265FA" w:rsidRPr="008265FA" w:rsidRDefault="008265FA" w:rsidP="008265FA">
      <w:pPr>
        <w:widowControl w:val="0"/>
        <w:autoSpaceDE w:val="0"/>
        <w:autoSpaceDN w:val="0"/>
        <w:adjustRightInd w:val="0"/>
        <w:ind w:left="640" w:hanging="640"/>
        <w:rPr>
          <w:noProof/>
        </w:rPr>
      </w:pPr>
      <w:r w:rsidRPr="008265FA">
        <w:rPr>
          <w:noProof/>
        </w:rPr>
        <w:t>14.</w:t>
      </w:r>
      <w:r w:rsidRPr="008265FA">
        <w:rPr>
          <w:noProof/>
        </w:rPr>
        <w:tab/>
        <w:t xml:space="preserve">Gebhardt, H., Kuhnt, W. &amp; Holbourn, A. Foraminiferal response to sea level change, organic flux and oxygen deficiency in the Cenomanian of the Tarfaya Basin, southern Morocco. </w:t>
      </w:r>
      <w:r w:rsidRPr="008265FA">
        <w:rPr>
          <w:i/>
          <w:iCs/>
          <w:noProof/>
        </w:rPr>
        <w:t>Mar. Micropaleontol.</w:t>
      </w:r>
      <w:r w:rsidRPr="008265FA">
        <w:rPr>
          <w:noProof/>
        </w:rPr>
        <w:t xml:space="preserve"> </w:t>
      </w:r>
      <w:r w:rsidRPr="008265FA">
        <w:rPr>
          <w:b/>
          <w:bCs/>
          <w:noProof/>
        </w:rPr>
        <w:t>53</w:t>
      </w:r>
      <w:r w:rsidRPr="008265FA">
        <w:rPr>
          <w:noProof/>
        </w:rPr>
        <w:t>, 133–157 (2004).</w:t>
      </w:r>
    </w:p>
    <w:p w14:paraId="7979BE0B" w14:textId="77777777" w:rsidR="008265FA" w:rsidRPr="008265FA" w:rsidRDefault="008265FA" w:rsidP="008265FA">
      <w:pPr>
        <w:widowControl w:val="0"/>
        <w:autoSpaceDE w:val="0"/>
        <w:autoSpaceDN w:val="0"/>
        <w:adjustRightInd w:val="0"/>
        <w:ind w:left="640" w:hanging="640"/>
        <w:rPr>
          <w:noProof/>
        </w:rPr>
      </w:pPr>
      <w:r w:rsidRPr="008265FA">
        <w:rPr>
          <w:noProof/>
        </w:rPr>
        <w:t>15.</w:t>
      </w:r>
      <w:r w:rsidRPr="008265FA">
        <w:rPr>
          <w:noProof/>
        </w:rPr>
        <w:tab/>
        <w:t xml:space="preserve">Gertsch, B. </w:t>
      </w:r>
      <w:r w:rsidRPr="008265FA">
        <w:rPr>
          <w:i/>
          <w:iCs/>
          <w:noProof/>
        </w:rPr>
        <w:t>et al.</w:t>
      </w:r>
      <w:r w:rsidRPr="008265FA">
        <w:rPr>
          <w:noProof/>
        </w:rPr>
        <w:t xml:space="preserve"> Middle and late Cenomanian oceanic anoxic events in shallow and </w:t>
      </w:r>
      <w:r w:rsidRPr="008265FA">
        <w:rPr>
          <w:noProof/>
        </w:rPr>
        <w:lastRenderedPageBreak/>
        <w:t xml:space="preserve">deeper shelf environments of western Morocco. </w:t>
      </w:r>
      <w:r w:rsidRPr="008265FA">
        <w:rPr>
          <w:i/>
          <w:iCs/>
          <w:noProof/>
        </w:rPr>
        <w:t>Sedimentology</w:t>
      </w:r>
      <w:r w:rsidRPr="008265FA">
        <w:rPr>
          <w:noProof/>
        </w:rPr>
        <w:t xml:space="preserve"> (2010) doi:10.1111/j.1365-3091.2010.01151.x.</w:t>
      </w:r>
    </w:p>
    <w:p w14:paraId="4E7CA78D" w14:textId="77777777" w:rsidR="008265FA" w:rsidRPr="008265FA" w:rsidRDefault="008265FA" w:rsidP="008265FA">
      <w:pPr>
        <w:widowControl w:val="0"/>
        <w:autoSpaceDE w:val="0"/>
        <w:autoSpaceDN w:val="0"/>
        <w:adjustRightInd w:val="0"/>
        <w:ind w:left="640" w:hanging="640"/>
        <w:rPr>
          <w:noProof/>
        </w:rPr>
      </w:pPr>
      <w:r w:rsidRPr="008265FA">
        <w:rPr>
          <w:noProof/>
        </w:rPr>
        <w:t>16.</w:t>
      </w:r>
      <w:r w:rsidRPr="008265FA">
        <w:rPr>
          <w:noProof/>
        </w:rPr>
        <w:tab/>
        <w:t xml:space="preserve">de España, N. &amp; Gräfe, K. U. Late Cretaceous benthic foraminifers from the Basque-Cantabrian basin, northern Spain. </w:t>
      </w:r>
      <w:r w:rsidRPr="008265FA">
        <w:rPr>
          <w:i/>
          <w:iCs/>
          <w:noProof/>
        </w:rPr>
        <w:t>J. Iber. Geol.</w:t>
      </w:r>
      <w:r w:rsidRPr="008265FA">
        <w:rPr>
          <w:noProof/>
        </w:rPr>
        <w:t xml:space="preserve"> </w:t>
      </w:r>
      <w:r w:rsidRPr="008265FA">
        <w:rPr>
          <w:b/>
          <w:bCs/>
          <w:noProof/>
        </w:rPr>
        <w:t>31</w:t>
      </w:r>
      <w:r w:rsidRPr="008265FA">
        <w:rPr>
          <w:noProof/>
        </w:rPr>
        <w:t>, 277–298 (2005).</w:t>
      </w:r>
    </w:p>
    <w:p w14:paraId="1F34BA4B" w14:textId="77777777" w:rsidR="008265FA" w:rsidRPr="008265FA" w:rsidRDefault="008265FA" w:rsidP="008265FA">
      <w:pPr>
        <w:widowControl w:val="0"/>
        <w:autoSpaceDE w:val="0"/>
        <w:autoSpaceDN w:val="0"/>
        <w:adjustRightInd w:val="0"/>
        <w:ind w:left="640" w:hanging="640"/>
        <w:rPr>
          <w:noProof/>
        </w:rPr>
      </w:pPr>
      <w:r w:rsidRPr="008265FA">
        <w:rPr>
          <w:noProof/>
        </w:rPr>
        <w:t>17.</w:t>
      </w:r>
      <w:r w:rsidRPr="008265FA">
        <w:rPr>
          <w:noProof/>
        </w:rPr>
        <w:tab/>
        <w:t xml:space="preserve">Thomas, E. Late Cretaceous through Neogene deep-sea benthic foraminifera (Maud Rise, Weddell Sea, Antarctica). </w:t>
      </w:r>
      <w:r w:rsidRPr="008265FA">
        <w:rPr>
          <w:i/>
          <w:iCs/>
          <w:noProof/>
        </w:rPr>
        <w:t>Initial Reports Deep Sea Drill. Proj.</w:t>
      </w:r>
      <w:r w:rsidRPr="008265FA">
        <w:rPr>
          <w:noProof/>
        </w:rPr>
        <w:t xml:space="preserve"> </w:t>
      </w:r>
      <w:r w:rsidRPr="008265FA">
        <w:rPr>
          <w:b/>
          <w:bCs/>
          <w:noProof/>
        </w:rPr>
        <w:t>113B</w:t>
      </w:r>
      <w:r w:rsidRPr="008265FA">
        <w:rPr>
          <w:noProof/>
        </w:rPr>
        <w:t>, 571–594 (1990).</w:t>
      </w:r>
    </w:p>
    <w:p w14:paraId="44DBA291" w14:textId="77777777" w:rsidR="008265FA" w:rsidRPr="008265FA" w:rsidRDefault="008265FA" w:rsidP="008265FA">
      <w:pPr>
        <w:widowControl w:val="0"/>
        <w:autoSpaceDE w:val="0"/>
        <w:autoSpaceDN w:val="0"/>
        <w:adjustRightInd w:val="0"/>
        <w:ind w:left="640" w:hanging="640"/>
        <w:rPr>
          <w:noProof/>
        </w:rPr>
      </w:pPr>
      <w:r w:rsidRPr="008265FA">
        <w:rPr>
          <w:noProof/>
        </w:rPr>
        <w:t>18.</w:t>
      </w:r>
      <w:r w:rsidRPr="008265FA">
        <w:rPr>
          <w:noProof/>
        </w:rPr>
        <w:tab/>
        <w:t xml:space="preserve">Friedrich, O., Erbacher, J. &amp; Mutterlose, J. Paleoenvironmental changes across the Cenomanian/Turonian boundary event (oceanic anoxic event 2) as indicated by benthic foraminifera from the Demerara Rise (ODP Leg 207). </w:t>
      </w:r>
      <w:r w:rsidRPr="008265FA">
        <w:rPr>
          <w:i/>
          <w:iCs/>
          <w:noProof/>
        </w:rPr>
        <w:t>Rev. micropaléontologie</w:t>
      </w:r>
      <w:r w:rsidRPr="008265FA">
        <w:rPr>
          <w:noProof/>
        </w:rPr>
        <w:t xml:space="preserve"> </w:t>
      </w:r>
      <w:r w:rsidRPr="008265FA">
        <w:rPr>
          <w:b/>
          <w:bCs/>
          <w:noProof/>
        </w:rPr>
        <w:t>49</w:t>
      </w:r>
      <w:r w:rsidRPr="008265FA">
        <w:rPr>
          <w:noProof/>
        </w:rPr>
        <w:t>, 121–139 (2006).</w:t>
      </w:r>
    </w:p>
    <w:p w14:paraId="38F86DEB" w14:textId="77777777" w:rsidR="008265FA" w:rsidRPr="008265FA" w:rsidRDefault="008265FA" w:rsidP="008265FA">
      <w:pPr>
        <w:widowControl w:val="0"/>
        <w:autoSpaceDE w:val="0"/>
        <w:autoSpaceDN w:val="0"/>
        <w:adjustRightInd w:val="0"/>
        <w:ind w:left="640" w:hanging="640"/>
        <w:rPr>
          <w:noProof/>
        </w:rPr>
      </w:pPr>
      <w:r w:rsidRPr="008265FA">
        <w:rPr>
          <w:noProof/>
        </w:rPr>
        <w:t>19.</w:t>
      </w:r>
      <w:r w:rsidRPr="008265FA">
        <w:rPr>
          <w:noProof/>
        </w:rPr>
        <w:tab/>
        <w:t xml:space="preserve">Frenzel, P. Die benthischen Foraminiferen der Rügener Schreibkreide (Unter-Maastricht, NE-Deutschland). </w:t>
      </w:r>
      <w:r w:rsidRPr="008265FA">
        <w:rPr>
          <w:i/>
          <w:iCs/>
          <w:noProof/>
        </w:rPr>
        <w:t>Neues Jahrb. fur Geol. und Palaontologie - Abhandlungen</w:t>
      </w:r>
      <w:r w:rsidRPr="008265FA">
        <w:rPr>
          <w:noProof/>
        </w:rPr>
        <w:t xml:space="preserve"> </w:t>
      </w:r>
      <w:r w:rsidRPr="008265FA">
        <w:rPr>
          <w:b/>
          <w:bCs/>
          <w:noProof/>
        </w:rPr>
        <w:t>3</w:t>
      </w:r>
      <w:r w:rsidRPr="008265FA">
        <w:rPr>
          <w:noProof/>
        </w:rPr>
        <w:t>, 1–361 (2000).</w:t>
      </w:r>
    </w:p>
    <w:p w14:paraId="2D9D90A9" w14:textId="77777777" w:rsidR="008265FA" w:rsidRPr="008265FA" w:rsidRDefault="008265FA" w:rsidP="008265FA">
      <w:pPr>
        <w:widowControl w:val="0"/>
        <w:autoSpaceDE w:val="0"/>
        <w:autoSpaceDN w:val="0"/>
        <w:adjustRightInd w:val="0"/>
        <w:ind w:left="640" w:hanging="640"/>
        <w:rPr>
          <w:noProof/>
        </w:rPr>
      </w:pPr>
      <w:r w:rsidRPr="008265FA">
        <w:rPr>
          <w:noProof/>
        </w:rPr>
        <w:t>20.</w:t>
      </w:r>
      <w:r w:rsidRPr="008265FA">
        <w:rPr>
          <w:noProof/>
        </w:rPr>
        <w:tab/>
        <w:t xml:space="preserve">Alegret, L. &amp; Thomas, E. Benthic foraminifera across the Cretaceous/Paleogene boundary in the Southern Ocean (ODP Site 690): Diversity, food and carbonate saturation. </w:t>
      </w:r>
      <w:r w:rsidRPr="008265FA">
        <w:rPr>
          <w:i/>
          <w:iCs/>
          <w:noProof/>
        </w:rPr>
        <w:t>Mar. Micropaleontol.</w:t>
      </w:r>
      <w:r w:rsidRPr="008265FA">
        <w:rPr>
          <w:noProof/>
        </w:rPr>
        <w:t xml:space="preserve"> </w:t>
      </w:r>
      <w:r w:rsidRPr="008265FA">
        <w:rPr>
          <w:b/>
          <w:bCs/>
          <w:noProof/>
        </w:rPr>
        <w:t>105</w:t>
      </w:r>
      <w:r w:rsidRPr="008265FA">
        <w:rPr>
          <w:noProof/>
        </w:rPr>
        <w:t>, 40–51 (2013).</w:t>
      </w:r>
    </w:p>
    <w:p w14:paraId="10C37764" w14:textId="77777777" w:rsidR="008265FA" w:rsidRPr="008265FA" w:rsidRDefault="008265FA" w:rsidP="008265FA">
      <w:pPr>
        <w:widowControl w:val="0"/>
        <w:autoSpaceDE w:val="0"/>
        <w:autoSpaceDN w:val="0"/>
        <w:adjustRightInd w:val="0"/>
        <w:ind w:left="640" w:hanging="640"/>
        <w:rPr>
          <w:noProof/>
        </w:rPr>
      </w:pPr>
      <w:r w:rsidRPr="008265FA">
        <w:rPr>
          <w:noProof/>
        </w:rPr>
        <w:t>21.</w:t>
      </w:r>
      <w:r w:rsidRPr="008265FA">
        <w:rPr>
          <w:noProof/>
        </w:rPr>
        <w:tab/>
        <w:t xml:space="preserve">Basov, I. A. &amp; Krasheninnikov, V. A. Benthic foraminifers in Mesozoic and Cenozoic sediments of the southwestern Atlantic as an indicator of paleoenvironment, Deep-Sea Drilling Project Leg-71. </w:t>
      </w:r>
      <w:r w:rsidRPr="008265FA">
        <w:rPr>
          <w:i/>
          <w:iCs/>
          <w:noProof/>
        </w:rPr>
        <w:t>Initial Reports Deep Sea Drill. Proj.</w:t>
      </w:r>
      <w:r w:rsidRPr="008265FA">
        <w:rPr>
          <w:noProof/>
        </w:rPr>
        <w:t xml:space="preserve"> </w:t>
      </w:r>
      <w:r w:rsidRPr="008265FA">
        <w:rPr>
          <w:b/>
          <w:bCs/>
          <w:noProof/>
        </w:rPr>
        <w:t>71</w:t>
      </w:r>
      <w:r w:rsidRPr="008265FA">
        <w:rPr>
          <w:noProof/>
        </w:rPr>
        <w:t>, 739–787 (1983).</w:t>
      </w:r>
    </w:p>
    <w:p w14:paraId="35C8028F" w14:textId="77777777" w:rsidR="008265FA" w:rsidRPr="008265FA" w:rsidRDefault="008265FA" w:rsidP="008265FA">
      <w:pPr>
        <w:widowControl w:val="0"/>
        <w:autoSpaceDE w:val="0"/>
        <w:autoSpaceDN w:val="0"/>
        <w:adjustRightInd w:val="0"/>
        <w:ind w:left="640" w:hanging="640"/>
        <w:rPr>
          <w:noProof/>
        </w:rPr>
      </w:pPr>
      <w:r w:rsidRPr="008265FA">
        <w:rPr>
          <w:noProof/>
        </w:rPr>
        <w:t>22.</w:t>
      </w:r>
      <w:r w:rsidRPr="008265FA">
        <w:rPr>
          <w:noProof/>
        </w:rPr>
        <w:tab/>
        <w:t xml:space="preserve">Holbourn, A., Henderson, A. S., MacLeod, N. &amp; MacLeod, N. </w:t>
      </w:r>
      <w:r w:rsidRPr="008265FA">
        <w:rPr>
          <w:i/>
          <w:iCs/>
          <w:noProof/>
        </w:rPr>
        <w:t>Atlas of benthic foraminifera</w:t>
      </w:r>
      <w:r w:rsidRPr="008265FA">
        <w:rPr>
          <w:noProof/>
        </w:rPr>
        <w:t>. vol. 654 (Wiley Online Library, 2013).</w:t>
      </w:r>
    </w:p>
    <w:p w14:paraId="5516E983" w14:textId="77777777" w:rsidR="008265FA" w:rsidRPr="008265FA" w:rsidRDefault="008265FA" w:rsidP="008265FA">
      <w:pPr>
        <w:widowControl w:val="0"/>
        <w:autoSpaceDE w:val="0"/>
        <w:autoSpaceDN w:val="0"/>
        <w:adjustRightInd w:val="0"/>
        <w:ind w:left="640" w:hanging="640"/>
        <w:rPr>
          <w:noProof/>
        </w:rPr>
      </w:pPr>
      <w:r w:rsidRPr="008265FA">
        <w:rPr>
          <w:noProof/>
        </w:rPr>
        <w:t>23.</w:t>
      </w:r>
      <w:r w:rsidRPr="008265FA">
        <w:rPr>
          <w:noProof/>
        </w:rPr>
        <w:tab/>
        <w:t>Campbell, R. J. Calcareous nannofossil and foraminiferal analysis of the middle to upper cretaceous Bathurst Island Group, Northern Bonaparte Basin and Darwin Shelf, Northern Australia. (University of Western Australia Perth, 2003).</w:t>
      </w:r>
    </w:p>
    <w:p w14:paraId="6B091DF4" w14:textId="77777777" w:rsidR="008265FA" w:rsidRPr="008265FA" w:rsidRDefault="008265FA" w:rsidP="008265FA">
      <w:pPr>
        <w:widowControl w:val="0"/>
        <w:autoSpaceDE w:val="0"/>
        <w:autoSpaceDN w:val="0"/>
        <w:adjustRightInd w:val="0"/>
        <w:ind w:left="640" w:hanging="640"/>
        <w:rPr>
          <w:noProof/>
        </w:rPr>
      </w:pPr>
      <w:r w:rsidRPr="008265FA">
        <w:rPr>
          <w:noProof/>
        </w:rPr>
        <w:t>24.</w:t>
      </w:r>
      <w:r w:rsidRPr="008265FA">
        <w:rPr>
          <w:noProof/>
        </w:rPr>
        <w:tab/>
        <w:t xml:space="preserve">Nyong, E. E. &amp; Olsson, R. K. A paleoslope model of Campanian to Lower Maestrichtian foraminifera in the North American basin and adjacent continental margin. </w:t>
      </w:r>
      <w:r w:rsidRPr="008265FA">
        <w:rPr>
          <w:i/>
          <w:iCs/>
          <w:noProof/>
        </w:rPr>
        <w:t>Mar. Micropaleontol.</w:t>
      </w:r>
      <w:r w:rsidRPr="008265FA">
        <w:rPr>
          <w:noProof/>
        </w:rPr>
        <w:t xml:space="preserve"> </w:t>
      </w:r>
      <w:r w:rsidRPr="008265FA">
        <w:rPr>
          <w:b/>
          <w:bCs/>
          <w:noProof/>
        </w:rPr>
        <w:t>8</w:t>
      </w:r>
      <w:r w:rsidRPr="008265FA">
        <w:rPr>
          <w:noProof/>
        </w:rPr>
        <w:t>, 437–477 (1984).</w:t>
      </w:r>
    </w:p>
    <w:p w14:paraId="6B4EC648" w14:textId="2E63B50F" w:rsidR="00B50234" w:rsidRDefault="00B50234" w:rsidP="00B50234">
      <w:r>
        <w:fldChar w:fldCharType="end"/>
      </w:r>
    </w:p>
    <w:p w14:paraId="5F65896A" w14:textId="77777777" w:rsidR="00174C80" w:rsidRPr="00B50234" w:rsidRDefault="00174C80" w:rsidP="00B50234"/>
    <w:sectPr w:rsidR="00174C80" w:rsidRPr="00B5023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842F6" w14:textId="77777777" w:rsidR="008A56CE" w:rsidRDefault="008A56CE">
      <w:r>
        <w:separator/>
      </w:r>
    </w:p>
  </w:endnote>
  <w:endnote w:type="continuationSeparator" w:id="0">
    <w:p w14:paraId="5690B9D4" w14:textId="77777777" w:rsidR="008A56CE" w:rsidRDefault="008A5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8FC80" w14:textId="77777777" w:rsidR="008A56CE" w:rsidRDefault="008A56CE">
      <w:r>
        <w:separator/>
      </w:r>
    </w:p>
  </w:footnote>
  <w:footnote w:type="continuationSeparator" w:id="0">
    <w:p w14:paraId="2CB9DA6C" w14:textId="77777777" w:rsidR="008A56CE" w:rsidRDefault="008A56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1233B3"/>
    <w:multiLevelType w:val="hybridMultilevel"/>
    <w:tmpl w:val="B1BAA1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num w:numId="1" w16cid:durableId="89446387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0234"/>
    <w:rsid w:val="000126A7"/>
    <w:rsid w:val="000659B9"/>
    <w:rsid w:val="00067663"/>
    <w:rsid w:val="00075EF4"/>
    <w:rsid w:val="000A467D"/>
    <w:rsid w:val="000C1BF7"/>
    <w:rsid w:val="00115E4D"/>
    <w:rsid w:val="001264BF"/>
    <w:rsid w:val="00130869"/>
    <w:rsid w:val="001377F6"/>
    <w:rsid w:val="00156E7C"/>
    <w:rsid w:val="00173A7C"/>
    <w:rsid w:val="00174C80"/>
    <w:rsid w:val="00183571"/>
    <w:rsid w:val="00185DEF"/>
    <w:rsid w:val="001C23BC"/>
    <w:rsid w:val="00201C64"/>
    <w:rsid w:val="00215FCE"/>
    <w:rsid w:val="00224B20"/>
    <w:rsid w:val="00241C05"/>
    <w:rsid w:val="00250602"/>
    <w:rsid w:val="0029447F"/>
    <w:rsid w:val="002E288F"/>
    <w:rsid w:val="002E364B"/>
    <w:rsid w:val="00342D67"/>
    <w:rsid w:val="00351308"/>
    <w:rsid w:val="0035593E"/>
    <w:rsid w:val="00397C03"/>
    <w:rsid w:val="003C1572"/>
    <w:rsid w:val="00406D3F"/>
    <w:rsid w:val="00417F4A"/>
    <w:rsid w:val="00431CD6"/>
    <w:rsid w:val="00456AE3"/>
    <w:rsid w:val="004620B4"/>
    <w:rsid w:val="004F1040"/>
    <w:rsid w:val="005313A3"/>
    <w:rsid w:val="005601CD"/>
    <w:rsid w:val="00567670"/>
    <w:rsid w:val="005A6DDC"/>
    <w:rsid w:val="005D0DBD"/>
    <w:rsid w:val="005D1FB8"/>
    <w:rsid w:val="005E4CCD"/>
    <w:rsid w:val="005F26E3"/>
    <w:rsid w:val="00656F0E"/>
    <w:rsid w:val="00687750"/>
    <w:rsid w:val="006B67BC"/>
    <w:rsid w:val="006D44E9"/>
    <w:rsid w:val="006E5CD8"/>
    <w:rsid w:val="006F4A54"/>
    <w:rsid w:val="00752532"/>
    <w:rsid w:val="00753B3E"/>
    <w:rsid w:val="007664ED"/>
    <w:rsid w:val="007872C4"/>
    <w:rsid w:val="007C38C7"/>
    <w:rsid w:val="007D41B1"/>
    <w:rsid w:val="00811C73"/>
    <w:rsid w:val="008265FA"/>
    <w:rsid w:val="008371D5"/>
    <w:rsid w:val="00857AE1"/>
    <w:rsid w:val="008A1B9A"/>
    <w:rsid w:val="008A2D34"/>
    <w:rsid w:val="008A50DF"/>
    <w:rsid w:val="008A56CE"/>
    <w:rsid w:val="008B6DB7"/>
    <w:rsid w:val="008D291B"/>
    <w:rsid w:val="008E2C7E"/>
    <w:rsid w:val="008F66D1"/>
    <w:rsid w:val="00913011"/>
    <w:rsid w:val="00917A3D"/>
    <w:rsid w:val="00927116"/>
    <w:rsid w:val="0093684C"/>
    <w:rsid w:val="0094131F"/>
    <w:rsid w:val="00960D87"/>
    <w:rsid w:val="00996343"/>
    <w:rsid w:val="009D6E15"/>
    <w:rsid w:val="009F7DF3"/>
    <w:rsid w:val="00A00DC2"/>
    <w:rsid w:val="00A25D7B"/>
    <w:rsid w:val="00A42ADD"/>
    <w:rsid w:val="00A707EA"/>
    <w:rsid w:val="00A73AD2"/>
    <w:rsid w:val="00AF1B7E"/>
    <w:rsid w:val="00AF5E15"/>
    <w:rsid w:val="00AF75C1"/>
    <w:rsid w:val="00B36A1E"/>
    <w:rsid w:val="00B50234"/>
    <w:rsid w:val="00B5167D"/>
    <w:rsid w:val="00B51B02"/>
    <w:rsid w:val="00B708F0"/>
    <w:rsid w:val="00BC4AE9"/>
    <w:rsid w:val="00BD34B2"/>
    <w:rsid w:val="00BE33E3"/>
    <w:rsid w:val="00C0384D"/>
    <w:rsid w:val="00C15B53"/>
    <w:rsid w:val="00C7068E"/>
    <w:rsid w:val="00CA67F0"/>
    <w:rsid w:val="00CD3FBA"/>
    <w:rsid w:val="00CD7C67"/>
    <w:rsid w:val="00CF77A2"/>
    <w:rsid w:val="00D03553"/>
    <w:rsid w:val="00D8795B"/>
    <w:rsid w:val="00DB5569"/>
    <w:rsid w:val="00DD1549"/>
    <w:rsid w:val="00DD1AAA"/>
    <w:rsid w:val="00E456AC"/>
    <w:rsid w:val="00E5322A"/>
    <w:rsid w:val="00E74E62"/>
    <w:rsid w:val="00E872E5"/>
    <w:rsid w:val="00E95EFD"/>
    <w:rsid w:val="00EB4545"/>
    <w:rsid w:val="00EC6C9A"/>
    <w:rsid w:val="00EE24C4"/>
    <w:rsid w:val="00F37984"/>
    <w:rsid w:val="00FC1A39"/>
    <w:rsid w:val="00FC2D70"/>
    <w:rsid w:val="00FC50C1"/>
    <w:rsid w:val="00FF14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DFDC7D"/>
  <w15:chartTrackingRefBased/>
  <w15:docId w15:val="{78FFD54A-020C-4B42-A1FD-5A377293EF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0234"/>
    <w:pPr>
      <w:spacing w:after="0" w:line="240" w:lineRule="auto"/>
    </w:pPr>
    <w:rPr>
      <w:rFonts w:ascii="Calibri" w:eastAsia="Calibri" w:hAnsi="Calibri" w:cs="Calibri"/>
      <w:sz w:val="24"/>
      <w:szCs w:val="24"/>
      <w:lang w:eastAsia="en-GB"/>
    </w:rPr>
  </w:style>
  <w:style w:type="paragraph" w:styleId="Heading1">
    <w:name w:val="heading 1"/>
    <w:basedOn w:val="Normal"/>
    <w:next w:val="Normal"/>
    <w:link w:val="Heading1Char"/>
    <w:uiPriority w:val="9"/>
    <w:qFormat/>
    <w:rsid w:val="00B5023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50234"/>
    <w:pPr>
      <w:keepNext/>
      <w:keepLines/>
      <w:spacing w:before="40" w:line="259" w:lineRule="auto"/>
      <w:outlineLvl w:val="1"/>
    </w:pPr>
    <w:rPr>
      <w:rFonts w:asciiTheme="majorHAnsi" w:eastAsiaTheme="majorEastAsia" w:hAnsiTheme="majorHAnsi" w:cstheme="majorBidi"/>
      <w:color w:val="2F5496" w:themeColor="accent1" w:themeShade="BF"/>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5023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0234"/>
    <w:rPr>
      <w:rFonts w:ascii="Segoe UI" w:hAnsi="Segoe UI" w:cs="Segoe UI"/>
      <w:sz w:val="18"/>
      <w:szCs w:val="18"/>
    </w:rPr>
  </w:style>
  <w:style w:type="character" w:customStyle="1" w:styleId="Heading1Char">
    <w:name w:val="Heading 1 Char"/>
    <w:basedOn w:val="DefaultParagraphFont"/>
    <w:link w:val="Heading1"/>
    <w:uiPriority w:val="9"/>
    <w:rsid w:val="00B50234"/>
    <w:rPr>
      <w:rFonts w:asciiTheme="majorHAnsi" w:eastAsiaTheme="majorEastAsia" w:hAnsiTheme="majorHAnsi" w:cstheme="majorBidi"/>
      <w:color w:val="2F5496" w:themeColor="accent1" w:themeShade="BF"/>
      <w:sz w:val="32"/>
      <w:szCs w:val="32"/>
      <w:lang w:eastAsia="en-GB"/>
    </w:rPr>
  </w:style>
  <w:style w:type="character" w:customStyle="1" w:styleId="Heading2Char">
    <w:name w:val="Heading 2 Char"/>
    <w:basedOn w:val="DefaultParagraphFont"/>
    <w:link w:val="Heading2"/>
    <w:uiPriority w:val="9"/>
    <w:rsid w:val="00B50234"/>
    <w:rPr>
      <w:rFonts w:asciiTheme="majorHAnsi" w:eastAsiaTheme="majorEastAsia" w:hAnsiTheme="majorHAnsi" w:cstheme="majorBidi"/>
      <w:color w:val="2F5496" w:themeColor="accent1" w:themeShade="BF"/>
      <w:sz w:val="26"/>
      <w:szCs w:val="26"/>
    </w:rPr>
  </w:style>
  <w:style w:type="table" w:customStyle="1" w:styleId="TableGridLight1">
    <w:name w:val="Table Grid Light1"/>
    <w:basedOn w:val="TableNormal"/>
    <w:uiPriority w:val="40"/>
    <w:rsid w:val="00B5023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Paragraph">
    <w:name w:val="List Paragraph"/>
    <w:basedOn w:val="Normal"/>
    <w:uiPriority w:val="34"/>
    <w:qFormat/>
    <w:rsid w:val="00DD1549"/>
    <w:pPr>
      <w:ind w:left="720"/>
      <w:contextualSpacing/>
    </w:pPr>
  </w:style>
  <w:style w:type="paragraph" w:styleId="NormalWeb">
    <w:name w:val="Normal (Web)"/>
    <w:basedOn w:val="Normal"/>
    <w:uiPriority w:val="99"/>
    <w:unhideWhenUsed/>
    <w:rsid w:val="00174C80"/>
    <w:pPr>
      <w:spacing w:before="100" w:beforeAutospacing="1" w:after="100" w:afterAutospacing="1"/>
    </w:pPr>
    <w:rPr>
      <w:rFonts w:ascii="Times New Roman" w:eastAsia="Times New Roman" w:hAnsi="Times New Roman" w:cs="Times New Roman"/>
      <w:lang w:val="da-DK" w:eastAsia="da-DK"/>
    </w:rPr>
  </w:style>
  <w:style w:type="character" w:customStyle="1" w:styleId="apple-converted-space">
    <w:name w:val="apple-converted-space"/>
    <w:basedOn w:val="DefaultParagraphFont"/>
    <w:rsid w:val="00174C80"/>
  </w:style>
  <w:style w:type="paragraph" w:styleId="Revision">
    <w:name w:val="Revision"/>
    <w:hidden/>
    <w:uiPriority w:val="99"/>
    <w:semiHidden/>
    <w:rsid w:val="00CA67F0"/>
    <w:pPr>
      <w:spacing w:after="0" w:line="240" w:lineRule="auto"/>
    </w:pPr>
    <w:rPr>
      <w:rFonts w:ascii="Calibri" w:eastAsia="Calibri" w:hAnsi="Calibri" w:cs="Calibri"/>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A66099F0A11D542AEB00AF9D3EB0399" ma:contentTypeVersion="15" ma:contentTypeDescription="Create a new document." ma:contentTypeScope="" ma:versionID="44bb39ef68ccd3e46cb1b49d160120af">
  <xsd:schema xmlns:xsd="http://www.w3.org/2001/XMLSchema" xmlns:xs="http://www.w3.org/2001/XMLSchema" xmlns:p="http://schemas.microsoft.com/office/2006/metadata/properties" xmlns:ns3="54e1ceca-f9a3-4063-933e-0d9522f86997" xmlns:ns4="f3e918a4-d9f4-45d1-a63e-b0f7d52c0144" targetNamespace="http://schemas.microsoft.com/office/2006/metadata/properties" ma:root="true" ma:fieldsID="60af0933a09a61de1f58934627ccc46c" ns3:_="" ns4:_="">
    <xsd:import namespace="54e1ceca-f9a3-4063-933e-0d9522f86997"/>
    <xsd:import namespace="f3e918a4-d9f4-45d1-a63e-b0f7d52c01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4e1ceca-f9a3-4063-933e-0d9522f869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3e918a4-d9f4-45d1-a63e-b0f7d52c014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54e1ceca-f9a3-4063-933e-0d9522f86997" xsi:nil="true"/>
  </documentManagement>
</p:properties>
</file>

<file path=customXml/itemProps1.xml><?xml version="1.0" encoding="utf-8"?>
<ds:datastoreItem xmlns:ds="http://schemas.openxmlformats.org/officeDocument/2006/customXml" ds:itemID="{3556A47B-6980-4265-A17F-9F28CC52CD0C}">
  <ds:schemaRefs>
    <ds:schemaRef ds:uri="http://schemas.openxmlformats.org/officeDocument/2006/bibliography"/>
  </ds:schemaRefs>
</ds:datastoreItem>
</file>

<file path=customXml/itemProps2.xml><?xml version="1.0" encoding="utf-8"?>
<ds:datastoreItem xmlns:ds="http://schemas.openxmlformats.org/officeDocument/2006/customXml" ds:itemID="{B9497ADB-C683-4BE4-AADB-820BE325B4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4e1ceca-f9a3-4063-933e-0d9522f86997"/>
    <ds:schemaRef ds:uri="f3e918a4-d9f4-45d1-a63e-b0f7d52c01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CAC9C8-9883-4DFB-BB2A-3F607E7CF06F}">
  <ds:schemaRefs>
    <ds:schemaRef ds:uri="http://schemas.microsoft.com/sharepoint/v3/contenttype/forms"/>
  </ds:schemaRefs>
</ds:datastoreItem>
</file>

<file path=customXml/itemProps4.xml><?xml version="1.0" encoding="utf-8"?>
<ds:datastoreItem xmlns:ds="http://schemas.openxmlformats.org/officeDocument/2006/customXml" ds:itemID="{2AC220C6-D1BD-49F9-B911-0304AAFCA643}">
  <ds:schemaRefs>
    <ds:schemaRef ds:uri="http://schemas.microsoft.com/office/2006/metadata/properties"/>
    <ds:schemaRef ds:uri="http://purl.org/dc/terms/"/>
    <ds:schemaRef ds:uri="http://schemas.microsoft.com/office/infopath/2007/PartnerControls"/>
    <ds:schemaRef ds:uri="http://purl.org/dc/elements/1.1/"/>
    <ds:schemaRef ds:uri="http://schemas.microsoft.com/office/2006/documentManagement/types"/>
    <ds:schemaRef ds:uri="54e1ceca-f9a3-4063-933e-0d9522f86997"/>
    <ds:schemaRef ds:uri="http://www.w3.org/XML/1998/namespace"/>
    <ds:schemaRef ds:uri="f3e918a4-d9f4-45d1-a63e-b0f7d52c0144"/>
    <ds:schemaRef ds:uri="http://schemas.openxmlformats.org/package/2006/metadata/core-properties"/>
    <ds:schemaRef ds:uri="http://purl.org/dc/dcmitype/"/>
  </ds:schemaRefs>
</ds:datastoreItem>
</file>

<file path=docMetadata/LabelInfo.xml><?xml version="1.0" encoding="utf-8"?>
<clbl:labelList xmlns:clbl="http://schemas.microsoft.com/office/2020/mipLabelMetadata">
  <clbl:label id="{912a5d77-fb98-4eee-af32-1334d8f04a53}" enabled="0" method="" siteId="{912a5d77-fb98-4eee-af32-1334d8f04a53}" removed="1"/>
</clbl:labelList>
</file>

<file path=docProps/app.xml><?xml version="1.0" encoding="utf-8"?>
<Properties xmlns="http://schemas.openxmlformats.org/officeDocument/2006/extended-properties" xmlns:vt="http://schemas.openxmlformats.org/officeDocument/2006/docPropsVTypes">
  <Template>Normal</Template>
  <TotalTime>157</TotalTime>
  <Pages>26</Pages>
  <Words>18229</Words>
  <Characters>103906</Characters>
  <Application>Microsoft Office Word</Application>
  <DocSecurity>0</DocSecurity>
  <Lines>865</Lines>
  <Paragraphs>243</Paragraphs>
  <ScaleCrop>false</ScaleCrop>
  <Company>University of Exeter</Company>
  <LinksUpToDate>false</LinksUpToDate>
  <CharactersWithSpaces>121892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Walker-Trivett, Chloe</dc:creator>
  <cp:keywords/>
  <dc:description/>
  <cp:lastModifiedBy>Walker-Trivett, Chloe</cp:lastModifiedBy>
  <cp:revision>18</cp:revision>
  <cp:lastPrinted>2024-04-24T18:20:00Z</cp:lastPrinted>
  <dcterms:created xsi:type="dcterms:W3CDTF">2024-04-19T12:44:00Z</dcterms:created>
  <dcterms:modified xsi:type="dcterms:W3CDTF">2024-04-25T16:51:00Z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7th edition</vt:lpwstr>
  </property>
  <property fmtid="{D5CDD505-2E9C-101B-9397-08002B2CF9AE}" pid="4" name="Mendeley Recent Style Id 1_1">
    <vt:lpwstr>http://www.zotero.org/styles/chicago-author-date</vt:lpwstr>
  </property>
  <property fmtid="{D5CDD505-2E9C-101B-9397-08002B2CF9AE}" pid="5" name="Mendeley Recent Style Name 1_1">
    <vt:lpwstr>Chicago Manual of Style 17th edition (author-date)</vt:lpwstr>
  </property>
  <property fmtid="{D5CDD505-2E9C-101B-9397-08002B2CF9AE}" pid="6" name="Mendeley Recent Style Id 2_1">
    <vt:lpwstr>http://www.zotero.org/styles/harvard-cite-them-right</vt:lpwstr>
  </property>
  <property fmtid="{D5CDD505-2E9C-101B-9397-08002B2CF9AE}" pid="7" name="Mendeley Recent Style Name 2_1">
    <vt:lpwstr>Cite Them Right 10th edition - Harvard</vt:lpwstr>
  </property>
  <property fmtid="{D5CDD505-2E9C-101B-9397-08002B2CF9AE}" pid="8" name="Mendeley Recent Style Id 3_1">
    <vt:lpwstr>http://www.zotero.org/styles/harvard1</vt:lpwstr>
  </property>
  <property fmtid="{D5CDD505-2E9C-101B-9397-08002B2CF9AE}" pid="9" name="Mendeley Recent Style Name 3_1">
    <vt:lpwstr>Harvard reference format 1 (deprecated)</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http://www.zotero.org/styles/journal-of-micropalaeontology</vt:lpwstr>
  </property>
  <property fmtid="{D5CDD505-2E9C-101B-9397-08002B2CF9AE}" pid="13" name="Mendeley Recent Style Name 5_1">
    <vt:lpwstr>Journal of Micropalaeontology</vt:lpwstr>
  </property>
  <property fmtid="{D5CDD505-2E9C-101B-9397-08002B2CF9AE}" pid="14" name="Mendeley Recent Style Id 6_1">
    <vt:lpwstr>http://csl.mendeley.com/styles/20448741/minimal-grant-proposals</vt:lpwstr>
  </property>
  <property fmtid="{D5CDD505-2E9C-101B-9397-08002B2CF9AE}" pid="15" name="Mendeley Recent Style Name 6_1">
    <vt:lpwstr>Minimal style for grant proposals</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31d9b1bc-aa21-39e9-ad82-2e1ae118383f</vt:lpwstr>
  </property>
  <property fmtid="{D5CDD505-2E9C-101B-9397-08002B2CF9AE}" pid="24" name="Mendeley Citation Style_1">
    <vt:lpwstr>http://www.zotero.org/styles/nature</vt:lpwstr>
  </property>
  <property fmtid="{D5CDD505-2E9C-101B-9397-08002B2CF9AE}" pid="25" name="ContentTypeId">
    <vt:lpwstr>0x0101006A66099F0A11D542AEB00AF9D3EB0399</vt:lpwstr>
  </property>
</Properties>
</file>