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6822" w14:textId="747C66F9" w:rsidR="00BD5BD9" w:rsidRDefault="000143B2">
      <w:pPr>
        <w:rPr>
          <w:b/>
          <w:bCs/>
        </w:rPr>
      </w:pPr>
      <w:r>
        <w:rPr>
          <w:b/>
          <w:bCs/>
        </w:rPr>
        <w:t>N</w:t>
      </w:r>
      <w:r w:rsidR="00BD5BD9" w:rsidRPr="00BD5BD9">
        <w:rPr>
          <w:b/>
          <w:bCs/>
        </w:rPr>
        <w:t xml:space="preserve">DPP Intervention description using </w:t>
      </w:r>
      <w:proofErr w:type="gramStart"/>
      <w:r w:rsidR="00BD5BD9" w:rsidRPr="00BD5BD9">
        <w:rPr>
          <w:b/>
          <w:bCs/>
        </w:rPr>
        <w:t>Tidier</w:t>
      </w:r>
      <w:proofErr w:type="gramEnd"/>
      <w:r w:rsidR="00BD5BD9" w:rsidRPr="00BD5BD9">
        <w:rPr>
          <w:b/>
          <w:bCs/>
        </w:rPr>
        <w:t xml:space="preserve"> template</w:t>
      </w:r>
      <w:r w:rsidR="002F25F3">
        <w:rPr>
          <w:b/>
          <w:bCs/>
        </w:rPr>
        <w:t xml:space="preserve"> </w:t>
      </w:r>
      <w:sdt>
        <w:sdtPr>
          <w:rPr>
            <w:bCs/>
            <w:color w:val="000000"/>
          </w:rPr>
          <w:tag w:val="MENDELEY_CITATION_v3_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"/>
          <w:id w:val="-1867978837"/>
          <w:placeholder>
            <w:docPart w:val="DefaultPlaceholder_-1854013440"/>
          </w:placeholder>
        </w:sdtPr>
        <w:sdtEndPr/>
        <w:sdtContent>
          <w:r w:rsidR="00A6662C" w:rsidRPr="00A6662C">
            <w:rPr>
              <w:rFonts w:eastAsia="Times New Roman"/>
              <w:color w:val="000000"/>
            </w:rPr>
            <w:t>(Hoffman et al., 2014)</w:t>
          </w:r>
        </w:sdtContent>
      </w:sdt>
    </w:p>
    <w:p w14:paraId="26628C4B" w14:textId="41CFAF1A" w:rsidR="001719C4" w:rsidRPr="009B6AA6" w:rsidRDefault="00E55851">
      <w:pPr>
        <w:rPr>
          <w:b/>
          <w:bCs/>
        </w:rPr>
      </w:pPr>
      <w:r>
        <w:rPr>
          <w:b/>
          <w:bCs/>
        </w:rPr>
        <w:t>Referral routes into the programme</w:t>
      </w:r>
      <w:r w:rsidR="009B6AA6">
        <w:rPr>
          <w:b/>
          <w:bCs/>
        </w:rPr>
        <w:t xml:space="preserve">: </w:t>
      </w:r>
      <w:r w:rsidR="001719C4">
        <w:t xml:space="preserve">Waiting lists </w:t>
      </w:r>
      <w:r w:rsidR="00493C60">
        <w:t>for</w:t>
      </w:r>
      <w:r w:rsidR="001719C4">
        <w:t xml:space="preserve"> community dietetics, </w:t>
      </w:r>
      <w:r w:rsidR="001B2917">
        <w:t>CNS and CNS in diabetes prevention, previous waiting list for diabetes prevention, GPs in the pilot areas.</w:t>
      </w:r>
    </w:p>
    <w:p w14:paraId="52EBFA1B" w14:textId="2DB1B481" w:rsidR="00153B89" w:rsidRPr="00A70FD0" w:rsidRDefault="00E55851">
      <w:r>
        <w:rPr>
          <w:b/>
          <w:bCs/>
        </w:rPr>
        <w:t>Planned referral routes in the future</w:t>
      </w:r>
      <w:r w:rsidR="009B6AA6">
        <w:rPr>
          <w:b/>
          <w:bCs/>
        </w:rPr>
        <w:t xml:space="preserve">: </w:t>
      </w:r>
      <w:r w:rsidR="00FF369B">
        <w:t>I</w:t>
      </w:r>
      <w:r w:rsidR="00805C1C">
        <w:t>nitially</w:t>
      </w:r>
      <w:r w:rsidR="00FF369B">
        <w:t xml:space="preserve"> </w:t>
      </w:r>
      <w:r w:rsidR="00805C1C">
        <w:t xml:space="preserve">referral will be along the local referral pathway. </w:t>
      </w:r>
      <w:r w:rsidR="00FF369B">
        <w:t xml:space="preserve">A national </w:t>
      </w:r>
      <w:r w:rsidR="001375C6">
        <w:t>online referral system</w:t>
      </w:r>
      <w:r w:rsidR="00FF369B">
        <w:t xml:space="preserve"> </w:t>
      </w:r>
      <w:r w:rsidR="001375C6">
        <w:t>(</w:t>
      </w:r>
      <w:proofErr w:type="spellStart"/>
      <w:r w:rsidR="00FF369B">
        <w:t>Healthlink</w:t>
      </w:r>
      <w:proofErr w:type="spellEnd"/>
      <w:r w:rsidR="001375C6">
        <w:t>)</w:t>
      </w:r>
      <w:r w:rsidR="00FF369B">
        <w:t xml:space="preserve"> is being developed and this will be the referral pathway when it is available. </w:t>
      </w:r>
    </w:p>
    <w:p w14:paraId="18E635A3" w14:textId="70F5DB3B" w:rsidR="00E55851" w:rsidRDefault="00E55851">
      <w:pPr>
        <w:rPr>
          <w:b/>
          <w:bCs/>
        </w:rPr>
      </w:pPr>
      <w:r>
        <w:rPr>
          <w:b/>
          <w:bCs/>
        </w:rPr>
        <w:t>Funding</w:t>
      </w:r>
      <w:r w:rsidR="00240D09">
        <w:rPr>
          <w:b/>
          <w:bCs/>
        </w:rPr>
        <w:t>:</w:t>
      </w:r>
      <w:r w:rsidR="00762B09">
        <w:rPr>
          <w:b/>
          <w:bCs/>
        </w:rPr>
        <w:t xml:space="preserve"> </w:t>
      </w:r>
      <w:r w:rsidR="00762B09" w:rsidRPr="00762B09">
        <w:t>Department of Health funded from the</w:t>
      </w:r>
      <w:r w:rsidR="0026423F" w:rsidRPr="00762B09">
        <w:t xml:space="preserve"> </w:t>
      </w:r>
      <w:proofErr w:type="spellStart"/>
      <w:r w:rsidR="0026423F" w:rsidRPr="00762B09">
        <w:t>Sl</w:t>
      </w:r>
      <w:r w:rsidR="0028478A" w:rsidRPr="00762B09">
        <w:rPr>
          <w:rFonts w:cstheme="minorHAnsi"/>
        </w:rPr>
        <w:t>á</w:t>
      </w:r>
      <w:r w:rsidR="0026423F" w:rsidRPr="00762B09">
        <w:t>intecare</w:t>
      </w:r>
      <w:proofErr w:type="spellEnd"/>
      <w:r w:rsidR="00240D09" w:rsidRPr="00762B09">
        <w:t xml:space="preserve"> Integration</w:t>
      </w:r>
      <w:r w:rsidR="00240D09">
        <w:t xml:space="preserve"> Fund 2019</w:t>
      </w:r>
      <w:r w:rsidR="006E0EDE">
        <w:t xml:space="preserve">. </w:t>
      </w:r>
      <w:r w:rsidR="004B74D0">
        <w:t xml:space="preserve">This funding </w:t>
      </w:r>
      <w:r w:rsidR="00762B09">
        <w:t xml:space="preserve">supported projects that focused on </w:t>
      </w:r>
      <w:r w:rsidR="00584ECF" w:rsidRPr="00584ECF">
        <w:t>prevention, community care and integration of care across all health and social care settings.</w:t>
      </w:r>
    </w:p>
    <w:p w14:paraId="4EB1CA0F" w14:textId="3EE544E2" w:rsidR="00E55851" w:rsidRDefault="00E55851">
      <w:pPr>
        <w:rPr>
          <w:b/>
          <w:bCs/>
        </w:rPr>
      </w:pPr>
      <w:r>
        <w:rPr>
          <w:b/>
          <w:bCs/>
        </w:rPr>
        <w:t>How were sites selected?</w:t>
      </w:r>
      <w:r w:rsidR="00021D63">
        <w:rPr>
          <w:b/>
          <w:bCs/>
        </w:rPr>
        <w:t xml:space="preserve"> </w:t>
      </w:r>
      <w:r w:rsidR="00021D63" w:rsidRPr="00240D09">
        <w:t xml:space="preserve">Collaboration with Dietician Managers and to give a spread between rural and </w:t>
      </w:r>
      <w:r w:rsidR="00240D09" w:rsidRPr="00240D09">
        <w:t xml:space="preserve">urban. </w:t>
      </w:r>
    </w:p>
    <w:p w14:paraId="65632C1B" w14:textId="6FB3DA63" w:rsidR="00E55851" w:rsidRPr="00EC220F" w:rsidRDefault="00973180">
      <w:r>
        <w:rPr>
          <w:b/>
          <w:bCs/>
        </w:rPr>
        <w:t>Training and feedback and support for facilitators</w:t>
      </w:r>
      <w:r w:rsidR="00F96C8F">
        <w:rPr>
          <w:b/>
          <w:bCs/>
        </w:rPr>
        <w:t xml:space="preserve">: </w:t>
      </w:r>
      <w:r w:rsidR="00962B2F">
        <w:t>Educator training package</w:t>
      </w:r>
      <w:r w:rsidR="00E14E6D">
        <w:t xml:space="preserve"> consisting of slides, notes and supporting resources to deliver the programme, </w:t>
      </w:r>
      <w:r w:rsidR="00E9025E">
        <w:t>programme promotional material (leaflets to support with recruitment), tech</w:t>
      </w:r>
      <w:r w:rsidR="00707CF8">
        <w:t>nical</w:t>
      </w:r>
      <w:r w:rsidR="00E9025E">
        <w:t xml:space="preserve"> support (</w:t>
      </w:r>
      <w:r w:rsidR="00402A99">
        <w:t xml:space="preserve">guidance docs, Q&amp;A sessions, link to local telehealth leads, troubleshooting </w:t>
      </w:r>
      <w:r w:rsidR="007D2EC3">
        <w:t>doc</w:t>
      </w:r>
      <w:r w:rsidR="00EC220F">
        <w:t>ument</w:t>
      </w:r>
      <w:r w:rsidR="007D2EC3">
        <w:t xml:space="preserve"> to support participants)</w:t>
      </w:r>
      <w:r w:rsidR="00EC220F">
        <w:t xml:space="preserve"> and t</w:t>
      </w:r>
      <w:r w:rsidR="007D2EC3">
        <w:t xml:space="preserve">raining events to support delivery of </w:t>
      </w:r>
      <w:r w:rsidR="00EC220F">
        <w:t xml:space="preserve">the </w:t>
      </w:r>
      <w:r w:rsidR="007D2EC3">
        <w:t>programme</w:t>
      </w:r>
      <w:r w:rsidR="00EC220F">
        <w:t>.</w:t>
      </w:r>
      <w:r w:rsidR="007D2EC3">
        <w:t xml:space="preserve"> </w:t>
      </w:r>
    </w:p>
    <w:p w14:paraId="5DB100DE" w14:textId="1EAA4FEE" w:rsidR="00EA0046" w:rsidRDefault="00EA0046">
      <w:pPr>
        <w:rPr>
          <w:b/>
          <w:bCs/>
        </w:rPr>
      </w:pPr>
      <w:r w:rsidRPr="00EA0046">
        <w:rPr>
          <w:b/>
          <w:bCs/>
        </w:rPr>
        <w:t>Template for Intervention Description and Replication</w:t>
      </w:r>
    </w:p>
    <w:p w14:paraId="47C8FE22" w14:textId="18811966" w:rsidR="00EA0046" w:rsidRPr="00EA0046" w:rsidRDefault="00EA0046">
      <w:pPr>
        <w:rPr>
          <w:b/>
          <w:bCs/>
        </w:rPr>
      </w:pPr>
      <w:r>
        <w:rPr>
          <w:b/>
          <w:bCs/>
        </w:rPr>
        <w:t xml:space="preserve">1. Name: </w:t>
      </w:r>
      <w:r w:rsidRPr="00AC6C2B">
        <w:t>National</w:t>
      </w:r>
      <w:r w:rsidR="00532416">
        <w:t xml:space="preserve"> </w:t>
      </w:r>
      <w:r>
        <w:t>Diabetes Prevention Programme</w:t>
      </w:r>
    </w:p>
    <w:p w14:paraId="39D5FC58" w14:textId="7E206721" w:rsidR="00EA0046" w:rsidRDefault="00EA0046">
      <w:r w:rsidRPr="00EA0046">
        <w:rPr>
          <w:b/>
          <w:bCs/>
        </w:rPr>
        <w:t>2. Wh</w:t>
      </w:r>
      <w:r w:rsidR="006F4C9C">
        <w:rPr>
          <w:b/>
          <w:bCs/>
        </w:rPr>
        <w:t xml:space="preserve">y: </w:t>
      </w:r>
      <w:r w:rsidR="006F4C9C">
        <w:t>The goal of the National Diabetes Prevention Programme is to reduce the risk of type 2 diabetes in those who are at high risk</w:t>
      </w:r>
      <w:r w:rsidR="00610D7B">
        <w:t xml:space="preserve"> and to deliver this programme </w:t>
      </w:r>
      <w:r w:rsidR="000908E3">
        <w:t>i</w:t>
      </w:r>
      <w:r w:rsidR="00610D7B">
        <w:t xml:space="preserve">n an online format. </w:t>
      </w:r>
      <w:r w:rsidR="00DE1ECD">
        <w:t>Theories of behaviour change, self-manageme</w:t>
      </w:r>
      <w:r w:rsidR="00C17DC7">
        <w:t xml:space="preserve">nt education and adult learning informed the </w:t>
      </w:r>
      <w:r w:rsidR="006A2731">
        <w:t xml:space="preserve">development of the programme. </w:t>
      </w:r>
    </w:p>
    <w:p w14:paraId="32C0A970" w14:textId="77FD4AFF" w:rsidR="0026423F" w:rsidRPr="006F4C9C" w:rsidRDefault="0026423F">
      <w:r>
        <w:t xml:space="preserve">Specific goals </w:t>
      </w:r>
      <w:r w:rsidR="00CD6651">
        <w:t xml:space="preserve">: </w:t>
      </w:r>
      <w:r w:rsidR="0092319F">
        <w:t>5-7% weight loss</w:t>
      </w:r>
      <w:r w:rsidR="00BF67BF">
        <w:t xml:space="preserve"> if appropriate</w:t>
      </w:r>
      <w:r w:rsidR="0092319F">
        <w:t xml:space="preserve">, 150 mins of </w:t>
      </w:r>
      <w:r w:rsidR="003E1623">
        <w:t>physical activity</w:t>
      </w:r>
      <w:r w:rsidR="0092319F">
        <w:t xml:space="preserve"> a week with 2 sessions of resisted exercise as per W</w:t>
      </w:r>
      <w:r w:rsidR="003E1623">
        <w:t xml:space="preserve">orld </w:t>
      </w:r>
      <w:r w:rsidR="0092319F">
        <w:t>H</w:t>
      </w:r>
      <w:r w:rsidR="003E1623">
        <w:t xml:space="preserve">ealth </w:t>
      </w:r>
      <w:r w:rsidR="0092319F">
        <w:t>O</w:t>
      </w:r>
      <w:r w:rsidR="003E1623">
        <w:t>rganisation</w:t>
      </w:r>
      <w:r w:rsidR="0092319F">
        <w:t xml:space="preserve"> latest guidelines, </w:t>
      </w:r>
      <w:r w:rsidR="003F0566">
        <w:t>d</w:t>
      </w:r>
      <w:r w:rsidR="00C87469">
        <w:t xml:space="preserve">ietary goals in line with international guidance (less than 10% saturated fat, less than 30% overall fat, increased dietary fibre) </w:t>
      </w:r>
    </w:p>
    <w:p w14:paraId="2885162A" w14:textId="77777777" w:rsidR="00376807" w:rsidRDefault="00EA0046">
      <w:pPr>
        <w:rPr>
          <w:b/>
          <w:bCs/>
        </w:rPr>
      </w:pPr>
      <w:r>
        <w:rPr>
          <w:b/>
          <w:bCs/>
        </w:rPr>
        <w:t xml:space="preserve">3. </w:t>
      </w:r>
      <w:r w:rsidR="006F4C9C">
        <w:rPr>
          <w:b/>
          <w:bCs/>
        </w:rPr>
        <w:t>What</w:t>
      </w:r>
      <w:r w:rsidR="007B0178">
        <w:rPr>
          <w:b/>
          <w:bCs/>
        </w:rPr>
        <w:t xml:space="preserve"> materials:</w:t>
      </w:r>
      <w:r w:rsidR="001170B7">
        <w:rPr>
          <w:b/>
          <w:bCs/>
        </w:rPr>
        <w:t xml:space="preserve"> </w:t>
      </w:r>
    </w:p>
    <w:p w14:paraId="6833C33E" w14:textId="77777777" w:rsidR="00B62303" w:rsidRDefault="00256498" w:rsidP="00B62303">
      <w:pPr>
        <w:pStyle w:val="ListParagraph"/>
        <w:numPr>
          <w:ilvl w:val="0"/>
          <w:numId w:val="1"/>
        </w:numPr>
      </w:pPr>
      <w:r w:rsidRPr="00256498">
        <w:t>Care guidelines set out the philosophy of person centred care</w:t>
      </w:r>
      <w:r w:rsidR="00EA5314">
        <w:t xml:space="preserve"> available </w:t>
      </w:r>
      <w:r w:rsidR="003A67A9">
        <w:t>f</w:t>
      </w:r>
      <w:r w:rsidR="00EA5314">
        <w:t>or the educators.</w:t>
      </w:r>
    </w:p>
    <w:p w14:paraId="390170B7" w14:textId="51165A6B" w:rsidR="00B62303" w:rsidRDefault="00EA5314" w:rsidP="00B62303">
      <w:pPr>
        <w:pStyle w:val="ListParagraph"/>
        <w:numPr>
          <w:ilvl w:val="0"/>
          <w:numId w:val="1"/>
        </w:numPr>
      </w:pPr>
      <w:r>
        <w:t xml:space="preserve">Educator manual supports the educator with programme delivery. </w:t>
      </w:r>
      <w:r w:rsidR="00256498" w:rsidRPr="00EA5314">
        <w:t xml:space="preserve"> </w:t>
      </w:r>
      <w:r w:rsidR="00B62303">
        <w:t xml:space="preserve">Educator training includes slides, speaker notes, and resources to support online delivery. Promotional material for the course and guidance on technical support are provided with training events to support delivery.  </w:t>
      </w:r>
    </w:p>
    <w:p w14:paraId="66C5D708" w14:textId="77777777" w:rsidR="003F0566" w:rsidRDefault="00805AAB" w:rsidP="003F0566">
      <w:pPr>
        <w:pStyle w:val="ListParagraph"/>
        <w:numPr>
          <w:ilvl w:val="0"/>
          <w:numId w:val="1"/>
        </w:numPr>
      </w:pPr>
      <w:r>
        <w:t xml:space="preserve">Participant handbook </w:t>
      </w:r>
      <w:r w:rsidR="003A67A9">
        <w:t xml:space="preserve">includes work sheets, </w:t>
      </w:r>
      <w:r w:rsidR="006C34F1">
        <w:t>self-</w:t>
      </w:r>
      <w:r w:rsidR="001170B7">
        <w:t>r</w:t>
      </w:r>
      <w:r w:rsidR="006C34F1">
        <w:t>eflection tools, goal setting, self</w:t>
      </w:r>
      <w:r w:rsidR="001170B7">
        <w:t>-</w:t>
      </w:r>
      <w:r w:rsidR="006C34F1">
        <w:t xml:space="preserve">monitoring. The participant handbook was piloted </w:t>
      </w:r>
      <w:r w:rsidR="001E491B">
        <w:t xml:space="preserve">in the first wave of the programme and feedback was sought from educators and participants. </w:t>
      </w:r>
    </w:p>
    <w:p w14:paraId="5C5D81F6" w14:textId="27475AE0" w:rsidR="003F0566" w:rsidRDefault="003F0566" w:rsidP="003F0566">
      <w:pPr>
        <w:pStyle w:val="ListParagraph"/>
        <w:numPr>
          <w:ilvl w:val="0"/>
          <w:numId w:val="1"/>
        </w:numPr>
      </w:pPr>
      <w:r>
        <w:t>P</w:t>
      </w:r>
      <w:r w:rsidR="00E55851">
        <w:t>edometers</w:t>
      </w:r>
      <w:r>
        <w:t xml:space="preserve"> provided for activity tracking</w:t>
      </w:r>
    </w:p>
    <w:p w14:paraId="7775FB32" w14:textId="0107B24A" w:rsidR="003F0566" w:rsidRDefault="003F0566" w:rsidP="003F0566">
      <w:pPr>
        <w:pStyle w:val="ListParagraph"/>
        <w:numPr>
          <w:ilvl w:val="0"/>
          <w:numId w:val="1"/>
        </w:numPr>
      </w:pPr>
      <w:r>
        <w:t>Initial weight measured in clinic</w:t>
      </w:r>
      <w:r w:rsidR="008A7F51">
        <w:t xml:space="preserve">, weighing scales used at home for weight tracking (not used for programme assessment) </w:t>
      </w:r>
    </w:p>
    <w:p w14:paraId="61B148C7" w14:textId="77777777" w:rsidR="0062756C" w:rsidRDefault="0062756C" w:rsidP="0062756C">
      <w:pPr>
        <w:pStyle w:val="ListParagraph"/>
        <w:numPr>
          <w:ilvl w:val="0"/>
          <w:numId w:val="1"/>
        </w:numPr>
      </w:pPr>
      <w:r>
        <w:t>A</w:t>
      </w:r>
      <w:r w:rsidR="007C2CD7">
        <w:t xml:space="preserve">ccess to internet </w:t>
      </w:r>
      <w:r>
        <w:t>required</w:t>
      </w:r>
    </w:p>
    <w:p w14:paraId="6A527B92" w14:textId="639719EC" w:rsidR="00EA0046" w:rsidRPr="003F0566" w:rsidRDefault="0062756C" w:rsidP="0062756C">
      <w:pPr>
        <w:pStyle w:val="ListParagraph"/>
        <w:numPr>
          <w:ilvl w:val="0"/>
          <w:numId w:val="1"/>
        </w:numPr>
      </w:pPr>
      <w:r>
        <w:t>D</w:t>
      </w:r>
      <w:r w:rsidR="007C2CD7">
        <w:t>evice</w:t>
      </w:r>
      <w:r w:rsidR="00B5761D">
        <w:t xml:space="preserve"> </w:t>
      </w:r>
      <w:r>
        <w:t xml:space="preserve">to connect </w:t>
      </w:r>
      <w:r w:rsidR="007C2CD7">
        <w:t>(laptop, PC, tablet, phone)</w:t>
      </w:r>
    </w:p>
    <w:p w14:paraId="68BF193F" w14:textId="77777777" w:rsidR="007C2CD7" w:rsidRDefault="00EA0046">
      <w:pPr>
        <w:rPr>
          <w:b/>
          <w:bCs/>
        </w:rPr>
      </w:pPr>
      <w:r>
        <w:rPr>
          <w:b/>
          <w:bCs/>
        </w:rPr>
        <w:t xml:space="preserve">4. </w:t>
      </w:r>
      <w:r w:rsidR="007B0178">
        <w:rPr>
          <w:b/>
          <w:bCs/>
        </w:rPr>
        <w:t xml:space="preserve">What </w:t>
      </w:r>
      <w:r>
        <w:rPr>
          <w:b/>
          <w:bCs/>
        </w:rPr>
        <w:t>Procedures</w:t>
      </w:r>
      <w:r w:rsidR="007B0178">
        <w:rPr>
          <w:b/>
          <w:bCs/>
        </w:rPr>
        <w:t xml:space="preserve">: </w:t>
      </w:r>
    </w:p>
    <w:p w14:paraId="388D80C8" w14:textId="5CC97E7D" w:rsidR="00CD6DD6" w:rsidRDefault="00D60522" w:rsidP="00CE0358">
      <w:pPr>
        <w:pStyle w:val="ListParagraph"/>
        <w:numPr>
          <w:ilvl w:val="0"/>
          <w:numId w:val="2"/>
        </w:numPr>
      </w:pPr>
      <w:r>
        <w:lastRenderedPageBreak/>
        <w:t>Eligible participants c</w:t>
      </w:r>
      <w:r w:rsidR="007C2CD7" w:rsidRPr="007C2CD7">
        <w:t xml:space="preserve">ontacted by community dieticians from </w:t>
      </w:r>
      <w:r w:rsidR="000C5418">
        <w:t xml:space="preserve">existing </w:t>
      </w:r>
      <w:r w:rsidR="007C2CD7" w:rsidRPr="007C2CD7">
        <w:t>waiting lists</w:t>
      </w:r>
      <w:r w:rsidR="000C5418">
        <w:t xml:space="preserve"> </w:t>
      </w:r>
      <w:r w:rsidR="00AB1BAD">
        <w:t>(referred by GP for routine dietetic care)</w:t>
      </w:r>
    </w:p>
    <w:p w14:paraId="3CA88166" w14:textId="5E419C54" w:rsidR="00276D14" w:rsidRDefault="00CD6DD6" w:rsidP="00276D14">
      <w:pPr>
        <w:pStyle w:val="ListParagraph"/>
        <w:numPr>
          <w:ilvl w:val="0"/>
          <w:numId w:val="2"/>
        </w:numPr>
      </w:pPr>
      <w:r>
        <w:t>Some referr</w:t>
      </w:r>
      <w:r w:rsidR="00CE0358">
        <w:t>als</w:t>
      </w:r>
      <w:r>
        <w:t xml:space="preserve"> to DPP</w:t>
      </w:r>
      <w:r w:rsidR="000C5418">
        <w:t xml:space="preserve"> by GP based on information on the </w:t>
      </w:r>
      <w:r w:rsidR="005974B2">
        <w:t>p</w:t>
      </w:r>
      <w:r w:rsidR="000C5418">
        <w:t>ilot</w:t>
      </w:r>
      <w:r w:rsidR="005974B2">
        <w:t xml:space="preserve"> programme </w:t>
      </w:r>
      <w:r w:rsidR="00CE0358">
        <w:t>promot</w:t>
      </w:r>
      <w:r w:rsidR="005974B2">
        <w:t>ed</w:t>
      </w:r>
      <w:r w:rsidR="00CE0358">
        <w:t xml:space="preserve"> by community dieticians</w:t>
      </w:r>
    </w:p>
    <w:p w14:paraId="242F5488" w14:textId="097DDD89" w:rsidR="00EA0046" w:rsidRPr="00B5761D" w:rsidRDefault="007B0178" w:rsidP="00276D14">
      <w:pPr>
        <w:pStyle w:val="ListParagraph"/>
        <w:numPr>
          <w:ilvl w:val="0"/>
          <w:numId w:val="2"/>
        </w:numPr>
      </w:pPr>
      <w:r w:rsidRPr="007B0178">
        <w:t>Weigh in</w:t>
      </w:r>
      <w:r w:rsidR="00AB1BAD">
        <w:t xml:space="preserve"> at initial assessment</w:t>
      </w:r>
      <w:r w:rsidRPr="007B0178">
        <w:t>, goal setting,</w:t>
      </w:r>
      <w:r w:rsidRPr="00276D14">
        <w:rPr>
          <w:b/>
          <w:bCs/>
        </w:rPr>
        <w:t xml:space="preserve"> </w:t>
      </w:r>
      <w:r w:rsidR="00B5761D" w:rsidRPr="00B5761D">
        <w:t>individualised plan</w:t>
      </w:r>
      <w:r w:rsidR="00276D14">
        <w:t>, onboarding for online delivery</w:t>
      </w:r>
    </w:p>
    <w:p w14:paraId="09F83DF8" w14:textId="77777777" w:rsidR="002B38F1" w:rsidRDefault="00EA0046">
      <w:pPr>
        <w:rPr>
          <w:b/>
          <w:bCs/>
        </w:rPr>
      </w:pPr>
      <w:r>
        <w:rPr>
          <w:b/>
          <w:bCs/>
        </w:rPr>
        <w:t>5. Who provided</w:t>
      </w:r>
      <w:r w:rsidR="007B0178">
        <w:rPr>
          <w:b/>
          <w:bCs/>
        </w:rPr>
        <w:t xml:space="preserve">: </w:t>
      </w:r>
    </w:p>
    <w:p w14:paraId="08E5BB44" w14:textId="79BF1EC8" w:rsidR="007C2CD7" w:rsidRPr="00AB7AA0" w:rsidRDefault="002B38F1" w:rsidP="00AB7AA0">
      <w:pPr>
        <w:pStyle w:val="ListParagraph"/>
        <w:numPr>
          <w:ilvl w:val="0"/>
          <w:numId w:val="5"/>
        </w:numPr>
        <w:rPr>
          <w:b/>
          <w:bCs/>
        </w:rPr>
      </w:pPr>
      <w:r w:rsidRPr="00AB7AA0">
        <w:rPr>
          <w:b/>
          <w:bCs/>
        </w:rPr>
        <w:t xml:space="preserve">Management: </w:t>
      </w:r>
      <w:r w:rsidR="00B5761D">
        <w:t>N</w:t>
      </w:r>
      <w:r w:rsidR="007C2CD7" w:rsidRPr="007C2CD7">
        <w:t xml:space="preserve">ational </w:t>
      </w:r>
      <w:r w:rsidR="00B5761D">
        <w:t>D</w:t>
      </w:r>
      <w:r w:rsidR="007C2CD7" w:rsidRPr="007C2CD7">
        <w:t xml:space="preserve">iabetes </w:t>
      </w:r>
      <w:r w:rsidR="00B5761D">
        <w:t>P</w:t>
      </w:r>
      <w:r w:rsidR="007C2CD7" w:rsidRPr="007C2CD7">
        <w:t xml:space="preserve">revention </w:t>
      </w:r>
      <w:r w:rsidR="00B5761D">
        <w:t>T</w:t>
      </w:r>
      <w:r w:rsidR="007C2CD7" w:rsidRPr="007C2CD7">
        <w:t xml:space="preserve">eam </w:t>
      </w:r>
      <w:r w:rsidR="00471B39">
        <w:t xml:space="preserve">which consists of a </w:t>
      </w:r>
      <w:r w:rsidR="00B5761D">
        <w:t xml:space="preserve">programme manager, </w:t>
      </w:r>
      <w:r w:rsidR="0052373C">
        <w:t xml:space="preserve">and </w:t>
      </w:r>
      <w:r w:rsidR="00B5761D">
        <w:t>self-management support lead</w:t>
      </w:r>
      <w:r w:rsidR="0052373C">
        <w:t xml:space="preserve">. </w:t>
      </w:r>
      <w:r w:rsidR="00B5761D">
        <w:t xml:space="preserve"> </w:t>
      </w:r>
    </w:p>
    <w:p w14:paraId="16CBE17C" w14:textId="7E38D38C" w:rsidR="002072BB" w:rsidRDefault="002B38F1" w:rsidP="00AB7AA0">
      <w:pPr>
        <w:pStyle w:val="ListParagraph"/>
        <w:numPr>
          <w:ilvl w:val="0"/>
          <w:numId w:val="5"/>
        </w:numPr>
      </w:pPr>
      <w:r w:rsidRPr="00AB7AA0">
        <w:rPr>
          <w:b/>
          <w:bCs/>
        </w:rPr>
        <w:t>Educators:</w:t>
      </w:r>
      <w:r>
        <w:t xml:space="preserve"> </w:t>
      </w:r>
      <w:r w:rsidR="007B0178" w:rsidRPr="007B0178">
        <w:t>Community Health Dieticians with experience in chronic disease management</w:t>
      </w:r>
      <w:r w:rsidR="002072BB">
        <w:t xml:space="preserve">, 2 educators per group </w:t>
      </w:r>
    </w:p>
    <w:p w14:paraId="537375EB" w14:textId="0251823B" w:rsidR="00AB42AC" w:rsidRDefault="002072BB" w:rsidP="00AB42AC">
      <w:pPr>
        <w:pStyle w:val="ListParagraph"/>
        <w:numPr>
          <w:ilvl w:val="0"/>
          <w:numId w:val="5"/>
        </w:numPr>
      </w:pPr>
      <w:r w:rsidRPr="00AB7AA0">
        <w:rPr>
          <w:b/>
          <w:bCs/>
        </w:rPr>
        <w:t>Groups</w:t>
      </w:r>
      <w:r>
        <w:t xml:space="preserve"> of up to 10 participants (</w:t>
      </w:r>
      <w:r w:rsidR="005B3C6B">
        <w:t>family members allowed if they t</w:t>
      </w:r>
      <w:r w:rsidR="0052373C">
        <w:t xml:space="preserve">ake </w:t>
      </w:r>
      <w:r w:rsidR="005B3C6B">
        <w:t xml:space="preserve">part </w:t>
      </w:r>
      <w:r w:rsidR="00435F30">
        <w:t xml:space="preserve">in the sessions - </w:t>
      </w:r>
      <w:r w:rsidR="005B3C6B">
        <w:t>guidelines</w:t>
      </w:r>
      <w:r w:rsidR="00435F30">
        <w:t xml:space="preserve"> developed</w:t>
      </w:r>
      <w:r>
        <w:t>)</w:t>
      </w:r>
      <w:r w:rsidR="00E55851">
        <w:t xml:space="preserve"> </w:t>
      </w:r>
    </w:p>
    <w:p w14:paraId="070F6F38" w14:textId="762A650C" w:rsidR="00AB42AC" w:rsidRDefault="005D1C22" w:rsidP="00AB42AC">
      <w:pPr>
        <w:pStyle w:val="ListParagraph"/>
        <w:numPr>
          <w:ilvl w:val="0"/>
          <w:numId w:val="6"/>
        </w:numPr>
      </w:pPr>
      <w:r>
        <w:t>Inclusion</w:t>
      </w:r>
      <w:r w:rsidR="00214B48">
        <w:t>:</w:t>
      </w:r>
      <w:r>
        <w:t xml:space="preserve"> HbA1c 42-47 mmol/mol or FPG 6.1 </w:t>
      </w:r>
      <w:r w:rsidR="00C615DF">
        <w:t>–</w:t>
      </w:r>
      <w:r>
        <w:t xml:space="preserve"> </w:t>
      </w:r>
      <w:r w:rsidR="00C615DF">
        <w:t>6.9 mmol/L</w:t>
      </w:r>
    </w:p>
    <w:p w14:paraId="231CAB25" w14:textId="680AF2BF" w:rsidR="00C615DF" w:rsidRPr="00AB42AC" w:rsidRDefault="00C615DF" w:rsidP="00AB42AC">
      <w:pPr>
        <w:pStyle w:val="ListParagraph"/>
        <w:numPr>
          <w:ilvl w:val="0"/>
          <w:numId w:val="6"/>
        </w:numPr>
      </w:pPr>
      <w:r>
        <w:t>Exclusion</w:t>
      </w:r>
      <w:r w:rsidR="00214B48">
        <w:t>:</w:t>
      </w:r>
      <w:r>
        <w:t xml:space="preserve"> </w:t>
      </w:r>
      <w:r w:rsidR="00DF1C15">
        <w:t xml:space="preserve">T2D, </w:t>
      </w:r>
      <w:r w:rsidR="00214B48">
        <w:t>malnutrition/sarcopenia, complex physical and/or intellectual disabilities eating disorders, moderate to severe psychological problems and pregnant women</w:t>
      </w:r>
    </w:p>
    <w:p w14:paraId="29F1AA8D" w14:textId="17889360" w:rsidR="007C2CD7" w:rsidRPr="00CF2739" w:rsidRDefault="00EA0046" w:rsidP="00CF2739">
      <w:pPr>
        <w:rPr>
          <w:b/>
          <w:bCs/>
        </w:rPr>
      </w:pPr>
      <w:r>
        <w:rPr>
          <w:b/>
          <w:bCs/>
        </w:rPr>
        <w:t>6. How</w:t>
      </w:r>
      <w:r w:rsidR="007B0178">
        <w:rPr>
          <w:b/>
          <w:bCs/>
        </w:rPr>
        <w:t xml:space="preserve">: </w:t>
      </w:r>
      <w:r w:rsidR="007B0178">
        <w:t>O</w:t>
      </w:r>
      <w:r w:rsidR="007B0178" w:rsidRPr="007B0178">
        <w:t>nline group education</w:t>
      </w:r>
      <w:r w:rsidR="007C2CD7">
        <w:t>. Live classes with educator.</w:t>
      </w:r>
      <w:r w:rsidR="00CF2739">
        <w:rPr>
          <w:b/>
          <w:bCs/>
        </w:rPr>
        <w:t xml:space="preserve"> </w:t>
      </w:r>
    </w:p>
    <w:p w14:paraId="08697FBE" w14:textId="26AB0FD2" w:rsidR="00EA0046" w:rsidRDefault="00EA0046">
      <w:pPr>
        <w:rPr>
          <w:b/>
          <w:bCs/>
        </w:rPr>
      </w:pPr>
      <w:r>
        <w:rPr>
          <w:b/>
          <w:bCs/>
        </w:rPr>
        <w:t>7. Where</w:t>
      </w:r>
      <w:r w:rsidR="007B0178">
        <w:rPr>
          <w:b/>
          <w:bCs/>
        </w:rPr>
        <w:t xml:space="preserve">: </w:t>
      </w:r>
      <w:r w:rsidR="007B0178" w:rsidRPr="007B0178">
        <w:t>Online</w:t>
      </w:r>
      <w:r w:rsidR="007B0178">
        <w:t xml:space="preserve"> </w:t>
      </w:r>
      <w:r w:rsidR="00812BA6">
        <w:t>–</w:t>
      </w:r>
      <w:r w:rsidR="00AF6828">
        <w:t xml:space="preserve"> </w:t>
      </w:r>
      <w:r w:rsidR="005124C3">
        <w:t xml:space="preserve">locally available platforms </w:t>
      </w:r>
      <w:r w:rsidR="005029AC">
        <w:t xml:space="preserve">such as </w:t>
      </w:r>
      <w:r w:rsidR="00812BA6">
        <w:t>MS</w:t>
      </w:r>
      <w:r w:rsidR="005029AC">
        <w:t xml:space="preserve"> </w:t>
      </w:r>
      <w:r w:rsidR="00812BA6">
        <w:t xml:space="preserve">Teams or WebEx </w:t>
      </w:r>
    </w:p>
    <w:p w14:paraId="68B27E9D" w14:textId="073BF34A" w:rsidR="007B0178" w:rsidRDefault="00EA0046">
      <w:r>
        <w:rPr>
          <w:b/>
          <w:bCs/>
        </w:rPr>
        <w:t>8. When and how much</w:t>
      </w:r>
      <w:r w:rsidR="007B0178">
        <w:rPr>
          <w:b/>
          <w:bCs/>
        </w:rPr>
        <w:t xml:space="preserve">: </w:t>
      </w:r>
      <w:r w:rsidR="007B0178" w:rsidRPr="007B0178">
        <w:t>1</w:t>
      </w:r>
      <w:r w:rsidR="00F22D58">
        <w:t>4</w:t>
      </w:r>
      <w:r w:rsidR="007B0178" w:rsidRPr="007B0178">
        <w:t xml:space="preserve"> sessions over 12 months. </w:t>
      </w:r>
      <w:r w:rsidR="007B0178">
        <w:t>(</w:t>
      </w:r>
      <w:r w:rsidR="00963F78">
        <w:t>Each session is 1.5 hours long</w:t>
      </w:r>
      <w:r w:rsidR="00CF2739">
        <w:t>)</w:t>
      </w:r>
    </w:p>
    <w:p w14:paraId="145728BA" w14:textId="77777777" w:rsidR="00B44977" w:rsidRDefault="007B0178">
      <w:r w:rsidRPr="00974988">
        <w:rPr>
          <w:b/>
          <w:bCs/>
        </w:rPr>
        <w:t>Initial core phase</w:t>
      </w:r>
      <w:r>
        <w:t xml:space="preserve">: </w:t>
      </w:r>
    </w:p>
    <w:p w14:paraId="352AD2D2" w14:textId="198B6966" w:rsidR="00456C38" w:rsidRDefault="00974988" w:rsidP="00B44977">
      <w:pPr>
        <w:pStyle w:val="ListParagraph"/>
        <w:numPr>
          <w:ilvl w:val="0"/>
          <w:numId w:val="3"/>
        </w:numPr>
      </w:pPr>
      <w:r>
        <w:t>W</w:t>
      </w:r>
      <w:r w:rsidR="007B0178" w:rsidRPr="007B0178">
        <w:t xml:space="preserve">eekly classes </w:t>
      </w:r>
      <w:r w:rsidR="00EF47B1">
        <w:t>6</w:t>
      </w:r>
      <w:r w:rsidR="007B0178" w:rsidRPr="007B0178">
        <w:t xml:space="preserve"> weeks </w:t>
      </w:r>
      <w:r w:rsidR="00456C38">
        <w:t>(6 sessions)</w:t>
      </w:r>
    </w:p>
    <w:p w14:paraId="17B07866" w14:textId="1B30F002" w:rsidR="007B0178" w:rsidRDefault="00456C38" w:rsidP="00B44977">
      <w:pPr>
        <w:pStyle w:val="ListParagraph"/>
        <w:numPr>
          <w:ilvl w:val="0"/>
          <w:numId w:val="3"/>
        </w:numPr>
      </w:pPr>
      <w:r>
        <w:t xml:space="preserve">2 fortnightly sessions </w:t>
      </w:r>
      <w:r w:rsidR="007B0178" w:rsidRPr="007B0178">
        <w:t xml:space="preserve"> </w:t>
      </w:r>
      <w:r w:rsidR="00C54110">
        <w:t>(</w:t>
      </w:r>
      <w:r>
        <w:t>2</w:t>
      </w:r>
      <w:r w:rsidR="00C54110">
        <w:t xml:space="preserve"> sessions)</w:t>
      </w:r>
    </w:p>
    <w:p w14:paraId="79F5D4C5" w14:textId="77777777" w:rsidR="00C76F37" w:rsidRDefault="007B0178">
      <w:r w:rsidRPr="00974988">
        <w:rPr>
          <w:b/>
          <w:bCs/>
        </w:rPr>
        <w:t>Maintenance phase</w:t>
      </w:r>
      <w:r>
        <w:t xml:space="preserve">: </w:t>
      </w:r>
    </w:p>
    <w:p w14:paraId="6BA5BBCE" w14:textId="556EC383" w:rsidR="00456C38" w:rsidRDefault="00B44977" w:rsidP="00C76F37">
      <w:pPr>
        <w:pStyle w:val="ListParagraph"/>
        <w:numPr>
          <w:ilvl w:val="0"/>
          <w:numId w:val="4"/>
        </w:numPr>
      </w:pPr>
      <w:r>
        <w:t>M</w:t>
      </w:r>
      <w:r w:rsidR="007B0178" w:rsidRPr="007B0178">
        <w:t xml:space="preserve">onthly for </w:t>
      </w:r>
      <w:r w:rsidR="00610D48" w:rsidRPr="00974988">
        <w:t>4</w:t>
      </w:r>
      <w:r w:rsidR="007B0178" w:rsidRPr="00974988">
        <w:t xml:space="preserve"> months</w:t>
      </w:r>
      <w:r w:rsidR="00FA3FEE" w:rsidRPr="00974988">
        <w:t xml:space="preserve"> </w:t>
      </w:r>
      <w:r w:rsidR="007B0178" w:rsidRPr="007B0178">
        <w:t xml:space="preserve"> </w:t>
      </w:r>
      <w:r w:rsidR="00932DCB">
        <w:t>(4</w:t>
      </w:r>
      <w:r>
        <w:t xml:space="preserve"> sessions</w:t>
      </w:r>
      <w:r w:rsidR="00932DCB">
        <w:t>)</w:t>
      </w:r>
    </w:p>
    <w:p w14:paraId="41848CF6" w14:textId="63F25961" w:rsidR="00EA0046" w:rsidRDefault="00610D48" w:rsidP="00C76F37">
      <w:pPr>
        <w:pStyle w:val="ListParagraph"/>
        <w:numPr>
          <w:ilvl w:val="0"/>
          <w:numId w:val="4"/>
        </w:numPr>
      </w:pPr>
      <w:r w:rsidRPr="00974988">
        <w:t xml:space="preserve">2 </w:t>
      </w:r>
      <w:r w:rsidR="007B0178" w:rsidRPr="00974988">
        <w:t>qua</w:t>
      </w:r>
      <w:r w:rsidR="00932DCB" w:rsidRPr="00974988">
        <w:t>rterly</w:t>
      </w:r>
      <w:r w:rsidR="00932DCB">
        <w:t xml:space="preserve"> </w:t>
      </w:r>
      <w:r w:rsidR="00C76F37">
        <w:t>(2 sessions)</w:t>
      </w:r>
    </w:p>
    <w:p w14:paraId="6648FEA9" w14:textId="7F2F55AB" w:rsidR="00ED002E" w:rsidRDefault="00ED002E">
      <w:r>
        <w:t xml:space="preserve">Prior to commencing the programme </w:t>
      </w:r>
      <w:r w:rsidR="0075119F">
        <w:t xml:space="preserve">participants </w:t>
      </w:r>
      <w:r>
        <w:t>a</w:t>
      </w:r>
      <w:r w:rsidR="0075119F">
        <w:t>ttend</w:t>
      </w:r>
      <w:r w:rsidR="005029AC">
        <w:t xml:space="preserve"> in person</w:t>
      </w:r>
      <w:r w:rsidR="0070554E">
        <w:t>/ online or phone</w:t>
      </w:r>
      <w:r>
        <w:t xml:space="preserve"> for an individual session </w:t>
      </w:r>
      <w:r w:rsidR="00C3378C">
        <w:t>and receive a personal plan for lifestyle change and onboarding for the online session</w:t>
      </w:r>
      <w:r w:rsidR="00C76F37">
        <w:t xml:space="preserve"> (extra to the 14 sessions above).</w:t>
      </w:r>
    </w:p>
    <w:p w14:paraId="4C5DA4FA" w14:textId="7A96A2EB" w:rsidR="007049D8" w:rsidRDefault="002A6362">
      <w:r>
        <w:t>The items below were not relevant as it was a pilot</w:t>
      </w:r>
      <w:r w:rsidR="001D057F">
        <w:t>:</w:t>
      </w:r>
    </w:p>
    <w:p w14:paraId="1FD69BAC" w14:textId="3F8EE842" w:rsidR="004D0AE4" w:rsidRPr="007B0178" w:rsidRDefault="00C10DDE">
      <w:r w:rsidRPr="00326C97">
        <w:rPr>
          <w:b/>
          <w:bCs/>
        </w:rPr>
        <w:t>9. Tailoring:</w:t>
      </w:r>
      <w:r>
        <w:t xml:space="preserve"> </w:t>
      </w:r>
      <w:r w:rsidRPr="00C10DDE">
        <w:t>If the intervention was planned to be personalised, titrated or adapted, then describe what, why, when, and how</w:t>
      </w:r>
    </w:p>
    <w:p w14:paraId="11396761" w14:textId="5E00C140" w:rsidR="00EA0046" w:rsidRDefault="00AB2195">
      <w:r w:rsidRPr="00326C97">
        <w:rPr>
          <w:b/>
          <w:bCs/>
        </w:rPr>
        <w:t>10. Modifications:</w:t>
      </w:r>
      <w:r>
        <w:t xml:space="preserve"> </w:t>
      </w:r>
      <w:r w:rsidRPr="00AB2195">
        <w:t>If the intervention was modified during the course of the study, describe the changes (what, why, when, and how)</w:t>
      </w:r>
    </w:p>
    <w:p w14:paraId="386DCB8B" w14:textId="203FBDD1" w:rsidR="00D41F9F" w:rsidRDefault="00D41F9F">
      <w:r w:rsidRPr="00326C97">
        <w:rPr>
          <w:b/>
          <w:bCs/>
        </w:rPr>
        <w:t>11. Planned:</w:t>
      </w:r>
      <w:r w:rsidRPr="00D41F9F">
        <w:t xml:space="preserve"> If intervention adherence or fidelity was assessed, describe how and by whom, and if any strategies were used to maintain or improve fidelity, describe them</w:t>
      </w:r>
    </w:p>
    <w:p w14:paraId="2EEF08ED" w14:textId="28330DF2" w:rsidR="00951124" w:rsidRDefault="00951124">
      <w:r w:rsidRPr="00326C97">
        <w:rPr>
          <w:b/>
          <w:bCs/>
        </w:rPr>
        <w:t xml:space="preserve">12 Actual: </w:t>
      </w:r>
      <w:r w:rsidRPr="00951124">
        <w:t>If intervention adherence or fidelity was assessed, describe the extent to which the intervention was delivered as planned</w:t>
      </w:r>
    </w:p>
    <w:sdt>
      <w:sdtPr>
        <w:tag w:val="MENDELEY_BIBLIOGRAPHY"/>
        <w:id w:val="1010027221"/>
        <w:placeholder>
          <w:docPart w:val="DefaultPlaceholder_-1854013440"/>
        </w:placeholder>
      </w:sdtPr>
      <w:sdtContent>
        <w:p w14:paraId="3A15D69D" w14:textId="77777777" w:rsidR="00A6662C" w:rsidRDefault="00A6662C">
          <w:pPr>
            <w:autoSpaceDE w:val="0"/>
            <w:autoSpaceDN w:val="0"/>
            <w:ind w:hanging="480"/>
            <w:divId w:val="759444831"/>
            <w:rPr>
              <w:rFonts w:eastAsia="Times New Roman"/>
              <w:sz w:val="24"/>
              <w:szCs w:val="24"/>
            </w:rPr>
          </w:pPr>
          <w:r>
            <w:rPr>
              <w:rFonts w:eastAsia="Times New Roman"/>
            </w:rPr>
            <w:t xml:space="preserve">Hoffman, T., </w:t>
          </w:r>
          <w:proofErr w:type="spellStart"/>
          <w:r>
            <w:rPr>
              <w:rFonts w:eastAsia="Times New Roman"/>
            </w:rPr>
            <w:t>Glasziou</w:t>
          </w:r>
          <w:proofErr w:type="spellEnd"/>
          <w:r>
            <w:rPr>
              <w:rFonts w:eastAsia="Times New Roman"/>
            </w:rPr>
            <w:t xml:space="preserve">, P., </w:t>
          </w:r>
          <w:proofErr w:type="spellStart"/>
          <w:r>
            <w:rPr>
              <w:rFonts w:eastAsia="Times New Roman"/>
            </w:rPr>
            <w:t>Boutron</w:t>
          </w:r>
          <w:proofErr w:type="spellEnd"/>
          <w:r>
            <w:rPr>
              <w:rFonts w:eastAsia="Times New Roman"/>
            </w:rPr>
            <w:t>, I., Milne, R., Perera, R., Moher, D., Altman, D., Barbour, V., Macdonald, H., Johnston, M., &amp; Lamb, S. (2014). Better reporting of interventions: template for intervention description and replication (</w:t>
          </w:r>
          <w:proofErr w:type="spellStart"/>
          <w:r>
            <w:rPr>
              <w:rFonts w:eastAsia="Times New Roman"/>
            </w:rPr>
            <w:t>TIDieR</w:t>
          </w:r>
          <w:proofErr w:type="spellEnd"/>
          <w:r>
            <w:rPr>
              <w:rFonts w:eastAsia="Times New Roman"/>
            </w:rPr>
            <w:t xml:space="preserve">) checklist and guide. </w:t>
          </w:r>
          <w:r>
            <w:rPr>
              <w:rFonts w:eastAsia="Times New Roman"/>
              <w:i/>
              <w:iCs/>
            </w:rPr>
            <w:t>BMJ</w:t>
          </w:r>
          <w:r>
            <w:rPr>
              <w:rFonts w:eastAsia="Times New Roman"/>
            </w:rPr>
            <w:t>, 348. https://doi.org/10.1136/bmj.g1687</w:t>
          </w:r>
        </w:p>
        <w:p w14:paraId="6F1D6F0A" w14:textId="72D72B16" w:rsidR="00B00A9E" w:rsidRPr="00AB2195" w:rsidRDefault="00A6662C">
          <w:r>
            <w:rPr>
              <w:rFonts w:eastAsia="Times New Roman"/>
            </w:rPr>
            <w:t> </w:t>
          </w:r>
        </w:p>
      </w:sdtContent>
    </w:sdt>
    <w:sectPr w:rsidR="00B00A9E" w:rsidRPr="00AB21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73E09" w14:textId="77777777" w:rsidR="00120212" w:rsidRDefault="00120212" w:rsidP="00B5761D">
      <w:pPr>
        <w:spacing w:after="0" w:line="240" w:lineRule="auto"/>
      </w:pPr>
      <w:r>
        <w:separator/>
      </w:r>
    </w:p>
  </w:endnote>
  <w:endnote w:type="continuationSeparator" w:id="0">
    <w:p w14:paraId="5855D684" w14:textId="77777777" w:rsidR="00120212" w:rsidRDefault="00120212" w:rsidP="00B57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59CC" w14:textId="77777777" w:rsidR="00120212" w:rsidRDefault="00120212" w:rsidP="00B5761D">
      <w:pPr>
        <w:spacing w:after="0" w:line="240" w:lineRule="auto"/>
      </w:pPr>
      <w:r>
        <w:separator/>
      </w:r>
    </w:p>
  </w:footnote>
  <w:footnote w:type="continuationSeparator" w:id="0">
    <w:p w14:paraId="07E1F5E0" w14:textId="77777777" w:rsidR="00120212" w:rsidRDefault="00120212" w:rsidP="00B57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A673E"/>
    <w:multiLevelType w:val="hybridMultilevel"/>
    <w:tmpl w:val="8E8CF488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5D1556"/>
    <w:multiLevelType w:val="hybridMultilevel"/>
    <w:tmpl w:val="EFEA868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68E"/>
    <w:multiLevelType w:val="hybridMultilevel"/>
    <w:tmpl w:val="649AFBC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F42C7"/>
    <w:multiLevelType w:val="hybridMultilevel"/>
    <w:tmpl w:val="2796087A"/>
    <w:lvl w:ilvl="0" w:tplc="1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AA00190"/>
    <w:multiLevelType w:val="hybridMultilevel"/>
    <w:tmpl w:val="3BBC2792"/>
    <w:lvl w:ilvl="0" w:tplc="BECE88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EF3537"/>
    <w:multiLevelType w:val="hybridMultilevel"/>
    <w:tmpl w:val="576C64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128DE"/>
    <w:multiLevelType w:val="hybridMultilevel"/>
    <w:tmpl w:val="1DCA53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83A17"/>
    <w:multiLevelType w:val="hybridMultilevel"/>
    <w:tmpl w:val="45D8E534"/>
    <w:lvl w:ilvl="0" w:tplc="BECE886A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63462315">
    <w:abstractNumId w:val="3"/>
  </w:num>
  <w:num w:numId="2" w16cid:durableId="1005399112">
    <w:abstractNumId w:val="1"/>
  </w:num>
  <w:num w:numId="3" w16cid:durableId="1948191499">
    <w:abstractNumId w:val="6"/>
  </w:num>
  <w:num w:numId="4" w16cid:durableId="739787211">
    <w:abstractNumId w:val="5"/>
  </w:num>
  <w:num w:numId="5" w16cid:durableId="1848708689">
    <w:abstractNumId w:val="2"/>
  </w:num>
  <w:num w:numId="6" w16cid:durableId="1058091680">
    <w:abstractNumId w:val="7"/>
  </w:num>
  <w:num w:numId="7" w16cid:durableId="1929463384">
    <w:abstractNumId w:val="4"/>
  </w:num>
  <w:num w:numId="8" w16cid:durableId="69831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046"/>
    <w:rsid w:val="00006F86"/>
    <w:rsid w:val="000143B2"/>
    <w:rsid w:val="00021D63"/>
    <w:rsid w:val="00030902"/>
    <w:rsid w:val="00033707"/>
    <w:rsid w:val="00065A5E"/>
    <w:rsid w:val="000908E3"/>
    <w:rsid w:val="000C5418"/>
    <w:rsid w:val="000D6774"/>
    <w:rsid w:val="001170B7"/>
    <w:rsid w:val="00120212"/>
    <w:rsid w:val="001375C6"/>
    <w:rsid w:val="00153B89"/>
    <w:rsid w:val="00160954"/>
    <w:rsid w:val="001719C4"/>
    <w:rsid w:val="00177876"/>
    <w:rsid w:val="001B2917"/>
    <w:rsid w:val="001D057F"/>
    <w:rsid w:val="001E491B"/>
    <w:rsid w:val="001E4B6F"/>
    <w:rsid w:val="002072BB"/>
    <w:rsid w:val="00214B48"/>
    <w:rsid w:val="0023472C"/>
    <w:rsid w:val="00240D09"/>
    <w:rsid w:val="00256498"/>
    <w:rsid w:val="0026423F"/>
    <w:rsid w:val="00276D14"/>
    <w:rsid w:val="0028478A"/>
    <w:rsid w:val="00290896"/>
    <w:rsid w:val="002A6362"/>
    <w:rsid w:val="002A6DD7"/>
    <w:rsid w:val="002B38F1"/>
    <w:rsid w:val="002B44EE"/>
    <w:rsid w:val="002F25F3"/>
    <w:rsid w:val="00326C97"/>
    <w:rsid w:val="00376807"/>
    <w:rsid w:val="003A67A9"/>
    <w:rsid w:val="003E1623"/>
    <w:rsid w:val="003F0566"/>
    <w:rsid w:val="00402A99"/>
    <w:rsid w:val="00435F30"/>
    <w:rsid w:val="004427C8"/>
    <w:rsid w:val="00456C38"/>
    <w:rsid w:val="004702F0"/>
    <w:rsid w:val="00471B39"/>
    <w:rsid w:val="00493C60"/>
    <w:rsid w:val="004A747E"/>
    <w:rsid w:val="004B74D0"/>
    <w:rsid w:val="004D0AE4"/>
    <w:rsid w:val="005029AC"/>
    <w:rsid w:val="005124C3"/>
    <w:rsid w:val="0052373C"/>
    <w:rsid w:val="00532416"/>
    <w:rsid w:val="00584ECF"/>
    <w:rsid w:val="005974B2"/>
    <w:rsid w:val="005B3C6B"/>
    <w:rsid w:val="005D1C22"/>
    <w:rsid w:val="00610D48"/>
    <w:rsid w:val="00610D7B"/>
    <w:rsid w:val="0062756C"/>
    <w:rsid w:val="00657A3F"/>
    <w:rsid w:val="006A2731"/>
    <w:rsid w:val="006C34F1"/>
    <w:rsid w:val="006E0EDE"/>
    <w:rsid w:val="006F4C9C"/>
    <w:rsid w:val="007049D8"/>
    <w:rsid w:val="0070554E"/>
    <w:rsid w:val="00707CF8"/>
    <w:rsid w:val="00721736"/>
    <w:rsid w:val="0075119F"/>
    <w:rsid w:val="00762B09"/>
    <w:rsid w:val="007A6CA4"/>
    <w:rsid w:val="007B0178"/>
    <w:rsid w:val="007C2CD7"/>
    <w:rsid w:val="007D2EC3"/>
    <w:rsid w:val="00805AAB"/>
    <w:rsid w:val="00805C1C"/>
    <w:rsid w:val="00812BA6"/>
    <w:rsid w:val="008A7F51"/>
    <w:rsid w:val="0092319F"/>
    <w:rsid w:val="00932DCB"/>
    <w:rsid w:val="00951124"/>
    <w:rsid w:val="00961B72"/>
    <w:rsid w:val="00962B2F"/>
    <w:rsid w:val="00963F78"/>
    <w:rsid w:val="00973180"/>
    <w:rsid w:val="00974988"/>
    <w:rsid w:val="009B6AA6"/>
    <w:rsid w:val="00A45783"/>
    <w:rsid w:val="00A6662C"/>
    <w:rsid w:val="00A70FD0"/>
    <w:rsid w:val="00AB1BAD"/>
    <w:rsid w:val="00AB2195"/>
    <w:rsid w:val="00AB42AC"/>
    <w:rsid w:val="00AB7AA0"/>
    <w:rsid w:val="00AC6C2B"/>
    <w:rsid w:val="00AF6828"/>
    <w:rsid w:val="00B00A9E"/>
    <w:rsid w:val="00B43A3A"/>
    <w:rsid w:val="00B44977"/>
    <w:rsid w:val="00B50E4B"/>
    <w:rsid w:val="00B5761D"/>
    <w:rsid w:val="00B62303"/>
    <w:rsid w:val="00BB2B8A"/>
    <w:rsid w:val="00BD5BD9"/>
    <w:rsid w:val="00BF67BF"/>
    <w:rsid w:val="00C10DDE"/>
    <w:rsid w:val="00C17DC7"/>
    <w:rsid w:val="00C3378C"/>
    <w:rsid w:val="00C54110"/>
    <w:rsid w:val="00C615DF"/>
    <w:rsid w:val="00C702F1"/>
    <w:rsid w:val="00C76F37"/>
    <w:rsid w:val="00C87469"/>
    <w:rsid w:val="00CB5243"/>
    <w:rsid w:val="00CD6651"/>
    <w:rsid w:val="00CD6DD6"/>
    <w:rsid w:val="00CE0358"/>
    <w:rsid w:val="00CE37C2"/>
    <w:rsid w:val="00CF2739"/>
    <w:rsid w:val="00D17371"/>
    <w:rsid w:val="00D22A31"/>
    <w:rsid w:val="00D41F9F"/>
    <w:rsid w:val="00D56DCA"/>
    <w:rsid w:val="00D60522"/>
    <w:rsid w:val="00D71BB6"/>
    <w:rsid w:val="00DB1FE3"/>
    <w:rsid w:val="00DE1ECD"/>
    <w:rsid w:val="00DF1C15"/>
    <w:rsid w:val="00DF694D"/>
    <w:rsid w:val="00E14E6D"/>
    <w:rsid w:val="00E55851"/>
    <w:rsid w:val="00E9025E"/>
    <w:rsid w:val="00EA0046"/>
    <w:rsid w:val="00EA5314"/>
    <w:rsid w:val="00EB3D3B"/>
    <w:rsid w:val="00EC220F"/>
    <w:rsid w:val="00ED002E"/>
    <w:rsid w:val="00ED649F"/>
    <w:rsid w:val="00EE165F"/>
    <w:rsid w:val="00EF47B1"/>
    <w:rsid w:val="00F22D58"/>
    <w:rsid w:val="00F96C8F"/>
    <w:rsid w:val="00FA3FEE"/>
    <w:rsid w:val="00FC3A38"/>
    <w:rsid w:val="00FD15F1"/>
    <w:rsid w:val="00FF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72D167"/>
  <w15:chartTrackingRefBased/>
  <w15:docId w15:val="{D0D7AB5B-D7EA-4149-9A15-52FE437A3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8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6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2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448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7DB0A1-8922-4FE4-BA14-F0D1AE4FE829}"/>
      </w:docPartPr>
      <w:docPartBody>
        <w:p w:rsidR="002B4FFE" w:rsidRDefault="000D7597">
          <w:r w:rsidRPr="00CC1DF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97"/>
    <w:rsid w:val="000D7597"/>
    <w:rsid w:val="00123190"/>
    <w:rsid w:val="002B4FFE"/>
    <w:rsid w:val="009B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759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11EECAB-2AEA-4A26-893C-BD8BBD77A186}">
  <we:reference id="wa104382081" version="1.55.1.0" store="en-US" storeType="OMEX"/>
  <we:alternateReferences>
    <we:reference id="WA104382081" version="1.55.1.0" store="" storeType="OMEX"/>
  </we:alternateReferences>
  <we:properties>
    <we:property name="MENDELEY_CITATIONS" value="[{&quot;citationID&quot;:&quot;MENDELEY_CITATION_1c85c0f3-fcc9-4993-8814-cd5ea470b66a&quot;,&quot;properties&quot;:{&quot;noteIndex&quot;:0},&quot;isEdited&quot;:false,&quot;manualOverride&quot;:{&quot;isManuallyOverridden&quot;:false,&quot;citeprocText&quot;:&quot;(Hoffman et al., 2014)&quot;,&quot;manualOverrideText&quot;:&quot;&quot;},&quot;citationTag&quot;:&quot;MENDELEY_CITATION_v3_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&quot;,&quot;citationItems&quot;:[{&quot;id&quot;:&quot;2c81cf17-8c6d-3ffc-b44e-5901051d3a15&quot;,&quot;itemData&quot;:{&quot;type&quot;:&quot;article-journal&quot;,&quot;id&quot;:&quot;2c81cf17-8c6d-3ffc-b44e-5901051d3a15&quot;,&quot;title&quot;:&quot;Better reporting of interventions: template for intervention description and replication (TIDieR) checklist and guide&quot;,&quot;author&quot;:[{&quot;family&quot;:&quot;Hoffman&quot;,&quot;given&quot;:&quot;TC&quot;,&quot;parse-names&quot;:false,&quot;dropping-particle&quot;:&quot;&quot;,&quot;non-dropping-particle&quot;:&quot;&quot;},{&quot;family&quot;:&quot;Glasziou&quot;,&quot;given&quot;:&quot;PP&quot;,&quot;parse-names&quot;:false,&quot;dropping-particle&quot;:&quot;&quot;,&quot;non-dropping-particle&quot;:&quot;&quot;},{&quot;family&quot;:&quot;Boutron&quot;,&quot;given&quot;:&quot;I&quot;,&quot;parse-names&quot;:false,&quot;dropping-particle&quot;:&quot;&quot;,&quot;non-dropping-particle&quot;:&quot;&quot;},{&quot;family&quot;:&quot;Milne&quot;,&quot;given&quot;:&quot;R&quot;,&quot;parse-names&quot;:false,&quot;dropping-particle&quot;:&quot;&quot;,&quot;non-dropping-particle&quot;:&quot;&quot;},{&quot;family&quot;:&quot;Perera&quot;,&quot;given&quot;:&quot;R&quot;,&quot;parse-names&quot;:false,&quot;dropping-particle&quot;:&quot;&quot;,&quot;non-dropping-particle&quot;:&quot;&quot;},{&quot;family&quot;:&quot;Moher&quot;,&quot;given&quot;:&quot;D&quot;,&quot;parse-names&quot;:false,&quot;dropping-particle&quot;:&quot;&quot;,&quot;non-dropping-particle&quot;:&quot;&quot;},{&quot;family&quot;:&quot;Altman&quot;,&quot;given&quot;:&quot;DG&quot;,&quot;parse-names&quot;:false,&quot;dropping-particle&quot;:&quot;&quot;,&quot;non-dropping-particle&quot;:&quot;&quot;},{&quot;family&quot;:&quot;Barbour&quot;,&quot;given&quot;:&quot;V&quot;,&quot;parse-names&quot;:false,&quot;dropping-particle&quot;:&quot;&quot;,&quot;non-dropping-particle&quot;:&quot;&quot;},{&quot;family&quot;:&quot;Macdonald&quot;,&quot;given&quot;:&quot;H&quot;,&quot;parse-names&quot;:false,&quot;dropping-particle&quot;:&quot;&quot;,&quot;non-dropping-particle&quot;:&quot;&quot;},{&quot;family&quot;:&quot;Johnston&quot;,&quot;given&quot;:&quot;M&quot;,&quot;parse-names&quot;:false,&quot;dropping-particle&quot;:&quot;&quot;,&quot;non-dropping-particle&quot;:&quot;&quot;},{&quot;family&quot;:&quot;Lamb&quot;,&quot;given&quot;:&quot;SE&quot;,&quot;parse-names&quot;:false,&quot;dropping-particle&quot;:&quot;&quot;,&quot;non-dropping-particle&quot;:&quot;&quot;}],&quot;container-title&quot;:&quot;BMJ&quot;,&quot;accessed&quot;:{&quot;date-parts&quot;:[[2023,5,4]]},&quot;DOI&quot;:&quot;10.1136/bmj.g1687&quot;,&quot;URL&quot;:&quot;http://www.bmj.com/content/348/bmj.g1687?tab=related#datasupp&quot;,&quot;issued&quot;:{&quot;date-parts&quot;:[[2014]]},&quot;page&quot;:&quot;348&quot;,&quot;container-title-short&quot;:&quot;&quot;},&quot;isTemporary&quot;:false}]}]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58C40-A9BE-41FD-965B-1E7B2AB3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Haseldine, Clair</dc:creator>
  <cp:keywords/>
  <dc:description/>
  <cp:lastModifiedBy>Clair Haseldine</cp:lastModifiedBy>
  <cp:revision>2</cp:revision>
  <dcterms:created xsi:type="dcterms:W3CDTF">2023-08-15T12:11:00Z</dcterms:created>
  <dcterms:modified xsi:type="dcterms:W3CDTF">2023-08-15T12:11:00Z</dcterms:modified>
</cp:coreProperties>
</file>