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FC70" w14:textId="5049EDE4" w:rsidR="00CB49CE" w:rsidRPr="007109E0" w:rsidRDefault="00CB49CE" w:rsidP="008D3449">
      <w:pPr>
        <w:rPr>
          <w:b/>
          <w:lang w:val="en-US"/>
        </w:rPr>
      </w:pPr>
      <w:r w:rsidRPr="007109E0">
        <w:rPr>
          <w:rFonts w:cs="Times New Roman"/>
          <w:b/>
          <w:szCs w:val="24"/>
          <w:lang w:val="en-US"/>
        </w:rPr>
        <w:t xml:space="preserve">Supplementary Table 5. </w:t>
      </w:r>
      <w:r w:rsidRPr="007109E0">
        <w:rPr>
          <w:b/>
          <w:lang w:val="en-US"/>
        </w:rPr>
        <w:t>Adverse events over the 24-month study period</w:t>
      </w:r>
      <w:r w:rsidR="008D3449" w:rsidRPr="007109E0">
        <w:rPr>
          <w:b/>
          <w:lang w:val="en-US"/>
        </w:rPr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6"/>
        <w:gridCol w:w="2740"/>
        <w:gridCol w:w="2740"/>
      </w:tblGrid>
      <w:tr w:rsidR="00CB49CE" w:rsidRPr="00A80C9E" w14:paraId="62C7A264" w14:textId="77777777" w:rsidTr="008D3449">
        <w:trPr>
          <w:trHeight w:val="267"/>
        </w:trPr>
        <w:tc>
          <w:tcPr>
            <w:tcW w:w="1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044708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bCs/>
                <w:sz w:val="20"/>
                <w:szCs w:val="20"/>
                <w:lang w:val="en-US"/>
              </w:rPr>
              <w:t>Number (%) of patients with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25B86C" w14:textId="77777777" w:rsidR="00CB49CE" w:rsidRPr="00A80C9E" w:rsidRDefault="00CB49CE" w:rsidP="00662484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BRVO</w:t>
            </w:r>
            <w:r w:rsidRPr="00A80C9E"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  <w:t xml:space="preserve"> </w:t>
            </w:r>
          </w:p>
          <w:p w14:paraId="5B21021E" w14:textId="77777777" w:rsidR="00CB49CE" w:rsidRPr="00A80C9E" w:rsidRDefault="00CB49CE" w:rsidP="0066248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  <w:t>N=226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5B0E8B" w14:textId="77777777" w:rsidR="00CB49CE" w:rsidRPr="00A80C9E" w:rsidRDefault="00CB49CE" w:rsidP="00662484">
            <w:pPr>
              <w:jc w:val="center"/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CRVO</w:t>
            </w:r>
            <w:r w:rsidRPr="00A80C9E"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  <w:t xml:space="preserve"> </w:t>
            </w:r>
          </w:p>
          <w:p w14:paraId="6C49B592" w14:textId="77777777" w:rsidR="00CB49CE" w:rsidRPr="00A80C9E" w:rsidRDefault="00CB49CE" w:rsidP="0066248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Cs/>
                <w:sz w:val="20"/>
                <w:szCs w:val="20"/>
                <w:lang w:val="en-US" w:eastAsia="en-GB"/>
              </w:rPr>
              <w:t>N=196</w:t>
            </w:r>
          </w:p>
        </w:tc>
      </w:tr>
      <w:tr w:rsidR="00CB49CE" w:rsidRPr="00A80C9E" w14:paraId="5EE4B441" w14:textId="77777777" w:rsidTr="008D3449">
        <w:trPr>
          <w:trHeight w:val="255"/>
        </w:trPr>
        <w:tc>
          <w:tcPr>
            <w:tcW w:w="1964" w:type="pct"/>
            <w:tcBorders>
              <w:top w:val="single" w:sz="4" w:space="0" w:color="auto"/>
            </w:tcBorders>
            <w:vAlign w:val="center"/>
          </w:tcPr>
          <w:p w14:paraId="1FADB604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At least 1 AE,</w:t>
            </w:r>
          </w:p>
        </w:tc>
        <w:tc>
          <w:tcPr>
            <w:tcW w:w="1518" w:type="pct"/>
            <w:tcBorders>
              <w:top w:val="single" w:sz="4" w:space="0" w:color="auto"/>
            </w:tcBorders>
          </w:tcPr>
          <w:p w14:paraId="662C6934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108 (47.8%)</w:t>
            </w:r>
          </w:p>
        </w:tc>
        <w:tc>
          <w:tcPr>
            <w:tcW w:w="1518" w:type="pct"/>
            <w:tcBorders>
              <w:top w:val="single" w:sz="4" w:space="0" w:color="auto"/>
            </w:tcBorders>
          </w:tcPr>
          <w:p w14:paraId="50CCE11B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102 (52.0%)</w:t>
            </w:r>
          </w:p>
        </w:tc>
      </w:tr>
      <w:tr w:rsidR="00CB49CE" w:rsidRPr="00A80C9E" w14:paraId="63D39602" w14:textId="77777777" w:rsidTr="008D3449">
        <w:trPr>
          <w:trHeight w:val="247"/>
        </w:trPr>
        <w:tc>
          <w:tcPr>
            <w:tcW w:w="1964" w:type="pct"/>
            <w:vAlign w:val="center"/>
          </w:tcPr>
          <w:p w14:paraId="06E40D97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At least 1 AE related to ranibizumab or intravitreal injection</w:t>
            </w:r>
          </w:p>
        </w:tc>
        <w:tc>
          <w:tcPr>
            <w:tcW w:w="1518" w:type="pct"/>
            <w:vAlign w:val="center"/>
          </w:tcPr>
          <w:p w14:paraId="75EA0383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43 (19.0%)</w:t>
            </w:r>
          </w:p>
        </w:tc>
        <w:tc>
          <w:tcPr>
            <w:tcW w:w="1518" w:type="pct"/>
            <w:vAlign w:val="center"/>
          </w:tcPr>
          <w:p w14:paraId="2D95B87E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28 (14.3%)</w:t>
            </w:r>
          </w:p>
        </w:tc>
      </w:tr>
      <w:tr w:rsidR="00CB49CE" w:rsidRPr="00A80C9E" w14:paraId="0EAEE8AF" w14:textId="77777777" w:rsidTr="008D3449">
        <w:trPr>
          <w:trHeight w:val="371"/>
        </w:trPr>
        <w:tc>
          <w:tcPr>
            <w:tcW w:w="1964" w:type="pct"/>
          </w:tcPr>
          <w:p w14:paraId="472EBB92" w14:textId="77777777" w:rsidR="00CB49CE" w:rsidRPr="00A80C9E" w:rsidRDefault="00CB49CE" w:rsidP="00662484">
            <w:pPr>
              <w:rPr>
                <w:rFonts w:eastAsia="Arial" w:cs="Times New Roman"/>
                <w:spacing w:val="2"/>
                <w:w w:val="105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At least 1 AE related to ranibizumab</w:t>
            </w:r>
          </w:p>
        </w:tc>
        <w:tc>
          <w:tcPr>
            <w:tcW w:w="1518" w:type="pct"/>
          </w:tcPr>
          <w:p w14:paraId="66DE98A4" w14:textId="77777777" w:rsidR="00CB49CE" w:rsidRPr="00A80C9E" w:rsidRDefault="00CB49CE" w:rsidP="00662484">
            <w:pPr>
              <w:jc w:val="center"/>
              <w:rPr>
                <w:rFonts w:eastAsia="Arial" w:cs="Times New Roman"/>
                <w:spacing w:val="2"/>
                <w:w w:val="105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22 (9.7%)</w:t>
            </w:r>
          </w:p>
        </w:tc>
        <w:tc>
          <w:tcPr>
            <w:tcW w:w="1518" w:type="pct"/>
          </w:tcPr>
          <w:p w14:paraId="0492CC29" w14:textId="77777777" w:rsidR="00CB49CE" w:rsidRPr="00A80C9E" w:rsidRDefault="00CB49CE" w:rsidP="00662484">
            <w:pPr>
              <w:jc w:val="center"/>
              <w:rPr>
                <w:rFonts w:eastAsia="Arial" w:cs="Times New Roman"/>
                <w:spacing w:val="2"/>
                <w:w w:val="105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11 (5.6%)</w:t>
            </w:r>
          </w:p>
        </w:tc>
      </w:tr>
      <w:tr w:rsidR="00CB49CE" w:rsidRPr="00A80C9E" w14:paraId="1AD8CBB3" w14:textId="77777777" w:rsidTr="008D3449">
        <w:trPr>
          <w:trHeight w:val="313"/>
        </w:trPr>
        <w:tc>
          <w:tcPr>
            <w:tcW w:w="1964" w:type="pct"/>
            <w:tcBorders>
              <w:bottom w:val="single" w:sz="4" w:space="0" w:color="auto"/>
            </w:tcBorders>
          </w:tcPr>
          <w:p w14:paraId="6721465B" w14:textId="77777777" w:rsidR="00CB49CE" w:rsidRPr="00A80C9E" w:rsidRDefault="00CB49CE" w:rsidP="00662484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At least 1 SAE related to ranibizumab</w:t>
            </w:r>
          </w:p>
        </w:tc>
        <w:tc>
          <w:tcPr>
            <w:tcW w:w="1518" w:type="pct"/>
            <w:tcBorders>
              <w:bottom w:val="single" w:sz="4" w:space="0" w:color="auto"/>
            </w:tcBorders>
          </w:tcPr>
          <w:p w14:paraId="02950786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 (2.2%)</w:t>
            </w:r>
          </w:p>
        </w:tc>
        <w:tc>
          <w:tcPr>
            <w:tcW w:w="1518" w:type="pct"/>
            <w:tcBorders>
              <w:bottom w:val="single" w:sz="4" w:space="0" w:color="auto"/>
            </w:tcBorders>
          </w:tcPr>
          <w:p w14:paraId="2A4E59D3" w14:textId="77777777" w:rsidR="00CB49CE" w:rsidRPr="00A80C9E" w:rsidRDefault="00CB49CE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2 (1.0%)</w:t>
            </w:r>
          </w:p>
        </w:tc>
      </w:tr>
      <w:tr w:rsidR="00CB49CE" w:rsidRPr="00A80C9E" w14:paraId="41ED9B20" w14:textId="77777777" w:rsidTr="008D3449">
        <w:trPr>
          <w:trHeight w:val="313"/>
        </w:trPr>
        <w:tc>
          <w:tcPr>
            <w:tcW w:w="1964" w:type="pct"/>
            <w:tcBorders>
              <w:top w:val="single" w:sz="4" w:space="0" w:color="auto"/>
              <w:bottom w:val="single" w:sz="4" w:space="0" w:color="auto"/>
            </w:tcBorders>
          </w:tcPr>
          <w:p w14:paraId="0A0B468E" w14:textId="77777777" w:rsidR="00CB49CE" w:rsidRPr="00A80C9E" w:rsidRDefault="00CB49CE" w:rsidP="00662484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Most common AEs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</w:tcPr>
          <w:p w14:paraId="6D9E75B9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Ocular hypertension (5.8%)</w:t>
            </w:r>
          </w:p>
          <w:p w14:paraId="731726A0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 xml:space="preserve">Retinal ischemia (5.8%)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Ocular pain (4.4%)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Aggravated infection (4.4%)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Ineffective drug (3.5%)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</w:r>
            <w:proofErr w:type="spellStart"/>
            <w:r w:rsidRPr="00A80C9E">
              <w:rPr>
                <w:rFonts w:cs="Times New Roman"/>
                <w:sz w:val="20"/>
                <w:szCs w:val="20"/>
                <w:lang w:val="en-US"/>
              </w:rPr>
              <w:t>Vitreal</w:t>
            </w:r>
            <w:proofErr w:type="spellEnd"/>
            <w:r w:rsidRPr="00A80C9E">
              <w:rPr>
                <w:rFonts w:cs="Times New Roman"/>
                <w:sz w:val="20"/>
                <w:szCs w:val="20"/>
                <w:lang w:val="en-US"/>
              </w:rPr>
              <w:t xml:space="preserve"> floating bodies (3.1%)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Ocular irritation (3.1%)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Conjunctival bleeding (2.7%)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Fall (2.2%)</w:t>
            </w:r>
          </w:p>
        </w:tc>
        <w:tc>
          <w:tcPr>
            <w:tcW w:w="1518" w:type="pct"/>
            <w:tcBorders>
              <w:top w:val="single" w:sz="4" w:space="0" w:color="auto"/>
              <w:bottom w:val="single" w:sz="4" w:space="0" w:color="auto"/>
            </w:tcBorders>
          </w:tcPr>
          <w:p w14:paraId="5A31C208" w14:textId="77777777" w:rsidR="00CB49CE" w:rsidRPr="00A80C9E" w:rsidRDefault="00CB49CE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 xml:space="preserve">Ocular pain (6.6%)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Ocular hypertension (5.1%)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Retinal ischemia (4.6%)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Aggravated infection (4.6%)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Ineffective drug (3.6%)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Glaucoma (3.6%)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Ocular pruritis (3.1%)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Cataract (2.6%)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 xml:space="preserve">Iris neovascularization (2.6%) 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Drop in VA (2.0%)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Macular ischemia (2.0%)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Macular edema (2.0%)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Cardiac insufficiency (2.0%)</w:t>
            </w:r>
            <w:r w:rsidRPr="00A80C9E">
              <w:rPr>
                <w:rFonts w:cs="Times New Roman"/>
                <w:sz w:val="20"/>
                <w:szCs w:val="20"/>
                <w:lang w:val="en-US"/>
              </w:rPr>
              <w:br/>
              <w:t>Fall (2.0%)</w:t>
            </w:r>
          </w:p>
        </w:tc>
      </w:tr>
    </w:tbl>
    <w:p w14:paraId="5364FBE2" w14:textId="3B0A49B5" w:rsidR="00CB49CE" w:rsidRPr="00A80C9E" w:rsidRDefault="00CB49CE" w:rsidP="00CB49CE">
      <w:pPr>
        <w:rPr>
          <w:lang w:val="en-US"/>
        </w:rPr>
      </w:pPr>
      <w:r w:rsidRPr="00A80C9E">
        <w:rPr>
          <w:bCs/>
          <w:sz w:val="20"/>
          <w:szCs w:val="18"/>
          <w:lang w:val="en-US"/>
        </w:rPr>
        <w:t>AE=adverse event, BRVO=branch retinal vein occlusion, CRVO=central retinal vein occlusion, SAE=serious adverse event, VA=visual acuity</w:t>
      </w:r>
      <w:r w:rsidRPr="00A80C9E">
        <w:rPr>
          <w:rFonts w:cs="Times New Roman"/>
          <w:sz w:val="20"/>
          <w:szCs w:val="20"/>
          <w:lang w:val="en-US"/>
        </w:rPr>
        <w:fldChar w:fldCharType="begin"/>
      </w:r>
      <w:r w:rsidRPr="00A80C9E">
        <w:rPr>
          <w:rFonts w:cs="Times New Roman"/>
          <w:sz w:val="20"/>
          <w:szCs w:val="20"/>
          <w:lang w:val="en-US"/>
        </w:rPr>
        <w:instrText xml:space="preserve"> ADDIN </w:instrText>
      </w:r>
      <w:r w:rsidRPr="00A80C9E">
        <w:rPr>
          <w:rFonts w:cs="Times New Roman"/>
          <w:sz w:val="20"/>
          <w:szCs w:val="20"/>
          <w:lang w:val="en-US"/>
        </w:rPr>
        <w:fldChar w:fldCharType="end"/>
      </w:r>
    </w:p>
    <w:p w14:paraId="7FDF1FDD" w14:textId="77777777" w:rsidR="00FF5FC9" w:rsidRPr="00CB49CE" w:rsidRDefault="00FF5FC9">
      <w:pPr>
        <w:rPr>
          <w:lang w:val="en-US"/>
        </w:rPr>
      </w:pPr>
    </w:p>
    <w:sectPr w:rsidR="00FF5FC9" w:rsidRPr="00CB49CE" w:rsidSect="008D344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79E96" w14:textId="77777777" w:rsidR="00A21B98" w:rsidRDefault="004A5E65">
      <w:pPr>
        <w:spacing w:after="0" w:line="240" w:lineRule="auto"/>
      </w:pPr>
      <w:r>
        <w:separator/>
      </w:r>
    </w:p>
  </w:endnote>
  <w:endnote w:type="continuationSeparator" w:id="0">
    <w:p w14:paraId="661322AC" w14:textId="77777777" w:rsidR="00A21B98" w:rsidRDefault="004A5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F0E61" w14:textId="752607F4" w:rsidR="00ED0F16" w:rsidRDefault="002442F6">
    <w:pPr>
      <w:pStyle w:val="Footer"/>
      <w:jc w:val="right"/>
    </w:pPr>
  </w:p>
  <w:p w14:paraId="14C78AEA" w14:textId="77777777" w:rsidR="00ED0F16" w:rsidRPr="003566C1" w:rsidRDefault="002442F6">
    <w:pPr>
      <w:pStyle w:val="Footer"/>
      <w:rPr>
        <w:rFonts w:cs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0143" w14:textId="77777777" w:rsidR="00A21B98" w:rsidRDefault="004A5E65">
      <w:pPr>
        <w:spacing w:after="0" w:line="240" w:lineRule="auto"/>
      </w:pPr>
      <w:r>
        <w:separator/>
      </w:r>
    </w:p>
  </w:footnote>
  <w:footnote w:type="continuationSeparator" w:id="0">
    <w:p w14:paraId="131B1866" w14:textId="77777777" w:rsidR="00A21B98" w:rsidRDefault="004A5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A08FB"/>
    <w:multiLevelType w:val="hybridMultilevel"/>
    <w:tmpl w:val="68FE5E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092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CE"/>
    <w:rsid w:val="002442F6"/>
    <w:rsid w:val="004A5E65"/>
    <w:rsid w:val="004D0E76"/>
    <w:rsid w:val="007109E0"/>
    <w:rsid w:val="008D3449"/>
    <w:rsid w:val="00A21B98"/>
    <w:rsid w:val="00CB49CE"/>
    <w:rsid w:val="00EA4D18"/>
    <w:rsid w:val="00F31F85"/>
    <w:rsid w:val="00F7406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8F5F5F"/>
  <w15:chartTrackingRefBased/>
  <w15:docId w15:val="{DCA0FFEB-5ADB-4E11-8365-A530AE68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9CE"/>
    <w:rPr>
      <w:rFonts w:ascii="Times New Roman" w:hAnsi="Times New Roman" w:cstheme="minorBid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9CE"/>
    <w:pPr>
      <w:spacing w:after="0" w:line="240" w:lineRule="auto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B4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9CE"/>
    <w:rPr>
      <w:rFonts w:ascii="Times New Roman" w:hAnsi="Times New Roman" w:cstheme="minorBidi"/>
      <w:sz w:val="24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B4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9CE"/>
    <w:rPr>
      <w:rFonts w:ascii="Times New Roman" w:hAnsi="Times New Roman" w:cstheme="minorBidi"/>
      <w:sz w:val="24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CB49CE"/>
  </w:style>
  <w:style w:type="paragraph" w:styleId="ListParagraph">
    <w:name w:val="List Paragraph"/>
    <w:basedOn w:val="Normal"/>
    <w:uiPriority w:val="34"/>
    <w:qFormat/>
    <w:rsid w:val="008D3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San Nicolas</dc:creator>
  <cp:keywords/>
  <dc:description/>
  <cp:lastModifiedBy>SAN NICOLAS, Nathalie</cp:lastModifiedBy>
  <cp:revision>7</cp:revision>
  <dcterms:created xsi:type="dcterms:W3CDTF">2023-02-23T16:02:00Z</dcterms:created>
  <dcterms:modified xsi:type="dcterms:W3CDTF">2023-03-02T09:51:00Z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2022-11-30T13:19:59Z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7210ef2f-755a-4703-94f1-860cda1de134</vt:lpwstr>
  </property>
  <property fmtid="{D5CDD505-2E9C-101B-9397-08002B2CF9AE}" pid="8" name="MSIP_Label_3c9bec58-8084-492e-8360-0e1cfe36408c_ContentBits">
    <vt:lpwstr>0</vt:lpwstr>
  </property>
</Properties>
</file>