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D0882" w14:textId="0E1D5878" w:rsidR="00972DAF" w:rsidRPr="00BA5B7B" w:rsidRDefault="00DE75EB" w:rsidP="00DE75EB">
      <w:pPr>
        <w:jc w:val="center"/>
        <w:rPr>
          <w:lang w:val="en-US"/>
        </w:rPr>
      </w:pPr>
      <w:r w:rsidRPr="00BA5B7B">
        <w:rPr>
          <w:lang w:val="en-US"/>
        </w:rPr>
        <w:t>Ethical Protocol in Health-related Research Involving Human Subjects</w:t>
      </w:r>
    </w:p>
    <w:p w14:paraId="13993E14" w14:textId="78EF5164" w:rsidR="00DE75EB" w:rsidRPr="00BA5B7B" w:rsidRDefault="00DE75EB" w:rsidP="00DE75EB">
      <w:pPr>
        <w:jc w:val="center"/>
        <w:rPr>
          <w:lang w:val="en-US"/>
        </w:rPr>
      </w:pPr>
    </w:p>
    <w:p w14:paraId="255B0750" w14:textId="16D7AECA" w:rsidR="00DE75EB" w:rsidRPr="00BA5B7B" w:rsidRDefault="00DE75EB" w:rsidP="00DE75EB">
      <w:pPr>
        <w:pBdr>
          <w:top w:val="single" w:sz="4" w:space="1" w:color="auto"/>
          <w:left w:val="single" w:sz="4" w:space="4" w:color="auto"/>
          <w:bottom w:val="single" w:sz="4" w:space="0" w:color="auto"/>
          <w:right w:val="single" w:sz="4" w:space="4" w:color="auto"/>
        </w:pBdr>
        <w:shd w:val="pct20" w:color="auto" w:fill="auto"/>
      </w:pPr>
      <w:r w:rsidRPr="00BA5B7B">
        <w:t>Please fill out this following form with short answers and tick (X/V) in the box or circle one of the answers which would best describe this research.</w:t>
      </w:r>
    </w:p>
    <w:p w14:paraId="2D2E4431" w14:textId="6288687F" w:rsidR="00DE75EB" w:rsidRPr="00BA5B7B" w:rsidRDefault="00DE75EB" w:rsidP="00DE75EB">
      <w:pPr>
        <w:pBdr>
          <w:top w:val="single" w:sz="4" w:space="1" w:color="auto"/>
          <w:left w:val="single" w:sz="4" w:space="4" w:color="auto"/>
          <w:bottom w:val="single" w:sz="4" w:space="0" w:color="auto"/>
          <w:right w:val="single" w:sz="4" w:space="4" w:color="auto"/>
        </w:pBdr>
        <w:shd w:val="pct20" w:color="auto" w:fill="auto"/>
      </w:pPr>
      <w:r w:rsidRPr="00BA5B7B">
        <w:t>P:</w:t>
      </w:r>
      <w:r w:rsidRPr="00BA5B7B">
        <w:tab/>
        <w:t>Protoco</w:t>
      </w:r>
      <w:r w:rsidR="00934E79" w:rsidRPr="00BA5B7B">
        <w:t>l Serial Number CIOMS 2016 – Appendix 1;</w:t>
      </w:r>
    </w:p>
    <w:p w14:paraId="7ED0C773" w14:textId="69562A97" w:rsidR="00DE75EB" w:rsidRPr="00BA5B7B" w:rsidRDefault="00DE75EB" w:rsidP="00DE75EB">
      <w:pPr>
        <w:pBdr>
          <w:top w:val="single" w:sz="4" w:space="1" w:color="auto"/>
          <w:left w:val="single" w:sz="4" w:space="4" w:color="auto"/>
          <w:bottom w:val="single" w:sz="4" w:space="0" w:color="auto"/>
          <w:right w:val="single" w:sz="4" w:space="4" w:color="auto"/>
        </w:pBdr>
        <w:shd w:val="pct20" w:color="auto" w:fill="auto"/>
      </w:pPr>
      <w:r w:rsidRPr="00BA5B7B">
        <w:t>S:</w:t>
      </w:r>
      <w:r w:rsidRPr="00BA5B7B">
        <w:tab/>
        <w:t xml:space="preserve">Standard Ethics </w:t>
      </w:r>
      <w:r w:rsidR="00934E79" w:rsidRPr="00BA5B7B">
        <w:t>(WHO-2011 and KEPPKN Guidelines 2017);</w:t>
      </w:r>
    </w:p>
    <w:p w14:paraId="29ACE130" w14:textId="42E7A026" w:rsidR="00934E79" w:rsidRPr="00BA5B7B" w:rsidRDefault="00934E79" w:rsidP="00DE75EB">
      <w:pPr>
        <w:pBdr>
          <w:top w:val="single" w:sz="4" w:space="1" w:color="auto"/>
          <w:left w:val="single" w:sz="4" w:space="4" w:color="auto"/>
          <w:bottom w:val="single" w:sz="4" w:space="0" w:color="auto"/>
          <w:right w:val="single" w:sz="4" w:space="4" w:color="auto"/>
        </w:pBdr>
        <w:shd w:val="pct20" w:color="auto" w:fill="auto"/>
      </w:pPr>
      <w:r w:rsidRPr="00BA5B7B">
        <w:t>C:</w:t>
      </w:r>
      <w:r w:rsidRPr="00BA5B7B">
        <w:tab/>
        <w:t>Check List</w:t>
      </w:r>
    </w:p>
    <w:p w14:paraId="4AF7B336" w14:textId="6AD90860" w:rsidR="00934E79" w:rsidRPr="00BA5B7B" w:rsidRDefault="00934E79" w:rsidP="00DE75EB">
      <w:pPr>
        <w:pBdr>
          <w:top w:val="single" w:sz="4" w:space="1" w:color="auto"/>
          <w:left w:val="single" w:sz="4" w:space="4" w:color="auto"/>
          <w:bottom w:val="single" w:sz="4" w:space="0" w:color="auto"/>
          <w:right w:val="single" w:sz="4" w:space="4" w:color="auto"/>
        </w:pBdr>
        <w:shd w:val="pct20" w:color="auto" w:fill="auto"/>
      </w:pPr>
      <w:r w:rsidRPr="00BA5B7B">
        <w:t>G:</w:t>
      </w:r>
      <w:r w:rsidRPr="00BA5B7B">
        <w:tab/>
        <w:t>CIOMS Guidelines 2016</w:t>
      </w:r>
    </w:p>
    <w:p w14:paraId="6A2F54EE" w14:textId="746D3CE1" w:rsidR="00DE75EB" w:rsidRPr="00BA5B7B" w:rsidRDefault="00934E79" w:rsidP="00934E79">
      <w:pPr>
        <w:pBdr>
          <w:top w:val="single" w:sz="4" w:space="1" w:color="auto"/>
          <w:left w:val="single" w:sz="4" w:space="4" w:color="auto"/>
          <w:bottom w:val="single" w:sz="4" w:space="0" w:color="auto"/>
          <w:right w:val="single" w:sz="4" w:space="4" w:color="auto"/>
        </w:pBdr>
        <w:shd w:val="pct20" w:color="auto" w:fill="auto"/>
      </w:pPr>
      <w:r w:rsidRPr="00BA5B7B">
        <w:t>IC:</w:t>
      </w:r>
      <w:r w:rsidRPr="00BA5B7B">
        <w:tab/>
        <w:t>CIOMS 2016 – Appendix 2</w:t>
      </w:r>
      <w:r w:rsidR="00DE75EB" w:rsidRPr="00BA5B7B">
        <w:t xml:space="preserve"> </w:t>
      </w:r>
    </w:p>
    <w:p w14:paraId="10125826" w14:textId="1DC577E1" w:rsidR="00DE75EB" w:rsidRPr="00BA5B7B" w:rsidRDefault="00DE75EB" w:rsidP="00DE75EB">
      <w:pPr>
        <w:jc w:val="both"/>
        <w:rPr>
          <w:lang w:val="en-US"/>
        </w:rPr>
      </w:pPr>
    </w:p>
    <w:p w14:paraId="27B34270" w14:textId="5C5F3D5D" w:rsidR="00934E79" w:rsidRPr="00BA5B7B" w:rsidRDefault="00934E79" w:rsidP="00DE75EB">
      <w:pPr>
        <w:jc w:val="both"/>
        <w:rPr>
          <w:lang w:val="en-US"/>
        </w:rPr>
      </w:pPr>
      <w:r w:rsidRPr="00BA5B7B">
        <w:rPr>
          <w:lang w:val="en-US"/>
        </w:rPr>
        <w:t>Contents:</w:t>
      </w:r>
    </w:p>
    <w:p w14:paraId="4CC1FAA4" w14:textId="4D41C48D" w:rsidR="00934E79" w:rsidRPr="00BA5B7B" w:rsidRDefault="00934E79" w:rsidP="00934E79">
      <w:pPr>
        <w:pStyle w:val="ListParagraph"/>
        <w:numPr>
          <w:ilvl w:val="0"/>
          <w:numId w:val="1"/>
        </w:numPr>
        <w:jc w:val="both"/>
        <w:rPr>
          <w:lang w:val="en-US"/>
        </w:rPr>
      </w:pPr>
      <w:r w:rsidRPr="00BA5B7B">
        <w:rPr>
          <w:lang w:val="en-US"/>
        </w:rPr>
        <w:t xml:space="preserve">Title of study (p-protocol number </w:t>
      </w:r>
      <w:proofErr w:type="gramStart"/>
      <w:r w:rsidRPr="00BA5B7B">
        <w:rPr>
          <w:lang w:val="en-US"/>
        </w:rPr>
        <w:t>1)*</w:t>
      </w:r>
      <w:proofErr w:type="gramEnd"/>
    </w:p>
    <w:p w14:paraId="59A9A5F2" w14:textId="2BF36F8C" w:rsidR="00934E79" w:rsidRPr="00BA5B7B" w:rsidRDefault="00934E79" w:rsidP="00934E79">
      <w:pPr>
        <w:pStyle w:val="ListParagraph"/>
        <w:numPr>
          <w:ilvl w:val="0"/>
          <w:numId w:val="1"/>
        </w:numPr>
        <w:jc w:val="both"/>
        <w:rPr>
          <w:lang w:val="en-US"/>
        </w:rPr>
      </w:pPr>
      <w:r w:rsidRPr="00BA5B7B">
        <w:rPr>
          <w:lang w:val="en-US"/>
        </w:rPr>
        <w:t>Summary of the research proposal (p-protocol number 2)</w:t>
      </w:r>
    </w:p>
    <w:p w14:paraId="350B078E" w14:textId="11BBFD86" w:rsidR="00934E79" w:rsidRPr="00BA5B7B" w:rsidRDefault="00934E79" w:rsidP="00934E79">
      <w:pPr>
        <w:pStyle w:val="ListParagraph"/>
        <w:numPr>
          <w:ilvl w:val="0"/>
          <w:numId w:val="1"/>
        </w:numPr>
        <w:jc w:val="both"/>
        <w:rPr>
          <w:lang w:val="en-US"/>
        </w:rPr>
      </w:pPr>
      <w:r w:rsidRPr="00BA5B7B">
        <w:rPr>
          <w:lang w:val="en-US"/>
        </w:rPr>
        <w:t>Potential ethical issues</w:t>
      </w:r>
    </w:p>
    <w:p w14:paraId="73F9C4DC" w14:textId="2D0E3B6D" w:rsidR="00934E79" w:rsidRPr="00BA5B7B" w:rsidRDefault="00934E79" w:rsidP="00934E79">
      <w:pPr>
        <w:pStyle w:val="ListParagraph"/>
        <w:numPr>
          <w:ilvl w:val="0"/>
          <w:numId w:val="1"/>
        </w:numPr>
        <w:jc w:val="both"/>
        <w:rPr>
          <w:lang w:val="en-US"/>
        </w:rPr>
      </w:pPr>
      <w:r w:rsidRPr="00BA5B7B">
        <w:rPr>
          <w:lang w:val="en-US"/>
        </w:rPr>
        <w:t>Summary of references</w:t>
      </w:r>
    </w:p>
    <w:p w14:paraId="1B11FC9A" w14:textId="5AF978E6" w:rsidR="00934E79" w:rsidRPr="00BA5B7B" w:rsidRDefault="00934E79" w:rsidP="00934E79">
      <w:pPr>
        <w:pStyle w:val="ListParagraph"/>
        <w:numPr>
          <w:ilvl w:val="0"/>
          <w:numId w:val="1"/>
        </w:numPr>
        <w:jc w:val="both"/>
        <w:rPr>
          <w:lang w:val="en-US"/>
        </w:rPr>
      </w:pPr>
      <w:r w:rsidRPr="00BA5B7B">
        <w:rPr>
          <w:lang w:val="en-US"/>
        </w:rPr>
        <w:t>Field condition</w:t>
      </w:r>
    </w:p>
    <w:p w14:paraId="2F9FEFFD" w14:textId="377F51D4" w:rsidR="00934E79" w:rsidRPr="00BA5B7B" w:rsidRDefault="00934E79" w:rsidP="00934E79">
      <w:pPr>
        <w:pStyle w:val="ListParagraph"/>
        <w:numPr>
          <w:ilvl w:val="0"/>
          <w:numId w:val="1"/>
        </w:numPr>
        <w:jc w:val="both"/>
        <w:rPr>
          <w:lang w:val="en-US"/>
        </w:rPr>
      </w:pPr>
      <w:r w:rsidRPr="00BA5B7B">
        <w:rPr>
          <w:lang w:val="en-US"/>
        </w:rPr>
        <w:t>Research design</w:t>
      </w:r>
    </w:p>
    <w:p w14:paraId="2A72F381" w14:textId="5AF3901A" w:rsidR="00934E79" w:rsidRPr="00BA5B7B" w:rsidRDefault="00934E79" w:rsidP="00934E79">
      <w:pPr>
        <w:pStyle w:val="ListParagraph"/>
        <w:numPr>
          <w:ilvl w:val="0"/>
          <w:numId w:val="1"/>
        </w:numPr>
        <w:jc w:val="both"/>
        <w:rPr>
          <w:lang w:val="en-US"/>
        </w:rPr>
      </w:pPr>
      <w:r w:rsidRPr="00BA5B7B">
        <w:rPr>
          <w:lang w:val="en-US"/>
        </w:rPr>
        <w:t>Sampling</w:t>
      </w:r>
    </w:p>
    <w:p w14:paraId="4CEC09AA" w14:textId="3CBB9D91" w:rsidR="00934E79" w:rsidRPr="00BA5B7B" w:rsidRDefault="00934E79" w:rsidP="00934E79">
      <w:pPr>
        <w:pStyle w:val="ListParagraph"/>
        <w:numPr>
          <w:ilvl w:val="0"/>
          <w:numId w:val="1"/>
        </w:numPr>
        <w:jc w:val="both"/>
        <w:rPr>
          <w:lang w:val="en-US"/>
        </w:rPr>
      </w:pPr>
      <w:r w:rsidRPr="00BA5B7B">
        <w:rPr>
          <w:lang w:val="en-US"/>
        </w:rPr>
        <w:t>Intervention</w:t>
      </w:r>
    </w:p>
    <w:p w14:paraId="0498943A" w14:textId="3C7D0309" w:rsidR="00934E79" w:rsidRPr="00BA5B7B" w:rsidRDefault="00934E79" w:rsidP="00934E79">
      <w:pPr>
        <w:pStyle w:val="ListParagraph"/>
        <w:numPr>
          <w:ilvl w:val="0"/>
          <w:numId w:val="1"/>
        </w:numPr>
        <w:jc w:val="both"/>
        <w:rPr>
          <w:lang w:val="en-US"/>
        </w:rPr>
      </w:pPr>
      <w:r w:rsidRPr="00BA5B7B">
        <w:rPr>
          <w:lang w:val="en-US"/>
        </w:rPr>
        <w:t>Results monitoring</w:t>
      </w:r>
    </w:p>
    <w:p w14:paraId="22EA4983" w14:textId="38FD0A48" w:rsidR="00934E79" w:rsidRPr="00BA5B7B" w:rsidRDefault="00934E79" w:rsidP="00934E79">
      <w:pPr>
        <w:pStyle w:val="ListParagraph"/>
        <w:numPr>
          <w:ilvl w:val="0"/>
          <w:numId w:val="1"/>
        </w:numPr>
        <w:jc w:val="both"/>
        <w:rPr>
          <w:lang w:val="en-US"/>
        </w:rPr>
      </w:pPr>
      <w:r w:rsidRPr="00BA5B7B">
        <w:rPr>
          <w:lang w:val="en-US"/>
        </w:rPr>
        <w:t>Termination of study and the justifications</w:t>
      </w:r>
    </w:p>
    <w:p w14:paraId="5E804758" w14:textId="14496D2D" w:rsidR="00934E79" w:rsidRPr="00BA5B7B" w:rsidRDefault="00934E79" w:rsidP="00934E79">
      <w:pPr>
        <w:pStyle w:val="ListParagraph"/>
        <w:numPr>
          <w:ilvl w:val="0"/>
          <w:numId w:val="1"/>
        </w:numPr>
        <w:jc w:val="both"/>
        <w:rPr>
          <w:lang w:val="en-US"/>
        </w:rPr>
      </w:pPr>
      <w:r w:rsidRPr="00BA5B7B">
        <w:rPr>
          <w:lang w:val="en-US"/>
        </w:rPr>
        <w:t>Adverse events and complications (sentinel events)</w:t>
      </w:r>
    </w:p>
    <w:p w14:paraId="5FEE1ADB" w14:textId="5F49C538" w:rsidR="00934E79" w:rsidRPr="00BA5B7B" w:rsidRDefault="00934E79" w:rsidP="00934E79">
      <w:pPr>
        <w:pStyle w:val="ListParagraph"/>
        <w:numPr>
          <w:ilvl w:val="0"/>
          <w:numId w:val="1"/>
        </w:numPr>
        <w:jc w:val="both"/>
        <w:rPr>
          <w:lang w:val="en-US"/>
        </w:rPr>
      </w:pPr>
      <w:r w:rsidRPr="00BA5B7B">
        <w:rPr>
          <w:lang w:val="en-US"/>
        </w:rPr>
        <w:t>Management of complications</w:t>
      </w:r>
    </w:p>
    <w:p w14:paraId="2C1FE24B" w14:textId="57ED0C31" w:rsidR="00934E79" w:rsidRPr="00BA5B7B" w:rsidRDefault="00934E79" w:rsidP="00934E79">
      <w:pPr>
        <w:pStyle w:val="ListParagraph"/>
        <w:numPr>
          <w:ilvl w:val="0"/>
          <w:numId w:val="1"/>
        </w:numPr>
        <w:jc w:val="both"/>
        <w:rPr>
          <w:lang w:val="en-US"/>
        </w:rPr>
      </w:pPr>
      <w:r w:rsidRPr="00BA5B7B">
        <w:rPr>
          <w:lang w:val="en-US"/>
        </w:rPr>
        <w:t>Benefits</w:t>
      </w:r>
    </w:p>
    <w:p w14:paraId="3BF99F2C" w14:textId="5B7D2A18" w:rsidR="00934E79" w:rsidRPr="00BA5B7B" w:rsidRDefault="00934E79" w:rsidP="00934E79">
      <w:pPr>
        <w:pStyle w:val="ListParagraph"/>
        <w:numPr>
          <w:ilvl w:val="0"/>
          <w:numId w:val="1"/>
        </w:numPr>
        <w:jc w:val="both"/>
        <w:rPr>
          <w:lang w:val="en-US"/>
        </w:rPr>
      </w:pPr>
      <w:r w:rsidRPr="00BA5B7B">
        <w:rPr>
          <w:lang w:val="en-US"/>
        </w:rPr>
        <w:t>Guarantee on the continuity of benefits</w:t>
      </w:r>
    </w:p>
    <w:p w14:paraId="6BC4BA06" w14:textId="0D1929A9" w:rsidR="00934E79" w:rsidRPr="00BA5B7B" w:rsidRDefault="00934E79" w:rsidP="00934E79">
      <w:pPr>
        <w:pStyle w:val="ListParagraph"/>
        <w:numPr>
          <w:ilvl w:val="0"/>
          <w:numId w:val="1"/>
        </w:numPr>
        <w:jc w:val="both"/>
        <w:rPr>
          <w:lang w:val="en-US"/>
        </w:rPr>
      </w:pPr>
      <w:r w:rsidRPr="00BA5B7B">
        <w:rPr>
          <w:lang w:val="en-US"/>
        </w:rPr>
        <w:t>Informed consent</w:t>
      </w:r>
    </w:p>
    <w:p w14:paraId="195FF22B" w14:textId="34AEE9C2" w:rsidR="00934E79" w:rsidRPr="00BA5B7B" w:rsidRDefault="00934E79" w:rsidP="00934E79">
      <w:pPr>
        <w:pStyle w:val="ListParagraph"/>
        <w:numPr>
          <w:ilvl w:val="0"/>
          <w:numId w:val="1"/>
        </w:numPr>
        <w:jc w:val="both"/>
        <w:rPr>
          <w:lang w:val="en-US"/>
        </w:rPr>
      </w:pPr>
      <w:r w:rsidRPr="00BA5B7B">
        <w:rPr>
          <w:lang w:val="en-US"/>
        </w:rPr>
        <w:t>Guardians</w:t>
      </w:r>
    </w:p>
    <w:p w14:paraId="354A936A" w14:textId="14EACF1B" w:rsidR="00934E79" w:rsidRPr="00BA5B7B" w:rsidRDefault="00934E79" w:rsidP="00934E79">
      <w:pPr>
        <w:pStyle w:val="ListParagraph"/>
        <w:numPr>
          <w:ilvl w:val="0"/>
          <w:numId w:val="1"/>
        </w:numPr>
        <w:jc w:val="both"/>
        <w:rPr>
          <w:lang w:val="en-US"/>
        </w:rPr>
      </w:pPr>
      <w:r w:rsidRPr="00BA5B7B">
        <w:rPr>
          <w:lang w:val="en-US"/>
        </w:rPr>
        <w:t>Incentives</w:t>
      </w:r>
    </w:p>
    <w:p w14:paraId="0F180804" w14:textId="0BD65DF1" w:rsidR="00934E79" w:rsidRPr="00BA5B7B" w:rsidRDefault="00934E79" w:rsidP="00934E79">
      <w:pPr>
        <w:pStyle w:val="ListParagraph"/>
        <w:numPr>
          <w:ilvl w:val="0"/>
          <w:numId w:val="1"/>
        </w:numPr>
        <w:jc w:val="both"/>
        <w:rPr>
          <w:lang w:val="en-US"/>
        </w:rPr>
      </w:pPr>
      <w:r w:rsidRPr="00BA5B7B">
        <w:rPr>
          <w:lang w:val="en-US"/>
        </w:rPr>
        <w:t>Confidentiality</w:t>
      </w:r>
    </w:p>
    <w:p w14:paraId="39DEA651" w14:textId="469FB010" w:rsidR="00934E79" w:rsidRPr="00BA5B7B" w:rsidRDefault="00934E79" w:rsidP="00934E79">
      <w:pPr>
        <w:pStyle w:val="ListParagraph"/>
        <w:numPr>
          <w:ilvl w:val="0"/>
          <w:numId w:val="1"/>
        </w:numPr>
        <w:jc w:val="both"/>
        <w:rPr>
          <w:lang w:val="en-US"/>
        </w:rPr>
      </w:pPr>
      <w:r w:rsidRPr="00BA5B7B">
        <w:rPr>
          <w:lang w:val="en-US"/>
        </w:rPr>
        <w:t>Analysis</w:t>
      </w:r>
    </w:p>
    <w:p w14:paraId="773238B7" w14:textId="1E1BB13E" w:rsidR="00934E79" w:rsidRPr="00BA5B7B" w:rsidRDefault="00934E79" w:rsidP="00934E79">
      <w:pPr>
        <w:pStyle w:val="ListParagraph"/>
        <w:numPr>
          <w:ilvl w:val="0"/>
          <w:numId w:val="1"/>
        </w:numPr>
        <w:jc w:val="both"/>
        <w:rPr>
          <w:lang w:val="en-US"/>
        </w:rPr>
      </w:pPr>
      <w:r w:rsidRPr="00BA5B7B">
        <w:rPr>
          <w:lang w:val="en-US"/>
        </w:rPr>
        <w:t>Security monitoring</w:t>
      </w:r>
    </w:p>
    <w:p w14:paraId="276B52CB" w14:textId="3D29887F" w:rsidR="00934E79" w:rsidRPr="00BA5B7B" w:rsidRDefault="00934E79" w:rsidP="00934E79">
      <w:pPr>
        <w:pStyle w:val="ListParagraph"/>
        <w:numPr>
          <w:ilvl w:val="0"/>
          <w:numId w:val="1"/>
        </w:numPr>
        <w:jc w:val="both"/>
        <w:rPr>
          <w:lang w:val="en-US"/>
        </w:rPr>
      </w:pPr>
      <w:r w:rsidRPr="00BA5B7B">
        <w:rPr>
          <w:lang w:val="en-US"/>
        </w:rPr>
        <w:t>Conflict of interest</w:t>
      </w:r>
    </w:p>
    <w:p w14:paraId="7D6636A4" w14:textId="6DAF458A" w:rsidR="00934E79" w:rsidRPr="00BA5B7B" w:rsidRDefault="00934E79" w:rsidP="00934E79">
      <w:pPr>
        <w:pStyle w:val="ListParagraph"/>
        <w:numPr>
          <w:ilvl w:val="0"/>
          <w:numId w:val="1"/>
        </w:numPr>
        <w:jc w:val="both"/>
        <w:rPr>
          <w:lang w:val="en-US"/>
        </w:rPr>
      </w:pPr>
      <w:r w:rsidRPr="00BA5B7B">
        <w:rPr>
          <w:lang w:val="en-US"/>
        </w:rPr>
        <w:t>Social benefits</w:t>
      </w:r>
    </w:p>
    <w:p w14:paraId="780BB8D0" w14:textId="44275526" w:rsidR="00934E79" w:rsidRPr="00BA5B7B" w:rsidRDefault="00934E79" w:rsidP="00934E79">
      <w:pPr>
        <w:pStyle w:val="ListParagraph"/>
        <w:numPr>
          <w:ilvl w:val="0"/>
          <w:numId w:val="1"/>
        </w:numPr>
        <w:jc w:val="both"/>
        <w:rPr>
          <w:lang w:val="en-US"/>
        </w:rPr>
      </w:pPr>
      <w:r w:rsidRPr="00BA5B7B">
        <w:rPr>
          <w:lang w:val="en-US"/>
        </w:rPr>
        <w:t>Rights to data</w:t>
      </w:r>
    </w:p>
    <w:p w14:paraId="33FA6A06" w14:textId="61D1CB4F" w:rsidR="00934E79" w:rsidRPr="00BA5B7B" w:rsidRDefault="00934E79" w:rsidP="00934E79">
      <w:pPr>
        <w:pStyle w:val="ListParagraph"/>
        <w:numPr>
          <w:ilvl w:val="0"/>
          <w:numId w:val="1"/>
        </w:numPr>
        <w:jc w:val="both"/>
        <w:rPr>
          <w:lang w:val="en-US"/>
        </w:rPr>
      </w:pPr>
      <w:r w:rsidRPr="00BA5B7B">
        <w:rPr>
          <w:lang w:val="en-US"/>
        </w:rPr>
        <w:t>Publication</w:t>
      </w:r>
    </w:p>
    <w:p w14:paraId="48716DBD" w14:textId="59558928" w:rsidR="00934E79" w:rsidRPr="00BA5B7B" w:rsidRDefault="00934E79" w:rsidP="00934E79">
      <w:pPr>
        <w:pStyle w:val="ListParagraph"/>
        <w:numPr>
          <w:ilvl w:val="0"/>
          <w:numId w:val="1"/>
        </w:numPr>
        <w:jc w:val="both"/>
        <w:rPr>
          <w:lang w:val="en-US"/>
        </w:rPr>
      </w:pPr>
      <w:r w:rsidRPr="00BA5B7B">
        <w:rPr>
          <w:lang w:val="en-US"/>
        </w:rPr>
        <w:t>Funding</w:t>
      </w:r>
    </w:p>
    <w:p w14:paraId="417BB739" w14:textId="232FD395" w:rsidR="00934E79" w:rsidRPr="00BA5B7B" w:rsidRDefault="00934E79" w:rsidP="00934E79">
      <w:pPr>
        <w:pStyle w:val="ListParagraph"/>
        <w:numPr>
          <w:ilvl w:val="0"/>
          <w:numId w:val="1"/>
        </w:numPr>
        <w:jc w:val="both"/>
        <w:rPr>
          <w:lang w:val="en-US"/>
        </w:rPr>
      </w:pPr>
      <w:r w:rsidRPr="00BA5B7B">
        <w:rPr>
          <w:lang w:val="en-US"/>
        </w:rPr>
        <w:t>Ethical commitment</w:t>
      </w:r>
    </w:p>
    <w:p w14:paraId="7CD4CA53" w14:textId="6A45E824" w:rsidR="00934E79" w:rsidRPr="00BA5B7B" w:rsidRDefault="00934E79" w:rsidP="00934E79">
      <w:pPr>
        <w:pStyle w:val="ListParagraph"/>
        <w:numPr>
          <w:ilvl w:val="0"/>
          <w:numId w:val="1"/>
        </w:numPr>
        <w:jc w:val="both"/>
        <w:rPr>
          <w:lang w:val="en-US"/>
        </w:rPr>
      </w:pPr>
      <w:r w:rsidRPr="00BA5B7B">
        <w:rPr>
          <w:lang w:val="en-US"/>
        </w:rPr>
        <w:t>References</w:t>
      </w:r>
    </w:p>
    <w:p w14:paraId="16E7978E" w14:textId="3D3B0EF7" w:rsidR="00934E79" w:rsidRPr="00BA5B7B" w:rsidRDefault="00934E79" w:rsidP="00934E79">
      <w:pPr>
        <w:pStyle w:val="ListParagraph"/>
        <w:numPr>
          <w:ilvl w:val="0"/>
          <w:numId w:val="1"/>
        </w:numPr>
        <w:jc w:val="both"/>
        <w:rPr>
          <w:lang w:val="en-US"/>
        </w:rPr>
      </w:pPr>
      <w:r w:rsidRPr="00BA5B7B">
        <w:rPr>
          <w:lang w:val="en-US"/>
        </w:rPr>
        <w:t>Appendix</w:t>
      </w:r>
    </w:p>
    <w:p w14:paraId="1DB9E197" w14:textId="37C4D50B" w:rsidR="00934E79" w:rsidRPr="00BA5B7B" w:rsidRDefault="005E0DDC" w:rsidP="00934E79">
      <w:pPr>
        <w:pStyle w:val="ListParagraph"/>
        <w:numPr>
          <w:ilvl w:val="0"/>
          <w:numId w:val="2"/>
        </w:numPr>
        <w:jc w:val="both"/>
        <w:rPr>
          <w:lang w:val="en-US"/>
        </w:rPr>
      </w:pPr>
      <w:r w:rsidRPr="00BA5B7B">
        <w:rPr>
          <w:lang w:val="en-US"/>
        </w:rPr>
        <w:t>Curriculum Vitae of Main Researcher</w:t>
      </w:r>
    </w:p>
    <w:p w14:paraId="152DEB07" w14:textId="4513021F" w:rsidR="005E0DDC" w:rsidRPr="00BA5B7B" w:rsidRDefault="005E0DDC" w:rsidP="00934E79">
      <w:pPr>
        <w:pStyle w:val="ListParagraph"/>
        <w:numPr>
          <w:ilvl w:val="0"/>
          <w:numId w:val="2"/>
        </w:numPr>
        <w:jc w:val="both"/>
        <w:rPr>
          <w:lang w:val="en-US"/>
        </w:rPr>
      </w:pPr>
      <w:r w:rsidRPr="00BA5B7B">
        <w:rPr>
          <w:lang w:val="en-US"/>
        </w:rPr>
        <w:t>Sample form of case report</w:t>
      </w:r>
    </w:p>
    <w:p w14:paraId="42FF18CF" w14:textId="16F9C6D5" w:rsidR="005E0DDC" w:rsidRPr="00BA5B7B" w:rsidRDefault="005E0DDC" w:rsidP="005E0DDC">
      <w:pPr>
        <w:rPr>
          <w:lang w:val="en-US"/>
        </w:rPr>
      </w:pPr>
      <w:r w:rsidRPr="00BA5B7B">
        <w:rPr>
          <w:lang w:val="en-US"/>
        </w:rPr>
        <w:br w:type="page"/>
      </w:r>
    </w:p>
    <w:p w14:paraId="6DA23FE9" w14:textId="77777777" w:rsidR="005E0DDC" w:rsidRPr="00BA5B7B" w:rsidRDefault="005E0DDC" w:rsidP="005E0DDC">
      <w:pPr>
        <w:jc w:val="center"/>
        <w:rPr>
          <w:lang w:val="en-US"/>
        </w:rPr>
      </w:pPr>
      <w:r w:rsidRPr="00BA5B7B">
        <w:rPr>
          <w:lang w:val="en-US"/>
        </w:rPr>
        <w:lastRenderedPageBreak/>
        <w:t>Ethical Protocol in Health-related Research Involving Human Subjects</w:t>
      </w:r>
    </w:p>
    <w:p w14:paraId="047ABABE" w14:textId="77777777" w:rsidR="005E0DDC" w:rsidRPr="00BA5B7B" w:rsidRDefault="005E0DDC" w:rsidP="005E0DDC">
      <w:pPr>
        <w:jc w:val="center"/>
        <w:rPr>
          <w:lang w:val="en-US"/>
        </w:rPr>
      </w:pPr>
    </w:p>
    <w:p w14:paraId="735AD07B"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Please fill out this following form with short answers and tick (X/V) in the box or circle one of the answers which would best describe this research.</w:t>
      </w:r>
    </w:p>
    <w:p w14:paraId="7DFCE721"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P:</w:t>
      </w:r>
      <w:r w:rsidRPr="00BA5B7B">
        <w:tab/>
        <w:t>Protocol Serial Number CIOMS 2016 – Appendix 1;</w:t>
      </w:r>
    </w:p>
    <w:p w14:paraId="6A3BE548"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S:</w:t>
      </w:r>
      <w:r w:rsidRPr="00BA5B7B">
        <w:tab/>
        <w:t>Standard Ethics (WHO-2011 and KEPPKN Guidelines 2017);</w:t>
      </w:r>
    </w:p>
    <w:p w14:paraId="16D7E495"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C:</w:t>
      </w:r>
      <w:r w:rsidRPr="00BA5B7B">
        <w:tab/>
        <w:t>Check List</w:t>
      </w:r>
    </w:p>
    <w:p w14:paraId="7368F168"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G:</w:t>
      </w:r>
      <w:r w:rsidRPr="00BA5B7B">
        <w:tab/>
        <w:t>CIOMS Guidelines 2016</w:t>
      </w:r>
    </w:p>
    <w:p w14:paraId="1C021559" w14:textId="77777777" w:rsidR="005E0DDC" w:rsidRPr="00BA5B7B" w:rsidRDefault="005E0DDC" w:rsidP="005E0DDC">
      <w:pPr>
        <w:pBdr>
          <w:top w:val="single" w:sz="4" w:space="1" w:color="auto"/>
          <w:left w:val="single" w:sz="4" w:space="4" w:color="auto"/>
          <w:bottom w:val="single" w:sz="4" w:space="0" w:color="auto"/>
          <w:right w:val="single" w:sz="4" w:space="4" w:color="auto"/>
        </w:pBdr>
        <w:shd w:val="pct20" w:color="auto" w:fill="auto"/>
      </w:pPr>
      <w:r w:rsidRPr="00BA5B7B">
        <w:t>IC:</w:t>
      </w:r>
      <w:r w:rsidRPr="00BA5B7B">
        <w:tab/>
        <w:t xml:space="preserve">CIOMS 2016 – Appendix 2 </w:t>
      </w:r>
    </w:p>
    <w:p w14:paraId="53E0AEE4" w14:textId="074DA882" w:rsidR="005E0DDC" w:rsidRPr="00BA5B7B" w:rsidRDefault="005E0DDC" w:rsidP="005E0DDC">
      <w:pPr>
        <w:ind w:firstLine="720"/>
        <w:rPr>
          <w:lang w:val="en-US"/>
        </w:rPr>
      </w:pPr>
    </w:p>
    <w:p w14:paraId="49462F82" w14:textId="2499757B" w:rsidR="005E0DDC" w:rsidRPr="00BA5B7B" w:rsidRDefault="005E0DDC" w:rsidP="005E0DDC">
      <w:pPr>
        <w:ind w:firstLine="720"/>
        <w:rPr>
          <w:lang w:val="en-US"/>
        </w:rPr>
      </w:pPr>
    </w:p>
    <w:p w14:paraId="2E3CAEB3" w14:textId="023F08FE" w:rsidR="005E0DDC" w:rsidRPr="00BA5B7B" w:rsidRDefault="005E0DDC" w:rsidP="005E0DDC">
      <w:pPr>
        <w:pStyle w:val="ListParagraph"/>
        <w:numPr>
          <w:ilvl w:val="0"/>
          <w:numId w:val="3"/>
        </w:numPr>
        <w:rPr>
          <w:lang w:val="en-US"/>
        </w:rPr>
      </w:pPr>
      <w:r w:rsidRPr="00BA5B7B">
        <w:rPr>
          <w:lang w:val="en-US"/>
        </w:rPr>
        <w:t xml:space="preserve">Title of Study (p-protocol number </w:t>
      </w:r>
      <w:proofErr w:type="gramStart"/>
      <w:r w:rsidRPr="00BA5B7B">
        <w:rPr>
          <w:lang w:val="en-US"/>
        </w:rPr>
        <w:t>1)*</w:t>
      </w:r>
      <w:proofErr w:type="gramEnd"/>
    </w:p>
    <w:p w14:paraId="739F1F89" w14:textId="07DF2F40" w:rsidR="005E0DDC" w:rsidRDefault="005E0DDC" w:rsidP="005E0DDC">
      <w:pPr>
        <w:rPr>
          <w:lang w:val="en-US"/>
        </w:rPr>
      </w:pPr>
    </w:p>
    <w:p w14:paraId="1824660C" w14:textId="476B8BE3" w:rsidR="00E74A87" w:rsidRDefault="00E74A87" w:rsidP="005E0DDC">
      <w:pPr>
        <w:rPr>
          <w:lang w:val="en-US"/>
        </w:rPr>
      </w:pPr>
      <w:r w:rsidRPr="00E74A87">
        <w:rPr>
          <w:lang w:val="en-US"/>
        </w:rPr>
        <w:t>The Effect of High Calorie Formula on Weight, Height Increment, IGF-1 and TLC in Growth Faltering Children</w:t>
      </w:r>
    </w:p>
    <w:p w14:paraId="397991E7" w14:textId="77777777" w:rsidR="00E74A87" w:rsidRPr="00BA5B7B" w:rsidRDefault="00E74A87" w:rsidP="005E0DDC">
      <w:pPr>
        <w:rPr>
          <w:lang w:val="en-US"/>
        </w:rPr>
      </w:pPr>
    </w:p>
    <w:p w14:paraId="41BC79DD" w14:textId="3F00AC13" w:rsidR="005E0DDC" w:rsidRPr="00BA5B7B" w:rsidRDefault="005E0DDC" w:rsidP="005E0DDC">
      <w:pPr>
        <w:pStyle w:val="ListParagraph"/>
        <w:numPr>
          <w:ilvl w:val="0"/>
          <w:numId w:val="4"/>
        </w:numPr>
        <w:rPr>
          <w:lang w:val="en-US"/>
        </w:rPr>
      </w:pPr>
      <w:r w:rsidRPr="00BA5B7B">
        <w:rPr>
          <w:lang w:val="en-US"/>
        </w:rPr>
        <w:t>Place of research:</w:t>
      </w:r>
    </w:p>
    <w:p w14:paraId="17D629A6" w14:textId="3EE5FFEF" w:rsidR="005E0DDC" w:rsidRPr="00BA5B7B" w:rsidRDefault="005E0DDC" w:rsidP="005E0DDC">
      <w:pPr>
        <w:ind w:left="720"/>
        <w:rPr>
          <w:lang w:val="en-US"/>
        </w:rPr>
      </w:pPr>
      <w:r w:rsidRPr="00BA5B7B">
        <w:rPr>
          <w:lang w:val="en-US"/>
        </w:rPr>
        <w:t xml:space="preserve">Pediatric clinic in </w:t>
      </w:r>
      <w:proofErr w:type="spellStart"/>
      <w:r w:rsidRPr="00BA5B7B">
        <w:rPr>
          <w:lang w:val="en-US"/>
        </w:rPr>
        <w:t>Husada</w:t>
      </w:r>
      <w:proofErr w:type="spellEnd"/>
      <w:r w:rsidRPr="00BA5B7B">
        <w:rPr>
          <w:lang w:val="en-US"/>
        </w:rPr>
        <w:t xml:space="preserve"> Utama Hospital</w:t>
      </w:r>
    </w:p>
    <w:p w14:paraId="1898523D" w14:textId="77777777" w:rsidR="005E0DDC" w:rsidRPr="00BA5B7B" w:rsidRDefault="005E0DDC" w:rsidP="005E0DDC">
      <w:pPr>
        <w:ind w:left="720"/>
        <w:rPr>
          <w:lang w:val="en-US"/>
        </w:rPr>
      </w:pPr>
    </w:p>
    <w:p w14:paraId="18C7946D" w14:textId="215D44AF" w:rsidR="005E0DDC" w:rsidRPr="00BA5B7B" w:rsidRDefault="005E0DDC" w:rsidP="005E0DDC">
      <w:pPr>
        <w:pStyle w:val="ListParagraph"/>
        <w:numPr>
          <w:ilvl w:val="0"/>
          <w:numId w:val="4"/>
        </w:numPr>
        <w:rPr>
          <w:lang w:val="en-US"/>
        </w:rPr>
      </w:pPr>
      <w:r w:rsidRPr="00BA5B7B">
        <w:rPr>
          <w:lang w:val="en-US"/>
        </w:rPr>
        <w:t>Time of research:</w:t>
      </w:r>
    </w:p>
    <w:p w14:paraId="1220AC4B" w14:textId="3C31B184" w:rsidR="005E0DDC" w:rsidRPr="00BA5B7B" w:rsidRDefault="005E0DDC" w:rsidP="005E0DDC">
      <w:pPr>
        <w:ind w:left="720"/>
        <w:rPr>
          <w:lang w:val="en-US"/>
        </w:rPr>
      </w:pPr>
      <w:r w:rsidRPr="00BA5B7B">
        <w:rPr>
          <w:lang w:val="en-US"/>
        </w:rPr>
        <w:t>September 2021 – September 2022</w:t>
      </w:r>
    </w:p>
    <w:tbl>
      <w:tblPr>
        <w:tblW w:w="9174" w:type="dxa"/>
        <w:tblInd w:w="360" w:type="dxa"/>
        <w:tblLook w:val="04A0" w:firstRow="1" w:lastRow="0" w:firstColumn="1" w:lastColumn="0" w:noHBand="0" w:noVBand="1"/>
      </w:tblPr>
      <w:tblGrid>
        <w:gridCol w:w="7218"/>
        <w:gridCol w:w="884"/>
        <w:gridCol w:w="1072"/>
      </w:tblGrid>
      <w:tr w:rsidR="005E0DDC" w:rsidRPr="005E0DDC" w14:paraId="713E4083" w14:textId="77777777" w:rsidTr="00CC00DD">
        <w:tc>
          <w:tcPr>
            <w:tcW w:w="7218" w:type="dxa"/>
            <w:shd w:val="clear" w:color="auto" w:fill="auto"/>
          </w:tcPr>
          <w:p w14:paraId="69653782" w14:textId="77777777" w:rsidR="005E0DDC" w:rsidRPr="005E0DDC" w:rsidRDefault="005E0DDC" w:rsidP="005E0DDC">
            <w:pPr>
              <w:rPr>
                <w:lang w:val="en-US"/>
              </w:rPr>
            </w:pPr>
          </w:p>
        </w:tc>
        <w:tc>
          <w:tcPr>
            <w:tcW w:w="884" w:type="dxa"/>
            <w:shd w:val="clear" w:color="auto" w:fill="auto"/>
          </w:tcPr>
          <w:p w14:paraId="6B0F6C03" w14:textId="403A8CC5" w:rsidR="005E0DDC" w:rsidRPr="005E0DDC" w:rsidRDefault="005E0DDC" w:rsidP="005E0DDC">
            <w:pPr>
              <w:rPr>
                <w:lang w:val="en-US"/>
              </w:rPr>
            </w:pPr>
            <w:r w:rsidRPr="005E0DDC">
              <w:rPr>
                <w:lang w:val="en-US"/>
              </w:rPr>
              <w:t>Y</w:t>
            </w:r>
            <w:r w:rsidRPr="00BA5B7B">
              <w:rPr>
                <w:lang w:val="en-US"/>
              </w:rPr>
              <w:t>es</w:t>
            </w:r>
          </w:p>
        </w:tc>
        <w:tc>
          <w:tcPr>
            <w:tcW w:w="1072" w:type="dxa"/>
            <w:shd w:val="clear" w:color="auto" w:fill="auto"/>
          </w:tcPr>
          <w:p w14:paraId="49AF9D9C" w14:textId="55E5C6E2" w:rsidR="005E0DDC" w:rsidRPr="005E0DDC" w:rsidRDefault="005E0DDC" w:rsidP="005E0DDC">
            <w:pPr>
              <w:rPr>
                <w:lang w:val="en-US"/>
              </w:rPr>
            </w:pPr>
            <w:r w:rsidRPr="00BA5B7B">
              <w:rPr>
                <w:lang w:val="en-US"/>
              </w:rPr>
              <w:t>No</w:t>
            </w:r>
          </w:p>
        </w:tc>
      </w:tr>
      <w:tr w:rsidR="005E0DDC" w:rsidRPr="005E0DDC" w14:paraId="38833F79" w14:textId="77777777" w:rsidTr="00CC00DD">
        <w:tc>
          <w:tcPr>
            <w:tcW w:w="7218" w:type="dxa"/>
            <w:shd w:val="clear" w:color="auto" w:fill="auto"/>
          </w:tcPr>
          <w:p w14:paraId="7C3DCF6E" w14:textId="67BFB4AD" w:rsidR="005E0DDC" w:rsidRPr="005E0DDC" w:rsidRDefault="005E0DDC" w:rsidP="005E0DDC">
            <w:pPr>
              <w:rPr>
                <w:lang w:val="en-US"/>
              </w:rPr>
            </w:pPr>
            <w:r w:rsidRPr="00BA5B7B">
              <w:rPr>
                <w:lang w:val="en-US"/>
              </w:rPr>
              <w:t>3. Is this a multi-center research?</w:t>
            </w:r>
          </w:p>
          <w:p w14:paraId="6A4BBA40" w14:textId="77777777" w:rsidR="005E0DDC" w:rsidRPr="005E0DDC" w:rsidRDefault="005E0DDC" w:rsidP="005E0DDC">
            <w:pPr>
              <w:rPr>
                <w:lang w:val="en-US"/>
              </w:rPr>
            </w:pPr>
          </w:p>
        </w:tc>
        <w:tc>
          <w:tcPr>
            <w:tcW w:w="884" w:type="dxa"/>
            <w:shd w:val="clear" w:color="auto" w:fill="auto"/>
          </w:tcPr>
          <w:p w14:paraId="76351CDD" w14:textId="77777777" w:rsidR="005E0DDC" w:rsidRPr="005E0DDC" w:rsidRDefault="005E0DDC" w:rsidP="005E0DDC">
            <w:pPr>
              <w:rPr>
                <w:lang w:val="en-US"/>
              </w:rPr>
            </w:pPr>
            <w:r w:rsidRPr="005E0DDC">
              <w:rPr>
                <w:noProof/>
                <w:lang w:val="en-US"/>
              </w:rPr>
              <mc:AlternateContent>
                <mc:Choice Requires="wps">
                  <w:drawing>
                    <wp:anchor distT="0" distB="0" distL="114300" distR="114300" simplePos="0" relativeHeight="251659264" behindDoc="0" locked="0" layoutInCell="1" allowOverlap="1" wp14:anchorId="173B4206" wp14:editId="5760AB8E">
                      <wp:simplePos x="0" y="0"/>
                      <wp:positionH relativeFrom="column">
                        <wp:posOffset>75565</wp:posOffset>
                      </wp:positionH>
                      <wp:positionV relativeFrom="paragraph">
                        <wp:posOffset>34290</wp:posOffset>
                      </wp:positionV>
                      <wp:extent cx="276225" cy="161925"/>
                      <wp:effectExtent l="0" t="0" r="28575" b="15875"/>
                      <wp:wrapNone/>
                      <wp:docPr id="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5F6DAC1B" w14:textId="77777777" w:rsidR="005E0DDC" w:rsidRPr="00E97FDC" w:rsidRDefault="005E0DDC" w:rsidP="005E0DDC">
                                  <w:pPr>
                                    <w:jc w:val="center"/>
                                    <w:rPr>
                                      <w:lang w:val="id-ID"/>
                                    </w:rPr>
                                  </w:pPr>
                                </w:p>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B4206" id="_x0000_t202" coordsize="21600,21600" o:spt="202" path="m,l,21600r21600,l21600,xe">
                      <v:stroke joinstyle="miter"/>
                      <v:path gradientshapeok="t" o:connecttype="rect"/>
                    </v:shapetype>
                    <v:shape id="Text Box 2" o:spid="_x0000_s1026" type="#_x0000_t202" style="position:absolute;margin-left:5.95pt;margin-top:2.7pt;width:21.7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" strokeweight=".5pt">
                      <v:textbox inset=".72pt,1.44pt,.72pt,1.44pt">
                        <w:txbxContent>
                          <w:p w14:paraId="5F6DAC1B" w14:textId="77777777" w:rsidR="005E0DDC" w:rsidRPr="00E97FDC" w:rsidRDefault="005E0DDC" w:rsidP="005E0DDC">
                            <w:pPr>
                              <w:jc w:val="center"/>
                              <w:rPr>
                                <w:lang w:val="id-ID"/>
                              </w:rPr>
                            </w:pPr>
                          </w:p>
                        </w:txbxContent>
                      </v:textbox>
                    </v:shape>
                  </w:pict>
                </mc:Fallback>
              </mc:AlternateContent>
            </w:r>
          </w:p>
        </w:tc>
        <w:tc>
          <w:tcPr>
            <w:tcW w:w="1072" w:type="dxa"/>
            <w:shd w:val="clear" w:color="auto" w:fill="auto"/>
          </w:tcPr>
          <w:p w14:paraId="6EA12E89" w14:textId="77777777" w:rsidR="005E0DDC" w:rsidRPr="005E0DDC" w:rsidRDefault="005E0DDC" w:rsidP="005E0DDC">
            <w:pPr>
              <w:rPr>
                <w:lang w:val="en-US"/>
              </w:rPr>
            </w:pPr>
            <w:r w:rsidRPr="005E0DDC">
              <w:rPr>
                <w:noProof/>
                <w:lang w:val="en-US"/>
              </w:rPr>
              <mc:AlternateContent>
                <mc:Choice Requires="wps">
                  <w:drawing>
                    <wp:anchor distT="0" distB="0" distL="114300" distR="114300" simplePos="0" relativeHeight="251660288" behindDoc="0" locked="0" layoutInCell="1" allowOverlap="1" wp14:anchorId="32A25C73" wp14:editId="19C176E7">
                      <wp:simplePos x="0" y="0"/>
                      <wp:positionH relativeFrom="column">
                        <wp:posOffset>114300</wp:posOffset>
                      </wp:positionH>
                      <wp:positionV relativeFrom="paragraph">
                        <wp:posOffset>34290</wp:posOffset>
                      </wp:positionV>
                      <wp:extent cx="276225" cy="161925"/>
                      <wp:effectExtent l="0" t="0" r="28575" b="15875"/>
                      <wp:wrapNone/>
                      <wp:docPr id="1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0D7068EB" w14:textId="77777777" w:rsidR="005E0DDC" w:rsidRDefault="005E0DDC" w:rsidP="005E0DDC">
                                  <w:r>
                                    <w:t xml:space="preserve">   √</w:t>
                                  </w:r>
                                </w:p>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25C73" id="Text Box 17" o:spid="_x0000_s1027" type="#_x0000_t202" style="position:absolute;margin-left:9pt;margin-top:2.7pt;width:21.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" strokeweight=".5pt">
                      <v:textbox inset=".72pt,1.44pt,.72pt,1.44pt">
                        <w:txbxContent>
                          <w:p w14:paraId="0D7068EB" w14:textId="77777777" w:rsidR="005E0DDC" w:rsidRDefault="005E0DDC" w:rsidP="005E0DDC">
                            <w:r>
                              <w:t xml:space="preserve">   √</w:t>
                            </w:r>
                          </w:p>
                        </w:txbxContent>
                      </v:textbox>
                    </v:shape>
                  </w:pict>
                </mc:Fallback>
              </mc:AlternateContent>
            </w:r>
            <w:r w:rsidRPr="005E0DDC">
              <w:rPr>
                <w:lang w:val="en-US"/>
              </w:rPr>
              <w:t xml:space="preserve">               </w:t>
            </w:r>
          </w:p>
        </w:tc>
      </w:tr>
      <w:tr w:rsidR="005E0DDC" w:rsidRPr="005E0DDC" w14:paraId="2CE63991" w14:textId="77777777" w:rsidTr="00CC00DD">
        <w:tc>
          <w:tcPr>
            <w:tcW w:w="7218" w:type="dxa"/>
            <w:shd w:val="clear" w:color="auto" w:fill="auto"/>
          </w:tcPr>
          <w:p w14:paraId="1E26C89F" w14:textId="4BD9BB5D" w:rsidR="005E0DDC" w:rsidRPr="005E0DDC" w:rsidRDefault="005E0DDC" w:rsidP="005E0DDC">
            <w:pPr>
              <w:rPr>
                <w:lang w:val="en-US"/>
              </w:rPr>
            </w:pPr>
            <w:r w:rsidRPr="00BA5B7B">
              <w:rPr>
                <w:lang w:val="en-US"/>
              </w:rPr>
              <w:t>4. If yes, is an ethics approval from other centers/institutions involved</w:t>
            </w:r>
            <w:r w:rsidRPr="005E0DDC">
              <w:rPr>
                <w:lang w:val="en-US"/>
              </w:rPr>
              <w:t xml:space="preserve"> </w:t>
            </w:r>
            <w:r w:rsidRPr="00BA5B7B">
              <w:rPr>
                <w:lang w:val="en-US"/>
              </w:rPr>
              <w:t>already obtained? (</w:t>
            </w:r>
            <w:proofErr w:type="gramStart"/>
            <w:r w:rsidRPr="00BA5B7B">
              <w:rPr>
                <w:lang w:val="en-US"/>
              </w:rPr>
              <w:t>attach</w:t>
            </w:r>
            <w:proofErr w:type="gramEnd"/>
            <w:r w:rsidRPr="00BA5B7B">
              <w:rPr>
                <w:lang w:val="en-US"/>
              </w:rPr>
              <w:t xml:space="preserve"> them if yes)</w:t>
            </w:r>
          </w:p>
        </w:tc>
        <w:tc>
          <w:tcPr>
            <w:tcW w:w="884" w:type="dxa"/>
            <w:shd w:val="clear" w:color="auto" w:fill="auto"/>
          </w:tcPr>
          <w:p w14:paraId="50EB3010" w14:textId="77777777" w:rsidR="005E0DDC" w:rsidRPr="005E0DDC" w:rsidRDefault="005E0DDC" w:rsidP="005E0DDC">
            <w:pPr>
              <w:rPr>
                <w:lang w:val="en-US"/>
              </w:rPr>
            </w:pPr>
            <w:r w:rsidRPr="005E0DDC">
              <w:rPr>
                <w:noProof/>
                <w:lang w:val="en-US"/>
              </w:rPr>
              <mc:AlternateContent>
                <mc:Choice Requires="wps">
                  <w:drawing>
                    <wp:anchor distT="0" distB="0" distL="114300" distR="114300" simplePos="0" relativeHeight="251661312" behindDoc="0" locked="0" layoutInCell="1" allowOverlap="1" wp14:anchorId="2DFB4E91" wp14:editId="1D01D191">
                      <wp:simplePos x="0" y="0"/>
                      <wp:positionH relativeFrom="column">
                        <wp:posOffset>75565</wp:posOffset>
                      </wp:positionH>
                      <wp:positionV relativeFrom="paragraph">
                        <wp:posOffset>33655</wp:posOffset>
                      </wp:positionV>
                      <wp:extent cx="276225" cy="161925"/>
                      <wp:effectExtent l="0" t="0" r="28575" b="15875"/>
                      <wp:wrapNone/>
                      <wp:docPr id="1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2C75C26F" w14:textId="77777777" w:rsidR="005E0DDC" w:rsidRDefault="005E0DDC" w:rsidP="005E0DDC"/>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B4E91" id="Text Box 18" o:spid="_x0000_s1028" type="#_x0000_t202" style="position:absolute;margin-left:5.95pt;margin-top:2.65pt;width:21.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" strokeweight=".5pt">
                      <v:textbox inset=".72pt,1.44pt,.72pt,1.44pt">
                        <w:txbxContent>
                          <w:p w14:paraId="2C75C26F" w14:textId="77777777" w:rsidR="005E0DDC" w:rsidRDefault="005E0DDC" w:rsidP="005E0DDC"/>
                        </w:txbxContent>
                      </v:textbox>
                    </v:shape>
                  </w:pict>
                </mc:Fallback>
              </mc:AlternateContent>
            </w:r>
          </w:p>
        </w:tc>
        <w:tc>
          <w:tcPr>
            <w:tcW w:w="1072" w:type="dxa"/>
            <w:shd w:val="clear" w:color="auto" w:fill="auto"/>
          </w:tcPr>
          <w:p w14:paraId="699FA768" w14:textId="77777777" w:rsidR="005E0DDC" w:rsidRPr="005E0DDC" w:rsidRDefault="005E0DDC" w:rsidP="005E0DDC">
            <w:pPr>
              <w:rPr>
                <w:lang w:val="en-US"/>
              </w:rPr>
            </w:pPr>
            <w:r w:rsidRPr="005E0DDC">
              <w:rPr>
                <w:noProof/>
                <w:lang w:val="en-US"/>
              </w:rPr>
              <mc:AlternateContent>
                <mc:Choice Requires="wps">
                  <w:drawing>
                    <wp:anchor distT="0" distB="0" distL="114300" distR="114300" simplePos="0" relativeHeight="251662336" behindDoc="0" locked="0" layoutInCell="1" allowOverlap="1" wp14:anchorId="69D166B0" wp14:editId="215D64ED">
                      <wp:simplePos x="0" y="0"/>
                      <wp:positionH relativeFrom="column">
                        <wp:posOffset>114300</wp:posOffset>
                      </wp:positionH>
                      <wp:positionV relativeFrom="paragraph">
                        <wp:posOffset>33655</wp:posOffset>
                      </wp:positionV>
                      <wp:extent cx="276225" cy="161925"/>
                      <wp:effectExtent l="0" t="0" r="28575" b="15875"/>
                      <wp:wrapNone/>
                      <wp:docPr id="1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61925"/>
                              </a:xfrm>
                              <a:prstGeom prst="rect">
                                <a:avLst/>
                              </a:prstGeom>
                              <a:solidFill>
                                <a:srgbClr val="FFFFFF"/>
                              </a:solidFill>
                              <a:ln w="6350">
                                <a:solidFill>
                                  <a:srgbClr val="000000"/>
                                </a:solidFill>
                                <a:miter lim="800000"/>
                                <a:headEnd/>
                                <a:tailEnd/>
                              </a:ln>
                            </wps:spPr>
                            <wps:txbx>
                              <w:txbxContent>
                                <w:p w14:paraId="3CB0E59B" w14:textId="77777777" w:rsidR="005E0DDC" w:rsidRDefault="005E0DDC" w:rsidP="005E0DDC"/>
                              </w:txbxContent>
                            </wps:txbx>
                            <wps:bodyPr rot="0" vert="horz" wrap="square" lIns="9144" tIns="18288" rIns="9144"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166B0" id="Text Box 19" o:spid="_x0000_s1029" type="#_x0000_t202" style="position:absolute;margin-left:9pt;margin-top:2.65pt;width:21.7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" strokeweight=".5pt">
                      <v:textbox inset=".72pt,1.44pt,.72pt,1.44pt">
                        <w:txbxContent>
                          <w:p w14:paraId="3CB0E59B" w14:textId="77777777" w:rsidR="005E0DDC" w:rsidRDefault="005E0DDC" w:rsidP="005E0DDC"/>
                        </w:txbxContent>
                      </v:textbox>
                    </v:shape>
                  </w:pict>
                </mc:Fallback>
              </mc:AlternateContent>
            </w:r>
            <w:r w:rsidRPr="005E0DDC">
              <w:rPr>
                <w:lang w:val="en-US"/>
              </w:rPr>
              <w:t xml:space="preserve">               </w:t>
            </w:r>
          </w:p>
        </w:tc>
      </w:tr>
    </w:tbl>
    <w:p w14:paraId="79EEDD00" w14:textId="5973DE4F" w:rsidR="005E0DDC" w:rsidRPr="00BA5B7B" w:rsidRDefault="005E0DDC" w:rsidP="005E0DDC">
      <w:pPr>
        <w:rPr>
          <w:lang w:val="en-US"/>
        </w:rPr>
      </w:pPr>
    </w:p>
    <w:p w14:paraId="4D244FDF" w14:textId="3D5707A2" w:rsidR="005E0DDC" w:rsidRPr="00BA5B7B" w:rsidRDefault="005E0DDC" w:rsidP="005E0DDC">
      <w:pPr>
        <w:rPr>
          <w:lang w:val="en-US"/>
        </w:rPr>
      </w:pPr>
      <w:r w:rsidRPr="00BA5B7B">
        <w:rPr>
          <w:lang w:val="en-US"/>
        </w:rPr>
        <w:t>Identification (p10)</w:t>
      </w:r>
    </w:p>
    <w:p w14:paraId="08DF4B76" w14:textId="16D82D3C" w:rsidR="005E0DDC" w:rsidRPr="005E0DDC" w:rsidRDefault="005E0DDC" w:rsidP="005E0DDC">
      <w:pPr>
        <w:numPr>
          <w:ilvl w:val="0"/>
          <w:numId w:val="7"/>
        </w:numPr>
        <w:rPr>
          <w:lang w:val="en-US"/>
        </w:rPr>
      </w:pPr>
      <w:r w:rsidRPr="00BA5B7B">
        <w:rPr>
          <w:lang w:val="en-US"/>
        </w:rPr>
        <w:t>Researchers</w:t>
      </w:r>
    </w:p>
    <w:p w14:paraId="795E94E7" w14:textId="6E607530" w:rsidR="005E0DDC" w:rsidRPr="005E0DDC" w:rsidRDefault="005E0DDC" w:rsidP="00BA5B7B">
      <w:pPr>
        <w:rPr>
          <w:lang w:val="en-US"/>
        </w:rPr>
      </w:pPr>
      <w:r w:rsidRPr="005E0DDC">
        <w:rPr>
          <w:lang w:val="en-US"/>
        </w:rPr>
        <w:t>(</w:t>
      </w:r>
      <w:r w:rsidR="00BA5B7B" w:rsidRPr="00BA5B7B">
        <w:rPr>
          <w:lang w:val="en-US"/>
        </w:rPr>
        <w:t>Please a</w:t>
      </w:r>
      <w:r w:rsidRPr="00BA5B7B">
        <w:rPr>
          <w:lang w:val="en-US"/>
        </w:rPr>
        <w:t>ttach the main researcher’s CV)</w:t>
      </w:r>
    </w:p>
    <w:p w14:paraId="3C83541C" w14:textId="2B633AAF" w:rsidR="005E0DDC" w:rsidRPr="005E0DDC" w:rsidRDefault="005E0DDC" w:rsidP="005E0DDC">
      <w:pPr>
        <w:rPr>
          <w:lang w:val="en-US"/>
        </w:rPr>
      </w:pPr>
      <w:r w:rsidRPr="00BA5B7B">
        <w:rPr>
          <w:lang w:val="en-US"/>
        </w:rPr>
        <w:t xml:space="preserve">Main researcher </w:t>
      </w:r>
      <w:r w:rsidRPr="00BA5B7B">
        <w:rPr>
          <w:lang w:val="en-US"/>
        </w:rPr>
        <w:tab/>
      </w:r>
      <w:r w:rsidRPr="005E0DDC">
        <w:rPr>
          <w:lang w:val="en-US"/>
        </w:rPr>
        <w:t>:</w:t>
      </w:r>
      <w:r w:rsidRPr="005E0DDC">
        <w:rPr>
          <w:lang w:val="id-ID"/>
        </w:rPr>
        <w:t xml:space="preserve"> </w:t>
      </w:r>
      <w:r w:rsidRPr="005E0DDC">
        <w:rPr>
          <w:lang w:val="en-US"/>
        </w:rPr>
        <w:t xml:space="preserve">Dr. dr. Nur </w:t>
      </w:r>
      <w:proofErr w:type="spellStart"/>
      <w:r w:rsidRPr="005E0DDC">
        <w:rPr>
          <w:lang w:val="en-US"/>
        </w:rPr>
        <w:t>Aisiyah</w:t>
      </w:r>
      <w:proofErr w:type="spellEnd"/>
      <w:r w:rsidRPr="005E0DDC">
        <w:rPr>
          <w:lang w:val="en-US"/>
        </w:rPr>
        <w:t xml:space="preserve"> </w:t>
      </w:r>
      <w:proofErr w:type="spellStart"/>
      <w:r w:rsidRPr="005E0DDC">
        <w:rPr>
          <w:lang w:val="en-US"/>
        </w:rPr>
        <w:t>Widjaja</w:t>
      </w:r>
      <w:proofErr w:type="spellEnd"/>
      <w:r w:rsidRPr="005E0DDC">
        <w:rPr>
          <w:lang w:val="en-US"/>
        </w:rPr>
        <w:t xml:space="preserve">, </w:t>
      </w:r>
      <w:proofErr w:type="spellStart"/>
      <w:proofErr w:type="gramStart"/>
      <w:r w:rsidRPr="005E0DDC">
        <w:rPr>
          <w:lang w:val="en-US"/>
        </w:rPr>
        <w:t>Sp.A</w:t>
      </w:r>
      <w:proofErr w:type="spellEnd"/>
      <w:proofErr w:type="gramEnd"/>
      <w:r w:rsidRPr="005E0DDC">
        <w:rPr>
          <w:lang w:val="en-US"/>
        </w:rPr>
        <w:t>(K)</w:t>
      </w:r>
    </w:p>
    <w:p w14:paraId="153E891F" w14:textId="17726D28" w:rsidR="005E0DDC" w:rsidRPr="00BA5B7B" w:rsidRDefault="005E0DDC" w:rsidP="005E0DDC">
      <w:pPr>
        <w:rPr>
          <w:lang w:val="en-US"/>
        </w:rPr>
      </w:pPr>
      <w:r w:rsidRPr="005E0DDC">
        <w:rPr>
          <w:lang w:val="en-US"/>
        </w:rPr>
        <w:t>Institu</w:t>
      </w:r>
      <w:r w:rsidRPr="00BA5B7B">
        <w:rPr>
          <w:lang w:val="en-US"/>
        </w:rPr>
        <w:t>tion</w:t>
      </w:r>
      <w:r w:rsidRPr="005E0DDC">
        <w:rPr>
          <w:lang w:val="en-US"/>
        </w:rPr>
        <w:tab/>
      </w:r>
      <w:r w:rsidRPr="005E0DDC">
        <w:rPr>
          <w:lang w:val="en-US"/>
        </w:rPr>
        <w:tab/>
      </w:r>
      <w:r w:rsidRPr="005E0DDC">
        <w:rPr>
          <w:lang w:val="id-ID"/>
        </w:rPr>
        <w:t xml:space="preserve">: </w:t>
      </w:r>
      <w:r w:rsidRPr="005E0DDC">
        <w:rPr>
          <w:lang w:val="en-US"/>
        </w:rPr>
        <w:t xml:space="preserve">KSM </w:t>
      </w:r>
      <w:proofErr w:type="spellStart"/>
      <w:r w:rsidRPr="005E0DDC">
        <w:rPr>
          <w:lang w:val="en-US"/>
        </w:rPr>
        <w:t>Ilmu</w:t>
      </w:r>
      <w:proofErr w:type="spellEnd"/>
      <w:r w:rsidRPr="005E0DDC">
        <w:rPr>
          <w:lang w:val="en-US"/>
        </w:rPr>
        <w:t xml:space="preserve"> </w:t>
      </w:r>
      <w:proofErr w:type="spellStart"/>
      <w:r w:rsidRPr="005E0DDC">
        <w:rPr>
          <w:lang w:val="en-US"/>
        </w:rPr>
        <w:t>Kesehan</w:t>
      </w:r>
      <w:proofErr w:type="spellEnd"/>
      <w:r w:rsidRPr="005E0DDC">
        <w:rPr>
          <w:lang w:val="en-US"/>
        </w:rPr>
        <w:t xml:space="preserve"> Anak – FK </w:t>
      </w:r>
      <w:proofErr w:type="spellStart"/>
      <w:r w:rsidRPr="005E0DDC">
        <w:rPr>
          <w:lang w:val="en-US"/>
        </w:rPr>
        <w:t>Unair</w:t>
      </w:r>
      <w:proofErr w:type="spellEnd"/>
    </w:p>
    <w:p w14:paraId="1BD25340" w14:textId="77777777" w:rsidR="005E0DDC" w:rsidRPr="005E0DDC" w:rsidRDefault="005E0DDC" w:rsidP="005E0DDC">
      <w:pPr>
        <w:rPr>
          <w:lang w:val="en-US"/>
        </w:rPr>
      </w:pPr>
    </w:p>
    <w:p w14:paraId="1B1F20AA" w14:textId="792ED4FD" w:rsidR="005E0DDC" w:rsidRPr="005E0DDC" w:rsidRDefault="00BA5B7B" w:rsidP="005E0DDC">
      <w:pPr>
        <w:numPr>
          <w:ilvl w:val="0"/>
          <w:numId w:val="7"/>
        </w:numPr>
        <w:rPr>
          <w:lang w:val="en-US"/>
        </w:rPr>
      </w:pPr>
      <w:r w:rsidRPr="00BA5B7B">
        <w:rPr>
          <w:lang w:val="en-US"/>
        </w:rPr>
        <w:t>Fellow researcher</w:t>
      </w:r>
      <w:r w:rsidR="005E0DDC" w:rsidRPr="005E0DDC">
        <w:rPr>
          <w:lang w:val="en-US"/>
        </w:rPr>
        <w:tab/>
      </w:r>
      <w:r w:rsidR="005E0DDC" w:rsidRPr="005E0DDC">
        <w:rPr>
          <w:lang w:val="id-ID"/>
        </w:rPr>
        <w:t xml:space="preserve">: </w:t>
      </w:r>
      <w:r w:rsidR="005E0DDC" w:rsidRPr="005E0DDC">
        <w:rPr>
          <w:lang w:val="en-US"/>
        </w:rPr>
        <w:t xml:space="preserve">Dr. dr. </w:t>
      </w:r>
      <w:proofErr w:type="spellStart"/>
      <w:r w:rsidR="005E0DDC" w:rsidRPr="005E0DDC">
        <w:rPr>
          <w:lang w:val="en-US"/>
        </w:rPr>
        <w:t>Roedi</w:t>
      </w:r>
      <w:proofErr w:type="spellEnd"/>
      <w:r w:rsidR="005E0DDC" w:rsidRPr="005E0DDC">
        <w:rPr>
          <w:lang w:val="en-US"/>
        </w:rPr>
        <w:t xml:space="preserve"> </w:t>
      </w:r>
      <w:proofErr w:type="spellStart"/>
      <w:r w:rsidR="005E0DDC" w:rsidRPr="005E0DDC">
        <w:rPr>
          <w:lang w:val="en-US"/>
        </w:rPr>
        <w:t>Irawan</w:t>
      </w:r>
      <w:proofErr w:type="spellEnd"/>
      <w:r w:rsidR="005E0DDC" w:rsidRPr="005E0DDC">
        <w:rPr>
          <w:lang w:val="en-US"/>
        </w:rPr>
        <w:t xml:space="preserve">, </w:t>
      </w:r>
      <w:proofErr w:type="spellStart"/>
      <w:proofErr w:type="gramStart"/>
      <w:r w:rsidR="005E0DDC" w:rsidRPr="005E0DDC">
        <w:rPr>
          <w:lang w:val="en-US"/>
        </w:rPr>
        <w:t>M.Kes</w:t>
      </w:r>
      <w:proofErr w:type="spellEnd"/>
      <w:proofErr w:type="gramEnd"/>
      <w:r w:rsidR="005E0DDC" w:rsidRPr="005E0DDC">
        <w:rPr>
          <w:lang w:val="en-US"/>
        </w:rPr>
        <w:t xml:space="preserve">., </w:t>
      </w:r>
      <w:proofErr w:type="spellStart"/>
      <w:r w:rsidR="005E0DDC" w:rsidRPr="005E0DDC">
        <w:rPr>
          <w:lang w:val="en-US"/>
        </w:rPr>
        <w:t>Sp.A</w:t>
      </w:r>
      <w:proofErr w:type="spellEnd"/>
      <w:r w:rsidR="005E0DDC" w:rsidRPr="005E0DDC">
        <w:rPr>
          <w:lang w:val="en-US"/>
        </w:rPr>
        <w:t>(K)</w:t>
      </w:r>
    </w:p>
    <w:p w14:paraId="1434C84B" w14:textId="4F09B2C5" w:rsidR="005E0DDC" w:rsidRPr="005E0DDC" w:rsidRDefault="005E0DDC" w:rsidP="005E0DDC">
      <w:pPr>
        <w:rPr>
          <w:lang w:val="id-ID"/>
        </w:rPr>
      </w:pPr>
      <w:r w:rsidRPr="005E0DDC">
        <w:rPr>
          <w:lang w:val="en-US"/>
        </w:rPr>
        <w:t>Institu</w:t>
      </w:r>
      <w:r w:rsidR="00BA5B7B" w:rsidRPr="00BA5B7B">
        <w:rPr>
          <w:lang w:val="en-US"/>
        </w:rPr>
        <w:t>tion</w:t>
      </w:r>
      <w:r w:rsidRPr="005E0DDC">
        <w:rPr>
          <w:lang w:val="en-US"/>
        </w:rPr>
        <w:tab/>
      </w:r>
      <w:r w:rsidRPr="005E0DDC">
        <w:rPr>
          <w:lang w:val="en-US"/>
        </w:rPr>
        <w:tab/>
      </w:r>
      <w:r w:rsidRPr="005E0DDC">
        <w:rPr>
          <w:lang w:val="id-ID"/>
        </w:rPr>
        <w:t xml:space="preserve">: </w:t>
      </w:r>
      <w:r w:rsidR="00BA5B7B" w:rsidRPr="00BA5B7B">
        <w:rPr>
          <w:lang w:val="en-US"/>
        </w:rPr>
        <w:t xml:space="preserve">Department of Pediatrics – Faculty of Medicine, Universitas </w:t>
      </w:r>
      <w:proofErr w:type="spellStart"/>
      <w:r w:rsidR="00BA5B7B" w:rsidRPr="00BA5B7B">
        <w:rPr>
          <w:lang w:val="en-US"/>
        </w:rPr>
        <w:t>Airlangga</w:t>
      </w:r>
      <w:proofErr w:type="spellEnd"/>
    </w:p>
    <w:p w14:paraId="47F49101" w14:textId="4E297D24" w:rsidR="005E0DDC" w:rsidRPr="005E0DDC" w:rsidRDefault="00BA5B7B" w:rsidP="005E0DDC">
      <w:pPr>
        <w:rPr>
          <w:lang w:val="en-US"/>
        </w:rPr>
      </w:pPr>
      <w:r w:rsidRPr="00BA5B7B">
        <w:rPr>
          <w:lang w:val="en-US"/>
        </w:rPr>
        <w:t>Fellow researcher</w:t>
      </w:r>
      <w:r w:rsidRPr="005E0DDC">
        <w:rPr>
          <w:lang w:val="en-US"/>
        </w:rPr>
        <w:tab/>
      </w:r>
      <w:r w:rsidRPr="005E0DDC">
        <w:rPr>
          <w:lang w:val="id-ID"/>
        </w:rPr>
        <w:t>:</w:t>
      </w:r>
      <w:r w:rsidR="005E0DDC" w:rsidRPr="005E0DDC">
        <w:rPr>
          <w:lang w:val="id-ID"/>
        </w:rPr>
        <w:t xml:space="preserve"> </w:t>
      </w:r>
      <w:r w:rsidR="005E0DDC" w:rsidRPr="005E0DDC">
        <w:rPr>
          <w:lang w:val="en-US"/>
        </w:rPr>
        <w:t xml:space="preserve">Dr. Meta </w:t>
      </w:r>
      <w:proofErr w:type="spellStart"/>
      <w:r w:rsidR="005E0DDC" w:rsidRPr="005E0DDC">
        <w:rPr>
          <w:lang w:val="en-US"/>
        </w:rPr>
        <w:t>Herdiana</w:t>
      </w:r>
      <w:proofErr w:type="spellEnd"/>
      <w:r w:rsidR="005E0DDC" w:rsidRPr="005E0DDC">
        <w:rPr>
          <w:lang w:val="en-US"/>
        </w:rPr>
        <w:t xml:space="preserve"> </w:t>
      </w:r>
      <w:proofErr w:type="spellStart"/>
      <w:r w:rsidR="005E0DDC" w:rsidRPr="005E0DDC">
        <w:rPr>
          <w:lang w:val="en-US"/>
        </w:rPr>
        <w:t>Hanindita</w:t>
      </w:r>
      <w:proofErr w:type="spellEnd"/>
      <w:r w:rsidR="005E0DDC" w:rsidRPr="005E0DDC">
        <w:rPr>
          <w:lang w:val="en-US"/>
        </w:rPr>
        <w:t xml:space="preserve">, dr., </w:t>
      </w:r>
      <w:proofErr w:type="spellStart"/>
      <w:proofErr w:type="gramStart"/>
      <w:r w:rsidR="005E0DDC" w:rsidRPr="005E0DDC">
        <w:rPr>
          <w:lang w:val="en-US"/>
        </w:rPr>
        <w:t>Sp.A</w:t>
      </w:r>
      <w:proofErr w:type="spellEnd"/>
      <w:proofErr w:type="gramEnd"/>
      <w:r w:rsidR="005E0DDC" w:rsidRPr="005E0DDC">
        <w:rPr>
          <w:lang w:val="en-US"/>
        </w:rPr>
        <w:t>(K)</w:t>
      </w:r>
    </w:p>
    <w:p w14:paraId="0C6BB034" w14:textId="1189408D" w:rsidR="005E0DDC" w:rsidRPr="005E0DDC" w:rsidRDefault="00BA5B7B" w:rsidP="005E0DDC">
      <w:pPr>
        <w:rPr>
          <w:lang w:val="en-US"/>
        </w:rPr>
      </w:pPr>
      <w:r w:rsidRPr="005E0DDC">
        <w:rPr>
          <w:lang w:val="en-US"/>
        </w:rPr>
        <w:t>Institu</w:t>
      </w:r>
      <w:r w:rsidRPr="00BA5B7B">
        <w:rPr>
          <w:lang w:val="en-US"/>
        </w:rPr>
        <w:t>tion</w:t>
      </w:r>
      <w:r w:rsidRPr="005E0DDC">
        <w:rPr>
          <w:lang w:val="en-US"/>
        </w:rPr>
        <w:tab/>
      </w:r>
      <w:r w:rsidR="005E0DDC" w:rsidRPr="005E0DDC">
        <w:rPr>
          <w:lang w:val="id-ID"/>
        </w:rPr>
        <w:tab/>
        <w:t xml:space="preserve">: </w:t>
      </w:r>
      <w:r w:rsidRPr="00BA5B7B">
        <w:rPr>
          <w:lang w:val="en-US"/>
        </w:rPr>
        <w:t xml:space="preserve">Department of Pediatrics – Faculty of Medicine, Universitas </w:t>
      </w:r>
      <w:proofErr w:type="spellStart"/>
      <w:r w:rsidRPr="00BA5B7B">
        <w:rPr>
          <w:lang w:val="en-US"/>
        </w:rPr>
        <w:t>Airlangga</w:t>
      </w:r>
      <w:proofErr w:type="spellEnd"/>
    </w:p>
    <w:p w14:paraId="1A537064" w14:textId="28B2B495" w:rsidR="005E0DDC" w:rsidRPr="005E0DDC" w:rsidRDefault="00BA5B7B" w:rsidP="005E0DDC">
      <w:pPr>
        <w:rPr>
          <w:lang w:val="en-US"/>
        </w:rPr>
      </w:pPr>
      <w:r w:rsidRPr="00BA5B7B">
        <w:rPr>
          <w:lang w:val="en-US"/>
        </w:rPr>
        <w:t>Fellow researcher</w:t>
      </w:r>
      <w:r w:rsidRPr="005E0DDC">
        <w:rPr>
          <w:lang w:val="en-US"/>
        </w:rPr>
        <w:tab/>
      </w:r>
      <w:r w:rsidR="005E0DDC" w:rsidRPr="005E0DDC">
        <w:rPr>
          <w:lang w:val="id-ID"/>
        </w:rPr>
        <w:t xml:space="preserve">: </w:t>
      </w:r>
      <w:r w:rsidR="005E0DDC" w:rsidRPr="005E0DDC">
        <w:rPr>
          <w:lang w:val="en-US"/>
        </w:rPr>
        <w:t xml:space="preserve">dr. </w:t>
      </w:r>
      <w:proofErr w:type="spellStart"/>
      <w:r w:rsidR="005E0DDC" w:rsidRPr="005E0DDC">
        <w:rPr>
          <w:lang w:val="en-US"/>
        </w:rPr>
        <w:t>Azariana</w:t>
      </w:r>
      <w:proofErr w:type="spellEnd"/>
      <w:r w:rsidR="005E0DDC" w:rsidRPr="005E0DDC">
        <w:rPr>
          <w:lang w:val="en-US"/>
        </w:rPr>
        <w:t xml:space="preserve"> </w:t>
      </w:r>
      <w:proofErr w:type="spellStart"/>
      <w:r w:rsidR="005E0DDC" w:rsidRPr="005E0DDC">
        <w:rPr>
          <w:lang w:val="en-US"/>
        </w:rPr>
        <w:t>Satjadibrata</w:t>
      </w:r>
      <w:proofErr w:type="spellEnd"/>
      <w:r w:rsidR="005E0DDC" w:rsidRPr="005E0DDC">
        <w:rPr>
          <w:lang w:val="en-US"/>
        </w:rPr>
        <w:t xml:space="preserve"> </w:t>
      </w:r>
    </w:p>
    <w:p w14:paraId="6960C5B9" w14:textId="1364D04A" w:rsidR="005E0DDC" w:rsidRPr="005E0DDC" w:rsidRDefault="00BA5B7B" w:rsidP="005E0DDC">
      <w:pPr>
        <w:rPr>
          <w:lang w:val="en-US"/>
        </w:rPr>
      </w:pPr>
      <w:r w:rsidRPr="005E0DDC">
        <w:rPr>
          <w:lang w:val="en-US"/>
        </w:rPr>
        <w:t>Institu</w:t>
      </w:r>
      <w:r w:rsidRPr="00BA5B7B">
        <w:rPr>
          <w:lang w:val="en-US"/>
        </w:rPr>
        <w:t>tion</w:t>
      </w:r>
      <w:r w:rsidRPr="005E0DDC">
        <w:rPr>
          <w:lang w:val="en-US"/>
        </w:rPr>
        <w:tab/>
      </w:r>
      <w:r w:rsidR="005E0DDC" w:rsidRPr="005E0DDC">
        <w:rPr>
          <w:lang w:val="id-ID"/>
        </w:rPr>
        <w:tab/>
        <w:t xml:space="preserve">: </w:t>
      </w:r>
      <w:r w:rsidRPr="00BA5B7B">
        <w:rPr>
          <w:lang w:val="en-US"/>
        </w:rPr>
        <w:t xml:space="preserve">Department of Pediatrics – Faculty of Medicine, Universitas </w:t>
      </w:r>
      <w:proofErr w:type="spellStart"/>
      <w:r w:rsidRPr="00BA5B7B">
        <w:rPr>
          <w:lang w:val="en-US"/>
        </w:rPr>
        <w:t>Airlangga</w:t>
      </w:r>
      <w:proofErr w:type="spellEnd"/>
      <w:r w:rsidRPr="00BA5B7B">
        <w:rPr>
          <w:lang w:val="en-US"/>
        </w:rPr>
        <w:t xml:space="preserve"> Fellow researcher</w:t>
      </w:r>
      <w:r w:rsidRPr="005E0DDC">
        <w:rPr>
          <w:lang w:val="en-US"/>
        </w:rPr>
        <w:tab/>
      </w:r>
      <w:r w:rsidR="005E0DDC" w:rsidRPr="005E0DDC">
        <w:rPr>
          <w:lang w:val="id-ID"/>
        </w:rPr>
        <w:t xml:space="preserve">: </w:t>
      </w:r>
      <w:r w:rsidR="005E0DDC" w:rsidRPr="005E0DDC">
        <w:rPr>
          <w:lang w:val="en-US"/>
        </w:rPr>
        <w:t xml:space="preserve">dr. Putri </w:t>
      </w:r>
      <w:proofErr w:type="spellStart"/>
      <w:r w:rsidR="005E0DDC" w:rsidRPr="005E0DDC">
        <w:rPr>
          <w:lang w:val="en-US"/>
        </w:rPr>
        <w:t>Permatasari</w:t>
      </w:r>
      <w:proofErr w:type="spellEnd"/>
      <w:r w:rsidR="005E0DDC" w:rsidRPr="005E0DDC">
        <w:rPr>
          <w:lang w:val="en-US"/>
        </w:rPr>
        <w:t xml:space="preserve"> </w:t>
      </w:r>
    </w:p>
    <w:p w14:paraId="2D8FF268" w14:textId="6A6B095B" w:rsidR="005E0DDC" w:rsidRPr="005E0DDC" w:rsidRDefault="00BA5B7B" w:rsidP="005E0DDC">
      <w:pPr>
        <w:rPr>
          <w:lang w:val="en-US"/>
        </w:rPr>
      </w:pPr>
      <w:r w:rsidRPr="005E0DDC">
        <w:rPr>
          <w:lang w:val="en-US"/>
        </w:rPr>
        <w:t>Institu</w:t>
      </w:r>
      <w:r w:rsidRPr="00BA5B7B">
        <w:rPr>
          <w:lang w:val="en-US"/>
        </w:rPr>
        <w:t>tion</w:t>
      </w:r>
      <w:r w:rsidRPr="005E0DDC">
        <w:rPr>
          <w:lang w:val="en-US"/>
        </w:rPr>
        <w:tab/>
      </w:r>
      <w:r w:rsidR="005E0DDC" w:rsidRPr="005E0DDC">
        <w:rPr>
          <w:lang w:val="id-ID"/>
        </w:rPr>
        <w:tab/>
        <w:t xml:space="preserve">: </w:t>
      </w:r>
      <w:r w:rsidRPr="00BA5B7B">
        <w:rPr>
          <w:lang w:val="en-US"/>
        </w:rPr>
        <w:t xml:space="preserve">Department of Pediatrics – Faculty of Medicine, Universitas </w:t>
      </w:r>
      <w:proofErr w:type="spellStart"/>
      <w:r w:rsidRPr="00BA5B7B">
        <w:rPr>
          <w:lang w:val="en-US"/>
        </w:rPr>
        <w:t>Airlangga</w:t>
      </w:r>
      <w:proofErr w:type="spellEnd"/>
      <w:r w:rsidRPr="00BA5B7B">
        <w:rPr>
          <w:lang w:val="en-US"/>
        </w:rPr>
        <w:t xml:space="preserve"> Fellow researcher</w:t>
      </w:r>
      <w:r w:rsidRPr="005E0DDC">
        <w:rPr>
          <w:lang w:val="en-US"/>
        </w:rPr>
        <w:tab/>
      </w:r>
      <w:r w:rsidR="005E0DDC" w:rsidRPr="005E0DDC">
        <w:rPr>
          <w:lang w:val="id-ID"/>
        </w:rPr>
        <w:t xml:space="preserve">: </w:t>
      </w:r>
      <w:r w:rsidR="005E0DDC" w:rsidRPr="005E0DDC">
        <w:rPr>
          <w:lang w:val="en-US"/>
        </w:rPr>
        <w:t xml:space="preserve">dr. </w:t>
      </w:r>
      <w:proofErr w:type="spellStart"/>
      <w:r w:rsidR="005E0DDC" w:rsidRPr="005E0DDC">
        <w:rPr>
          <w:lang w:val="en-US"/>
        </w:rPr>
        <w:t>Hamidah</w:t>
      </w:r>
      <w:proofErr w:type="spellEnd"/>
      <w:r w:rsidR="005E0DDC" w:rsidRPr="005E0DDC">
        <w:rPr>
          <w:lang w:val="en-US"/>
        </w:rPr>
        <w:t xml:space="preserve"> </w:t>
      </w:r>
    </w:p>
    <w:p w14:paraId="41AB7399" w14:textId="35C25AAE" w:rsidR="005E0DDC" w:rsidRPr="005E0DDC" w:rsidRDefault="00BA5B7B" w:rsidP="005E0DDC">
      <w:pPr>
        <w:rPr>
          <w:lang w:val="en-US"/>
        </w:rPr>
      </w:pPr>
      <w:r w:rsidRPr="005E0DDC">
        <w:rPr>
          <w:lang w:val="en-US"/>
        </w:rPr>
        <w:t>Institu</w:t>
      </w:r>
      <w:r w:rsidRPr="00BA5B7B">
        <w:rPr>
          <w:lang w:val="en-US"/>
        </w:rPr>
        <w:t>tion</w:t>
      </w:r>
      <w:r w:rsidRPr="005E0DDC">
        <w:rPr>
          <w:lang w:val="en-US"/>
        </w:rPr>
        <w:tab/>
      </w:r>
      <w:r w:rsidR="005E0DDC" w:rsidRPr="005E0DDC">
        <w:rPr>
          <w:lang w:val="id-ID"/>
        </w:rPr>
        <w:tab/>
        <w:t xml:space="preserve">: </w:t>
      </w:r>
      <w:r w:rsidRPr="00BA5B7B">
        <w:rPr>
          <w:lang w:val="en-US"/>
        </w:rPr>
        <w:t xml:space="preserve">Department of Pediatrics – Faculty of Medicine, Universitas </w:t>
      </w:r>
      <w:proofErr w:type="spellStart"/>
      <w:r w:rsidRPr="00BA5B7B">
        <w:rPr>
          <w:lang w:val="en-US"/>
        </w:rPr>
        <w:t>Airlangga</w:t>
      </w:r>
      <w:proofErr w:type="spellEnd"/>
      <w:r w:rsidRPr="00BA5B7B">
        <w:rPr>
          <w:lang w:val="en-US"/>
        </w:rPr>
        <w:t xml:space="preserve"> Fellow researcher</w:t>
      </w:r>
      <w:r w:rsidRPr="005E0DDC">
        <w:rPr>
          <w:lang w:val="en-US"/>
        </w:rPr>
        <w:tab/>
      </w:r>
      <w:r w:rsidR="005E0DDC" w:rsidRPr="005E0DDC">
        <w:rPr>
          <w:lang w:val="id-ID"/>
        </w:rPr>
        <w:t xml:space="preserve">: </w:t>
      </w:r>
      <w:r w:rsidR="005E0DDC" w:rsidRPr="005E0DDC">
        <w:rPr>
          <w:lang w:val="en-US"/>
        </w:rPr>
        <w:t xml:space="preserve">dr. Marina </w:t>
      </w:r>
    </w:p>
    <w:p w14:paraId="24002612" w14:textId="4A214E48" w:rsidR="005E0DDC" w:rsidRPr="00BA5B7B" w:rsidRDefault="00BA5B7B" w:rsidP="005E0DDC">
      <w:pPr>
        <w:rPr>
          <w:lang w:val="en-US"/>
        </w:rPr>
      </w:pPr>
      <w:r w:rsidRPr="005E0DDC">
        <w:rPr>
          <w:lang w:val="en-US"/>
        </w:rPr>
        <w:lastRenderedPageBreak/>
        <w:t>Institu</w:t>
      </w:r>
      <w:r w:rsidRPr="00BA5B7B">
        <w:rPr>
          <w:lang w:val="en-US"/>
        </w:rPr>
        <w:t>tion</w:t>
      </w:r>
      <w:r w:rsidRPr="005E0DDC">
        <w:rPr>
          <w:lang w:val="en-US"/>
        </w:rPr>
        <w:tab/>
      </w:r>
      <w:r w:rsidR="005E0DDC" w:rsidRPr="005E0DDC">
        <w:rPr>
          <w:lang w:val="id-ID"/>
        </w:rPr>
        <w:tab/>
        <w:t xml:space="preserve">: </w:t>
      </w:r>
      <w:r w:rsidRPr="00E74A87">
        <w:rPr>
          <w:highlight w:val="yellow"/>
          <w:lang w:val="en-US"/>
        </w:rPr>
        <w:t xml:space="preserve">Department of </w:t>
      </w:r>
      <w:r w:rsidR="00E74A87" w:rsidRPr="00E74A87">
        <w:rPr>
          <w:highlight w:val="yellow"/>
          <w:lang w:val="en-US"/>
        </w:rPr>
        <w:t>Child Health (</w:t>
      </w:r>
      <w:r w:rsidRPr="00E74A87">
        <w:rPr>
          <w:highlight w:val="yellow"/>
          <w:lang w:val="en-US"/>
        </w:rPr>
        <w:t>Pediatrics</w:t>
      </w:r>
      <w:r w:rsidR="00E74A87" w:rsidRPr="00E74A87">
        <w:rPr>
          <w:highlight w:val="yellow"/>
          <w:lang w:val="en-US"/>
        </w:rPr>
        <w:t>)</w:t>
      </w:r>
      <w:r w:rsidRPr="00BA5B7B">
        <w:rPr>
          <w:lang w:val="en-US"/>
        </w:rPr>
        <w:t xml:space="preserve"> – Faculty of Medicine, Universitas </w:t>
      </w:r>
      <w:proofErr w:type="spellStart"/>
      <w:r w:rsidRPr="00BA5B7B">
        <w:rPr>
          <w:lang w:val="en-US"/>
        </w:rPr>
        <w:t>Airlangga</w:t>
      </w:r>
      <w:proofErr w:type="spellEnd"/>
    </w:p>
    <w:p w14:paraId="08523EAC" w14:textId="435E7459" w:rsidR="00BA5B7B" w:rsidRPr="00BA5B7B" w:rsidRDefault="00BA5B7B" w:rsidP="00BA5B7B">
      <w:pPr>
        <w:rPr>
          <w:lang w:val="en-US"/>
        </w:rPr>
      </w:pPr>
      <w:r w:rsidRPr="00BA5B7B">
        <w:rPr>
          <w:lang w:val="en-US"/>
        </w:rPr>
        <w:t>3. Sponsors (p9)</w:t>
      </w:r>
    </w:p>
    <w:p w14:paraId="19A25573" w14:textId="6EC3B349" w:rsidR="00BA5B7B" w:rsidRPr="00BA5B7B" w:rsidRDefault="00BA5B7B" w:rsidP="00BA5B7B">
      <w:pPr>
        <w:rPr>
          <w:lang w:val="en-US"/>
        </w:rPr>
      </w:pPr>
      <w:r w:rsidRPr="00BA5B7B">
        <w:rPr>
          <w:lang w:val="en-US"/>
        </w:rPr>
        <w:t>Name</w:t>
      </w:r>
      <w:r w:rsidRPr="00BA5B7B">
        <w:rPr>
          <w:lang w:val="en-US"/>
        </w:rPr>
        <w:tab/>
      </w:r>
      <w:r w:rsidRPr="00BA5B7B">
        <w:rPr>
          <w:lang w:val="en-US"/>
        </w:rPr>
        <w:tab/>
        <w:t xml:space="preserve">: </w:t>
      </w:r>
      <w:proofErr w:type="spellStart"/>
      <w:r w:rsidRPr="00BA5B7B">
        <w:rPr>
          <w:lang w:val="en-US"/>
        </w:rPr>
        <w:t>Sarihusada</w:t>
      </w:r>
      <w:proofErr w:type="spellEnd"/>
      <w:r w:rsidRPr="00BA5B7B">
        <w:rPr>
          <w:lang w:val="en-US"/>
        </w:rPr>
        <w:t xml:space="preserve"> </w:t>
      </w:r>
      <w:proofErr w:type="spellStart"/>
      <w:r w:rsidRPr="00BA5B7B">
        <w:rPr>
          <w:lang w:val="en-US"/>
        </w:rPr>
        <w:t>Generasi</w:t>
      </w:r>
      <w:proofErr w:type="spellEnd"/>
      <w:r w:rsidRPr="00BA5B7B">
        <w:rPr>
          <w:lang w:val="en-US"/>
        </w:rPr>
        <w:t xml:space="preserve"> </w:t>
      </w:r>
      <w:proofErr w:type="spellStart"/>
      <w:r w:rsidRPr="00BA5B7B">
        <w:rPr>
          <w:lang w:val="en-US"/>
        </w:rPr>
        <w:t>Mahardika</w:t>
      </w:r>
      <w:proofErr w:type="spellEnd"/>
    </w:p>
    <w:p w14:paraId="058496E0" w14:textId="3423392E" w:rsidR="00E74A87" w:rsidRPr="00BA5B7B" w:rsidRDefault="00BA5B7B" w:rsidP="00BA5B7B">
      <w:r w:rsidRPr="00BA5B7B">
        <w:rPr>
          <w:lang w:val="en-US"/>
        </w:rPr>
        <w:t>Address</w:t>
      </w:r>
      <w:r w:rsidRPr="00BA5B7B">
        <w:rPr>
          <w:lang w:val="en-US"/>
        </w:rPr>
        <w:tab/>
        <w:t xml:space="preserve">: </w:t>
      </w:r>
      <w:r w:rsidR="003B41DA">
        <w:t xml:space="preserve">Jalan </w:t>
      </w:r>
      <w:proofErr w:type="spellStart"/>
      <w:r w:rsidR="003B41DA">
        <w:t>Kusumanegara</w:t>
      </w:r>
      <w:proofErr w:type="spellEnd"/>
      <w:r w:rsidR="003B41DA">
        <w:t xml:space="preserve"> No.173, Yogyakarta, </w:t>
      </w:r>
      <w:proofErr w:type="spellStart"/>
      <w:r w:rsidR="003B41DA">
        <w:t>lndonesia</w:t>
      </w:r>
      <w:proofErr w:type="spellEnd"/>
    </w:p>
    <w:p w14:paraId="48735038" w14:textId="0AD9624E" w:rsidR="00BA5B7B" w:rsidRPr="00BA5B7B" w:rsidRDefault="00BA5B7B" w:rsidP="00BA5B7B"/>
    <w:p w14:paraId="509CFFFC" w14:textId="3CD9DBA9" w:rsidR="00BA5B7B" w:rsidRDefault="00BA5B7B" w:rsidP="00BA5B7B">
      <w:r w:rsidRPr="00BA5B7B">
        <w:t xml:space="preserve">Summary of </w:t>
      </w:r>
      <w:r>
        <w:t>research proposal (p-protocol number 2)</w:t>
      </w:r>
    </w:p>
    <w:p w14:paraId="37CBBB28" w14:textId="43EE8732" w:rsidR="00BA5B7B" w:rsidRDefault="00BA5B7B" w:rsidP="00BA5B7B">
      <w:r>
        <w:t>1. Summary of the research in 200-300 words (in lay/non-medical language)</w:t>
      </w:r>
    </w:p>
    <w:p w14:paraId="30C5512C" w14:textId="1CC7CDD1" w:rsidR="00BA5B7B" w:rsidRDefault="00BA5B7B" w:rsidP="00BA5B7B"/>
    <w:p w14:paraId="382F93AF" w14:textId="434E0CFC" w:rsidR="00BA5B7B" w:rsidRDefault="00BA5B7B" w:rsidP="00BA5B7B">
      <w:r>
        <w:t xml:space="preserve">Failure to thrive or stunting is still prevalent in Indonesia. Stunting children are susceptible to infections, as well as decreasing intellectual abilities due to chronic malnutrition. Children with failure to thrive who also </w:t>
      </w:r>
      <w:r w:rsidR="00C6530C">
        <w:t>has infection are suspected to experience an imbalance in their immune system, in which the level of IL-6 as the pro-inflammatory cytokines are high, while the level of IL-10 as the anti-inflammatory cytokines are low, lactoferrin is proven to be effective in treating infections and is safe to consume even for babies. The administration of lactoferrin is expected to improve the inflammation response and growth profile in failure to thrive children with infection.</w:t>
      </w:r>
    </w:p>
    <w:p w14:paraId="2454E54F" w14:textId="67EDBF4B" w:rsidR="00C6530C" w:rsidRDefault="00C6530C" w:rsidP="00BA5B7B"/>
    <w:p w14:paraId="26D097E9" w14:textId="3BE4943D" w:rsidR="00C6530C" w:rsidRDefault="00C6530C" w:rsidP="00BA5B7B">
      <w:r>
        <w:t>2. Justification for the research (p3). Write down the reason this research is necessary to conduct, also the benefits for the people in the region of this research (Country, region, local) – Standard 2/A (Fair)</w:t>
      </w:r>
    </w:p>
    <w:p w14:paraId="4B17BF00" w14:textId="690750D8" w:rsidR="00C6530C" w:rsidRDefault="00C6530C" w:rsidP="00BA5B7B"/>
    <w:p w14:paraId="58B5533F" w14:textId="4ACD86E9" w:rsidR="00C6530C" w:rsidRDefault="00C6530C" w:rsidP="00BA5B7B">
      <w:r>
        <w:t>This research is necessary to decrease the mortality caused by infections especially in subjects with chronic malnutrition, as well as to treat children with failure to thrive.</w:t>
      </w:r>
    </w:p>
    <w:p w14:paraId="49BD8451" w14:textId="0689F1F1" w:rsidR="00C6530C" w:rsidRDefault="00C6530C" w:rsidP="00BA5B7B"/>
    <w:p w14:paraId="75136E35" w14:textId="571B322E" w:rsidR="00C6530C" w:rsidRDefault="00C6530C" w:rsidP="00C6530C">
      <w:pPr>
        <w:pStyle w:val="ListParagraph"/>
        <w:numPr>
          <w:ilvl w:val="0"/>
          <w:numId w:val="3"/>
        </w:numPr>
        <w:rPr>
          <w:lang w:val="en-US"/>
        </w:rPr>
      </w:pPr>
      <w:r>
        <w:rPr>
          <w:lang w:val="en-US"/>
        </w:rPr>
        <w:t>Potential Ethical Issues</w:t>
      </w:r>
    </w:p>
    <w:p w14:paraId="4960FF1A" w14:textId="33808E11" w:rsidR="00C6530C" w:rsidRDefault="00C6530C" w:rsidP="00C6530C">
      <w:pPr>
        <w:rPr>
          <w:lang w:val="en-US"/>
        </w:rPr>
      </w:pPr>
      <w:r>
        <w:rPr>
          <w:lang w:val="en-US"/>
        </w:rPr>
        <w:t xml:space="preserve">1. </w:t>
      </w:r>
      <w:r w:rsidR="00566F83">
        <w:rPr>
          <w:lang w:val="en-US"/>
        </w:rPr>
        <w:t>Researcher’s opinion on the potential ethical issues of this research, and how to manage them (p4) – according to the 7 principles of ethical standards (S) and G</w:t>
      </w:r>
    </w:p>
    <w:p w14:paraId="65D70082" w14:textId="043B6F5F" w:rsidR="00566F83" w:rsidRDefault="00566F83" w:rsidP="00C6530C">
      <w:pPr>
        <w:rPr>
          <w:lang w:val="en-US"/>
        </w:rPr>
      </w:pPr>
    </w:p>
    <w:p w14:paraId="113CFAD7" w14:textId="1AE6ED77" w:rsidR="00C17A41" w:rsidRDefault="00566F83" w:rsidP="00C6530C">
      <w:pPr>
        <w:rPr>
          <w:lang w:val="en-US"/>
        </w:rPr>
      </w:pPr>
      <w:r>
        <w:rPr>
          <w:lang w:val="en-US"/>
        </w:rPr>
        <w:t>A potential ethical issue</w:t>
      </w:r>
      <w:r w:rsidR="00C17A41">
        <w:rPr>
          <w:lang w:val="en-US"/>
        </w:rPr>
        <w:t xml:space="preserve"> in this research is stunting children with infection (UTI and TB) who are included in the vulnerable population. Because this research would be needing blood sample, the risk of the procedure includes </w:t>
      </w:r>
      <w:r w:rsidR="007A16FF">
        <w:rPr>
          <w:lang w:val="en-US"/>
        </w:rPr>
        <w:t>some pain or hematoma.</w:t>
      </w:r>
    </w:p>
    <w:p w14:paraId="2830A53B" w14:textId="6D3F8858" w:rsidR="007A16FF" w:rsidRDefault="007A16FF" w:rsidP="00C6530C">
      <w:pPr>
        <w:rPr>
          <w:lang w:val="en-US"/>
        </w:rPr>
      </w:pPr>
    </w:p>
    <w:p w14:paraId="395E95D9" w14:textId="4768A181" w:rsidR="007A16FF" w:rsidRDefault="007A16FF" w:rsidP="007A16FF">
      <w:pPr>
        <w:pStyle w:val="ListParagraph"/>
        <w:numPr>
          <w:ilvl w:val="0"/>
          <w:numId w:val="3"/>
        </w:numPr>
        <w:rPr>
          <w:lang w:val="en-US"/>
        </w:rPr>
      </w:pPr>
      <w:r>
        <w:rPr>
          <w:lang w:val="en-US"/>
        </w:rPr>
        <w:t>Summary of References</w:t>
      </w:r>
    </w:p>
    <w:p w14:paraId="1408B8BE" w14:textId="15A9C4C3" w:rsidR="007A16FF" w:rsidRDefault="007A16FF" w:rsidP="007A16FF">
      <w:pPr>
        <w:rPr>
          <w:lang w:val="en-US"/>
        </w:rPr>
      </w:pPr>
      <w:r>
        <w:rPr>
          <w:lang w:val="en-US"/>
        </w:rPr>
        <w:t>1. Summary of previous studies according the research topic, including unpublished studies known by the researches and sponsor, and information on published studies, including studies on animals, if any. Maximum of 1 page (p5) – G 4</w:t>
      </w:r>
    </w:p>
    <w:p w14:paraId="2CEE33B9" w14:textId="4943139A" w:rsidR="007A16FF" w:rsidRDefault="007A16FF" w:rsidP="007A16FF">
      <w:pPr>
        <w:rPr>
          <w:lang w:val="en-US"/>
        </w:rPr>
      </w:pPr>
    </w:p>
    <w:p w14:paraId="2D53DB28" w14:textId="17F72E55" w:rsidR="007A16FF" w:rsidRDefault="007A16FF" w:rsidP="007A16FF">
      <w:pPr>
        <w:rPr>
          <w:vertAlign w:val="superscript"/>
          <w:lang w:val="en-US"/>
        </w:rPr>
      </w:pPr>
      <w:r>
        <w:rPr>
          <w:lang w:val="en-US"/>
        </w:rPr>
        <w:t>The use of high-calorie formula milk in Indonesia is regulated by The Decree of Health Ministry Number 29 Year 2019 on the use of high-calorie milk in children with malnutrition caused by a disease. The administration of high-calorie milk is prioritized for children in need of special means for survival and affects the incident of stunting, which include children with the risk of failure to thrive in under 2 years old, stunted or severely stunted, low birth weight baby, and severely premature baby.</w:t>
      </w:r>
      <w:r>
        <w:rPr>
          <w:vertAlign w:val="superscript"/>
          <w:lang w:val="en-US"/>
        </w:rPr>
        <w:t>1</w:t>
      </w:r>
    </w:p>
    <w:p w14:paraId="00B92263" w14:textId="52F1A4A7" w:rsidR="007A16FF" w:rsidRDefault="007A16FF" w:rsidP="007A16FF">
      <w:pPr>
        <w:rPr>
          <w:lang w:val="en-US"/>
        </w:rPr>
      </w:pPr>
      <w:r>
        <w:rPr>
          <w:lang w:val="en-US"/>
        </w:rPr>
        <w:lastRenderedPageBreak/>
        <w:t>The use of high-calorie milk is necessary in order to catch up with the late growth due to insufficient calorie intake to maintain optimal growth. In failure to thrive children with infection, high-calorie milk is necessary for 2 things: combating infection, as well as maintaining optimal growth, but with lower volume.</w:t>
      </w:r>
      <w:r>
        <w:rPr>
          <w:vertAlign w:val="superscript"/>
          <w:lang w:val="en-US"/>
        </w:rPr>
        <w:t>2</w:t>
      </w:r>
      <w:r>
        <w:rPr>
          <w:lang w:val="en-US"/>
        </w:rPr>
        <w:t xml:space="preserve"> High-calorie formula milk is preferred; not only because </w:t>
      </w:r>
      <w:r w:rsidR="0035306E">
        <w:rPr>
          <w:lang w:val="en-US"/>
        </w:rPr>
        <w:t>the contents of micronutrient, vitamin, and macronutrient it provides, but also because it tastes better. In improving severely stunted children (normal albumin level), they can consume 4200 kcal/kg/day.</w:t>
      </w:r>
      <w:r w:rsidR="0035306E">
        <w:rPr>
          <w:vertAlign w:val="superscript"/>
          <w:lang w:val="en-US"/>
        </w:rPr>
        <w:t xml:space="preserve">3 </w:t>
      </w:r>
      <w:r w:rsidR="0035306E">
        <w:rPr>
          <w:lang w:val="en-US"/>
        </w:rPr>
        <w:t xml:space="preserve">In a case report of </w:t>
      </w:r>
      <w:r w:rsidR="002D7897">
        <w:rPr>
          <w:lang w:val="en-US"/>
        </w:rPr>
        <w:t>patient with failure to thrive,</w:t>
      </w:r>
      <w:r w:rsidR="0035306E">
        <w:rPr>
          <w:lang w:val="en-US"/>
        </w:rPr>
        <w:t xml:space="preserve"> the administration of high-calorie milk (100 kcal, 2.6 g of protein per 100 mL) 50-100 kcal/kg/day, </w:t>
      </w:r>
      <w:r w:rsidR="002D7897">
        <w:rPr>
          <w:lang w:val="en-US"/>
        </w:rPr>
        <w:t>is effective in increasing the nutrients and energy intake in children with failure to thrive in PICU, with no side effects.</w:t>
      </w:r>
      <w:r w:rsidR="002D7897">
        <w:rPr>
          <w:vertAlign w:val="superscript"/>
          <w:lang w:val="en-US"/>
        </w:rPr>
        <w:t>4</w:t>
      </w:r>
      <w:r w:rsidR="002D7897">
        <w:rPr>
          <w:lang w:val="en-US"/>
        </w:rPr>
        <w:t xml:space="preserve"> Meanwhile, the administration of nutrition using the WHO formula (F100) as a nutrition intervention has several problems, such as:</w:t>
      </w:r>
    </w:p>
    <w:p w14:paraId="1B467004" w14:textId="6F02FBD1" w:rsidR="002D7897" w:rsidRDefault="002D7897" w:rsidP="002D7897">
      <w:pPr>
        <w:pStyle w:val="ListParagraph"/>
        <w:numPr>
          <w:ilvl w:val="0"/>
          <w:numId w:val="9"/>
        </w:numPr>
        <w:rPr>
          <w:lang w:val="en-US"/>
        </w:rPr>
      </w:pPr>
      <w:r>
        <w:rPr>
          <w:lang w:val="en-US"/>
        </w:rPr>
        <w:t>Needs to be made once every two days by a dietician, which might be a limited resource in some places (made once every two days with an expiry date because the milk powder has already been mixed with oil and sugar, increasing its risk of contamination)</w:t>
      </w:r>
      <w:r w:rsidR="000D77EF">
        <w:rPr>
          <w:lang w:val="en-US"/>
        </w:rPr>
        <w:t>.</w:t>
      </w:r>
    </w:p>
    <w:p w14:paraId="60836182" w14:textId="5759C44A" w:rsidR="000D77EF" w:rsidRDefault="000D77EF" w:rsidP="002D7897">
      <w:pPr>
        <w:pStyle w:val="ListParagraph"/>
        <w:numPr>
          <w:ilvl w:val="0"/>
          <w:numId w:val="9"/>
        </w:numPr>
        <w:rPr>
          <w:lang w:val="en-US"/>
        </w:rPr>
      </w:pPr>
      <w:r>
        <w:rPr>
          <w:lang w:val="en-US"/>
        </w:rPr>
        <w:t>Sometimes parents who make their own F100 would refuse to follow the appropriate guideline and omit the oil because they assume the oil in F100 would make their kid cough. This affects the acceptability and results.</w:t>
      </w:r>
    </w:p>
    <w:p w14:paraId="29CC233A" w14:textId="46C0729D" w:rsidR="000D77EF" w:rsidRDefault="000D77EF" w:rsidP="002D7897">
      <w:pPr>
        <w:pStyle w:val="ListParagraph"/>
        <w:numPr>
          <w:ilvl w:val="0"/>
          <w:numId w:val="9"/>
        </w:numPr>
        <w:rPr>
          <w:lang w:val="en-US"/>
        </w:rPr>
      </w:pPr>
      <w:r>
        <w:rPr>
          <w:lang w:val="en-US"/>
        </w:rPr>
        <w:t>Mineral mix is often unavailable in primary care facilities, causing the micronutrient (vitamin and mineral) is not fulfilled.</w:t>
      </w:r>
    </w:p>
    <w:p w14:paraId="5FF9D18B" w14:textId="30A4A5DE" w:rsidR="000D77EF" w:rsidRDefault="000D77EF" w:rsidP="000D77EF">
      <w:pPr>
        <w:rPr>
          <w:lang w:val="en-US"/>
        </w:rPr>
      </w:pPr>
    </w:p>
    <w:p w14:paraId="377C0FF0" w14:textId="3896D8AB" w:rsidR="000D77EF" w:rsidRDefault="000D77EF" w:rsidP="000D77EF">
      <w:pPr>
        <w:pStyle w:val="ListParagraph"/>
        <w:numPr>
          <w:ilvl w:val="0"/>
          <w:numId w:val="3"/>
        </w:numPr>
        <w:rPr>
          <w:lang w:val="en-US"/>
        </w:rPr>
      </w:pPr>
      <w:r>
        <w:rPr>
          <w:lang w:val="en-US"/>
        </w:rPr>
        <w:t>Field Condition</w:t>
      </w:r>
    </w:p>
    <w:p w14:paraId="0E02FB7B" w14:textId="77777777" w:rsidR="000D77EF" w:rsidRPr="000D77EF" w:rsidRDefault="000D77EF" w:rsidP="000D77EF">
      <w:pPr>
        <w:rPr>
          <w:lang w:val="en-US"/>
        </w:rPr>
      </w:pPr>
    </w:p>
    <w:p w14:paraId="1E055F37" w14:textId="6496D464" w:rsidR="000D77EF" w:rsidRDefault="000D77EF" w:rsidP="000D77EF">
      <w:pPr>
        <w:pStyle w:val="ListParagraph"/>
        <w:numPr>
          <w:ilvl w:val="0"/>
          <w:numId w:val="10"/>
        </w:numPr>
        <w:rPr>
          <w:lang w:val="en-US"/>
        </w:rPr>
      </w:pPr>
      <w:r>
        <w:rPr>
          <w:lang w:val="en-US"/>
        </w:rPr>
        <w:t>Briefly describe the location of research (p8) see G-2</w:t>
      </w:r>
    </w:p>
    <w:p w14:paraId="756A6484" w14:textId="77777777" w:rsidR="00DF35D9" w:rsidRPr="000D77EF" w:rsidRDefault="00DF35D9" w:rsidP="00DF35D9">
      <w:pPr>
        <w:pStyle w:val="ListParagraph"/>
        <w:rPr>
          <w:i/>
          <w:iCs/>
          <w:lang w:val="en-US"/>
        </w:rPr>
      </w:pPr>
      <w:r>
        <w:rPr>
          <w:i/>
          <w:iCs/>
          <w:lang w:val="en-US"/>
        </w:rPr>
        <w:t xml:space="preserve">This research is conducted in the pediatric clinic in </w:t>
      </w:r>
      <w:proofErr w:type="spellStart"/>
      <w:r>
        <w:rPr>
          <w:i/>
          <w:iCs/>
          <w:lang w:val="en-US"/>
        </w:rPr>
        <w:t>Husada</w:t>
      </w:r>
      <w:proofErr w:type="spellEnd"/>
      <w:r>
        <w:rPr>
          <w:i/>
          <w:iCs/>
          <w:lang w:val="en-US"/>
        </w:rPr>
        <w:t xml:space="preserve"> Utama Hospital. In order to find the subjects, researchers will coordinate with paramedics (nurses, lab technicians) in the hospital. The measurements of weight, height, and head circumference would be done in the clinic. Blood sample would be taken in the laboratory. A simple presentation and person-to-person approach from the researcher would be done in the clinic.</w:t>
      </w:r>
    </w:p>
    <w:p w14:paraId="095EE32A" w14:textId="77777777" w:rsidR="00DF35D9" w:rsidRPr="00DF35D9" w:rsidRDefault="00DF35D9" w:rsidP="00DF35D9">
      <w:pPr>
        <w:rPr>
          <w:lang w:val="en-US"/>
        </w:rPr>
      </w:pPr>
    </w:p>
    <w:p w14:paraId="6B840AEF" w14:textId="0D9F12CB" w:rsidR="000D77EF" w:rsidRDefault="00DF35D9" w:rsidP="000D77EF">
      <w:pPr>
        <w:pStyle w:val="ListParagraph"/>
        <w:numPr>
          <w:ilvl w:val="0"/>
          <w:numId w:val="10"/>
        </w:numPr>
        <w:rPr>
          <w:lang w:val="en-US"/>
        </w:rPr>
      </w:pPr>
      <w:r>
        <w:rPr>
          <w:lang w:val="en-US"/>
        </w:rPr>
        <w:t>Information on the availability of the appropriate facilities for security and precision of the research</w:t>
      </w:r>
    </w:p>
    <w:p w14:paraId="2AA0AC85" w14:textId="43D60272" w:rsidR="00DF35D9" w:rsidRDefault="00DF35D9" w:rsidP="00DF35D9">
      <w:pPr>
        <w:pStyle w:val="ListParagraph"/>
        <w:rPr>
          <w:i/>
          <w:iCs/>
          <w:lang w:val="en-US"/>
        </w:rPr>
      </w:pPr>
      <w:r>
        <w:rPr>
          <w:i/>
          <w:iCs/>
          <w:lang w:val="en-US"/>
        </w:rPr>
        <w:t xml:space="preserve">Researchers would bring their own scales to measure weight, </w:t>
      </w:r>
      <w:proofErr w:type="spellStart"/>
      <w:r>
        <w:rPr>
          <w:i/>
          <w:iCs/>
          <w:lang w:val="en-US"/>
        </w:rPr>
        <w:t>infantometer</w:t>
      </w:r>
      <w:proofErr w:type="spellEnd"/>
      <w:r>
        <w:rPr>
          <w:i/>
          <w:iCs/>
          <w:lang w:val="en-US"/>
        </w:rPr>
        <w:t xml:space="preserve">, head circumference meter, and food models (recall diet). Blood sampling would be done by lab </w:t>
      </w:r>
      <w:proofErr w:type="spellStart"/>
      <w:r>
        <w:rPr>
          <w:i/>
          <w:iCs/>
          <w:lang w:val="en-US"/>
        </w:rPr>
        <w:t>techinicians</w:t>
      </w:r>
      <w:proofErr w:type="spellEnd"/>
      <w:r>
        <w:rPr>
          <w:i/>
          <w:iCs/>
          <w:lang w:val="en-US"/>
        </w:rPr>
        <w:t xml:space="preserve"> in a closed room in order to not scare the other subjects.</w:t>
      </w:r>
    </w:p>
    <w:p w14:paraId="0428B4B9" w14:textId="77777777" w:rsidR="00DF35D9" w:rsidRPr="00DF35D9" w:rsidRDefault="00DF35D9" w:rsidP="00DF35D9">
      <w:pPr>
        <w:pStyle w:val="ListParagraph"/>
        <w:rPr>
          <w:i/>
          <w:iCs/>
          <w:lang w:val="en-US"/>
        </w:rPr>
      </w:pPr>
    </w:p>
    <w:p w14:paraId="68742FF8" w14:textId="28A9C080" w:rsidR="00DF35D9" w:rsidRDefault="00DF35D9" w:rsidP="000D77EF">
      <w:pPr>
        <w:pStyle w:val="ListParagraph"/>
        <w:numPr>
          <w:ilvl w:val="0"/>
          <w:numId w:val="10"/>
        </w:numPr>
        <w:rPr>
          <w:lang w:val="en-US"/>
        </w:rPr>
      </w:pPr>
      <w:r>
        <w:rPr>
          <w:lang w:val="en-US"/>
        </w:rPr>
        <w:t>Information on the relevant demography/epidemiology regarding the region of the research</w:t>
      </w:r>
    </w:p>
    <w:p w14:paraId="134AB72F" w14:textId="2D69C48C" w:rsidR="00DF35D9" w:rsidRDefault="00DF35D9" w:rsidP="00DF35D9">
      <w:pPr>
        <w:pStyle w:val="ListParagraph"/>
        <w:rPr>
          <w:i/>
          <w:iCs/>
          <w:lang w:val="en-US"/>
        </w:rPr>
      </w:pPr>
      <w:r w:rsidRPr="00DF35D9">
        <w:rPr>
          <w:i/>
          <w:iCs/>
          <w:lang w:val="en-US"/>
        </w:rPr>
        <w:t>Provide</w:t>
      </w:r>
      <w:r>
        <w:rPr>
          <w:i/>
          <w:iCs/>
          <w:lang w:val="en-US"/>
        </w:rPr>
        <w:t xml:space="preserve"> data on demography of the management of failure to thrive children with infection.</w:t>
      </w:r>
    </w:p>
    <w:p w14:paraId="4DA60134" w14:textId="77777777" w:rsidR="00DF35D9" w:rsidRDefault="00DF35D9">
      <w:pPr>
        <w:rPr>
          <w:i/>
          <w:iCs/>
          <w:lang w:val="en-US"/>
        </w:rPr>
      </w:pPr>
      <w:r>
        <w:rPr>
          <w:i/>
          <w:iCs/>
          <w:lang w:val="en-US"/>
        </w:rPr>
        <w:br w:type="page"/>
      </w:r>
    </w:p>
    <w:p w14:paraId="7E19589F" w14:textId="058F43AF" w:rsidR="00DF35D9" w:rsidRDefault="00DF35D9" w:rsidP="00DF35D9">
      <w:pPr>
        <w:pStyle w:val="ListParagraph"/>
        <w:numPr>
          <w:ilvl w:val="0"/>
          <w:numId w:val="3"/>
        </w:numPr>
        <w:rPr>
          <w:lang w:val="en-US"/>
        </w:rPr>
      </w:pPr>
      <w:r>
        <w:rPr>
          <w:lang w:val="en-US"/>
        </w:rPr>
        <w:lastRenderedPageBreak/>
        <w:t>Research Design</w:t>
      </w:r>
    </w:p>
    <w:p w14:paraId="64243CB5" w14:textId="03949A17" w:rsidR="00DF35D9" w:rsidRDefault="00DF35D9" w:rsidP="0036159A">
      <w:pPr>
        <w:pStyle w:val="ListParagraph"/>
        <w:numPr>
          <w:ilvl w:val="0"/>
          <w:numId w:val="11"/>
        </w:numPr>
        <w:ind w:left="360"/>
        <w:rPr>
          <w:lang w:val="en-US"/>
        </w:rPr>
      </w:pPr>
      <w:r>
        <w:rPr>
          <w:lang w:val="en-US"/>
        </w:rPr>
        <w:t>Research objective, hypothesis, research question, assumptions and research variable (p11).</w:t>
      </w:r>
    </w:p>
    <w:p w14:paraId="21D4F9C8" w14:textId="77777777" w:rsidR="0036159A" w:rsidRPr="00DF35D9" w:rsidRDefault="0036159A" w:rsidP="0036159A">
      <w:pPr>
        <w:pStyle w:val="ListParagraph"/>
        <w:numPr>
          <w:ilvl w:val="0"/>
          <w:numId w:val="12"/>
        </w:numPr>
        <w:ind w:left="360"/>
        <w:rPr>
          <w:lang w:val="en-US"/>
        </w:rPr>
      </w:pPr>
      <w:r>
        <w:rPr>
          <w:i/>
          <w:iCs/>
          <w:lang w:val="en-US"/>
        </w:rPr>
        <w:t>To determine the total lymphocyte count and IGF-1 level in failure to thrive children with infection, before and after receiving intervention of lactoferrin in high-calorie formula milk.</w:t>
      </w:r>
    </w:p>
    <w:p w14:paraId="027F28A1" w14:textId="77777777" w:rsidR="0036159A" w:rsidRPr="0036159A" w:rsidRDefault="0036159A" w:rsidP="0036159A">
      <w:pPr>
        <w:pStyle w:val="ListParagraph"/>
        <w:numPr>
          <w:ilvl w:val="0"/>
          <w:numId w:val="12"/>
        </w:numPr>
        <w:ind w:left="360"/>
        <w:rPr>
          <w:lang w:val="en-US"/>
        </w:rPr>
      </w:pPr>
      <w:r>
        <w:rPr>
          <w:i/>
          <w:iCs/>
          <w:lang w:val="en-US"/>
        </w:rPr>
        <w:t>To determine the effect of administering lactoferrin in high-calorie formula milk in the increase of length/height in failure to thrive children in infection in the first month (day 30), second month (day 60), and third month (day 90).</w:t>
      </w:r>
    </w:p>
    <w:p w14:paraId="76E81129" w14:textId="77777777" w:rsidR="0036159A" w:rsidRPr="0036159A" w:rsidRDefault="0036159A" w:rsidP="0036159A">
      <w:pPr>
        <w:rPr>
          <w:lang w:val="en-US"/>
        </w:rPr>
      </w:pPr>
    </w:p>
    <w:p w14:paraId="095B1CBE" w14:textId="1CFB07A4" w:rsidR="0036159A" w:rsidRDefault="0036159A" w:rsidP="0036159A">
      <w:pPr>
        <w:pStyle w:val="ListParagraph"/>
        <w:numPr>
          <w:ilvl w:val="0"/>
          <w:numId w:val="11"/>
        </w:numPr>
        <w:ind w:left="360"/>
        <w:rPr>
          <w:lang w:val="en-US"/>
        </w:rPr>
      </w:pPr>
      <w:r>
        <w:rPr>
          <w:lang w:val="en-US"/>
        </w:rPr>
        <w:t>Detailed description about the research (p12).</w:t>
      </w:r>
    </w:p>
    <w:p w14:paraId="6560DC8B" w14:textId="2A8820A9" w:rsidR="0036159A" w:rsidRDefault="0036159A" w:rsidP="0036159A">
      <w:pPr>
        <w:pStyle w:val="ListParagraph"/>
        <w:ind w:left="360"/>
        <w:rPr>
          <w:i/>
          <w:iCs/>
        </w:rPr>
      </w:pPr>
      <w:r>
        <w:rPr>
          <w:i/>
          <w:iCs/>
          <w:lang w:val="en-US"/>
        </w:rPr>
        <w:t xml:space="preserve">This research is a quasi-experimental (pre- and post- design) which studies the effect of lactoferrin in high-calorie formula milk using the parameter of total lymphocyte count and IGF-1. Before the administration of high-calorie milk, subjects would be measured for their weight, length/height, head circumference, and blood sampling to measure total lymphocyte count and level of IGF-1. During the research, subjects would be given SGM Ananda </w:t>
      </w:r>
      <w:proofErr w:type="spellStart"/>
      <w:r w:rsidRPr="0036159A">
        <w:rPr>
          <w:i/>
          <w:iCs/>
          <w:lang w:val="en-US"/>
        </w:rPr>
        <w:t>Optigrow</w:t>
      </w:r>
      <w:proofErr w:type="spellEnd"/>
      <w:r w:rsidRPr="0036159A">
        <w:rPr>
          <w:i/>
          <w:iCs/>
        </w:rPr>
        <w:t xml:space="preserve">® (Sari </w:t>
      </w:r>
      <w:proofErr w:type="spellStart"/>
      <w:r w:rsidRPr="0036159A">
        <w:rPr>
          <w:i/>
          <w:iCs/>
        </w:rPr>
        <w:t>Husada</w:t>
      </w:r>
      <w:proofErr w:type="spellEnd"/>
      <w:r w:rsidRPr="0036159A">
        <w:rPr>
          <w:i/>
          <w:iCs/>
        </w:rPr>
        <w:t>, Danone) for 3 months</w:t>
      </w:r>
      <w:r>
        <w:rPr>
          <w:i/>
          <w:iCs/>
        </w:rPr>
        <w:t>. The amount of milk given is 400 mL in subjects aged 1-5. Anthropometric measurements and determining the parents’ adherence would be done each month. After 3 months (90 days) of administering high-calorie milk, another anthropometric measurements and blood sampling would be done to determine the total lymphocyte count and IGF-1 post-intervention.</w:t>
      </w:r>
    </w:p>
    <w:p w14:paraId="4359BE66" w14:textId="77777777" w:rsidR="0036159A" w:rsidRPr="0036159A" w:rsidRDefault="0036159A" w:rsidP="0036159A">
      <w:pPr>
        <w:pStyle w:val="ListParagraph"/>
        <w:ind w:left="360"/>
        <w:rPr>
          <w:i/>
          <w:iCs/>
          <w:lang w:val="en-US"/>
        </w:rPr>
      </w:pPr>
    </w:p>
    <w:p w14:paraId="75A921F3" w14:textId="64EA2213" w:rsidR="0036159A" w:rsidRDefault="0036159A" w:rsidP="0036159A">
      <w:pPr>
        <w:pStyle w:val="ListParagraph"/>
        <w:numPr>
          <w:ilvl w:val="0"/>
          <w:numId w:val="11"/>
        </w:numPr>
        <w:ind w:left="360"/>
        <w:rPr>
          <w:lang w:val="en-US"/>
        </w:rPr>
      </w:pPr>
      <w:r>
        <w:rPr>
          <w:lang w:val="en-US"/>
        </w:rPr>
        <w:t>If the research is a clinical trial, the description should include whether the treatment group is determined at random (including the randomization method), and whether it is blinded or opened. (If not a clinical trial, write down: irrelevant) (p12)</w:t>
      </w:r>
    </w:p>
    <w:p w14:paraId="052A16A3" w14:textId="5824338F" w:rsidR="0036159A" w:rsidRDefault="0036159A" w:rsidP="0036159A">
      <w:pPr>
        <w:rPr>
          <w:lang w:val="en-US"/>
        </w:rPr>
      </w:pPr>
    </w:p>
    <w:p w14:paraId="7FDAE124" w14:textId="217934B7" w:rsidR="0036159A" w:rsidRDefault="0036159A" w:rsidP="0036159A">
      <w:pPr>
        <w:pStyle w:val="ListParagraph"/>
        <w:numPr>
          <w:ilvl w:val="0"/>
          <w:numId w:val="3"/>
        </w:numPr>
        <w:rPr>
          <w:lang w:val="en-US"/>
        </w:rPr>
      </w:pPr>
      <w:r>
        <w:rPr>
          <w:lang w:val="en-US"/>
        </w:rPr>
        <w:t>Sampling</w:t>
      </w:r>
    </w:p>
    <w:p w14:paraId="41E81CAF" w14:textId="25BB1712" w:rsidR="0036159A" w:rsidRDefault="0036159A" w:rsidP="0036159A">
      <w:pPr>
        <w:pStyle w:val="ListParagraph"/>
        <w:numPr>
          <w:ilvl w:val="0"/>
          <w:numId w:val="13"/>
        </w:numPr>
        <w:rPr>
          <w:lang w:val="en-US"/>
        </w:rPr>
      </w:pPr>
      <w:r>
        <w:rPr>
          <w:lang w:val="en-US"/>
        </w:rPr>
        <w:t xml:space="preserve">The number of subjects needed in accordance to the research objectives and </w:t>
      </w:r>
      <w:r w:rsidR="00402398">
        <w:rPr>
          <w:lang w:val="en-US"/>
        </w:rPr>
        <w:t>the determining method using statistics (p13).</w:t>
      </w:r>
    </w:p>
    <w:p w14:paraId="666D74B9" w14:textId="77777777" w:rsidR="00402398" w:rsidRDefault="00402398" w:rsidP="00402398">
      <w:pPr>
        <w:pStyle w:val="ListParagraph"/>
        <w:ind w:left="360"/>
        <w:rPr>
          <w:i/>
          <w:iCs/>
          <w:lang w:val="en-US"/>
        </w:rPr>
      </w:pPr>
      <w:r>
        <w:rPr>
          <w:i/>
          <w:iCs/>
          <w:lang w:val="en-US"/>
        </w:rPr>
        <w:t>Samples are counted using the following formula, and this research will use a total of 80 samples (pre- and post-, total 160).</w:t>
      </w:r>
    </w:p>
    <w:p w14:paraId="1570E655" w14:textId="64509C29" w:rsidR="00402398" w:rsidRDefault="00402398" w:rsidP="00402398">
      <w:pPr>
        <w:pStyle w:val="ListParagraph"/>
        <w:ind w:left="360"/>
        <w:rPr>
          <w:lang w:val="en-US"/>
        </w:rPr>
      </w:pPr>
      <w:r w:rsidRPr="007D648D">
        <w:rPr>
          <w:rFonts w:ascii="Times New Roman" w:hAnsi="Times New Roman"/>
          <w:noProof/>
        </w:rPr>
        <w:drawing>
          <wp:inline distT="0" distB="0" distL="0" distR="0" wp14:anchorId="675C6689" wp14:editId="5ED674ED">
            <wp:extent cx="2368550" cy="395349"/>
            <wp:effectExtent l="0" t="0" r="0" b="508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pic:cNvPicPr>
                      <a:picLocks noChangeAspect="1" noChangeArrowheads="1"/>
                    </pic:cNvPicPr>
                  </pic:nvPicPr>
                  <pic:blipFill rotWithShape="1">
                    <a:blip r:embed="rId7">
                      <a:lum bright="-20000" contrast="40000"/>
                      <a:extLst>
                        <a:ext uri="{28A0092B-C50C-407E-A947-70E740481C1C}">
                          <a14:useLocalDpi xmlns:a14="http://schemas.microsoft.com/office/drawing/2010/main" val="0"/>
                        </a:ext>
                      </a:extLst>
                    </a:blip>
                    <a:srcRect l="5546" t="9155"/>
                    <a:stretch/>
                  </pic:blipFill>
                  <pic:spPr bwMode="auto">
                    <a:xfrm>
                      <a:off x="0" y="0"/>
                      <a:ext cx="2368550" cy="395349"/>
                    </a:xfrm>
                    <a:prstGeom prst="rect">
                      <a:avLst/>
                    </a:prstGeom>
                    <a:noFill/>
                    <a:ln>
                      <a:noFill/>
                    </a:ln>
                    <a:extLst>
                      <a:ext uri="{53640926-AAD7-44D8-BBD7-CCE9431645EC}">
                        <a14:shadowObscured xmlns:a14="http://schemas.microsoft.com/office/drawing/2010/main"/>
                      </a:ext>
                    </a:extLst>
                  </pic:spPr>
                </pic:pic>
              </a:graphicData>
            </a:graphic>
          </wp:inline>
        </w:drawing>
      </w:r>
    </w:p>
    <w:p w14:paraId="0383B899" w14:textId="77777777" w:rsidR="00402398" w:rsidRDefault="00402398" w:rsidP="00402398">
      <w:pPr>
        <w:pStyle w:val="ListParagraph"/>
        <w:ind w:left="360"/>
        <w:rPr>
          <w:lang w:val="en-US"/>
        </w:rPr>
      </w:pPr>
    </w:p>
    <w:p w14:paraId="658340CF" w14:textId="303C66EF" w:rsidR="00402398" w:rsidRDefault="00402398" w:rsidP="0036159A">
      <w:pPr>
        <w:pStyle w:val="ListParagraph"/>
        <w:numPr>
          <w:ilvl w:val="0"/>
          <w:numId w:val="13"/>
        </w:numPr>
        <w:rPr>
          <w:lang w:val="en-US"/>
        </w:rPr>
      </w:pPr>
      <w:r>
        <w:rPr>
          <w:lang w:val="en-US"/>
        </w:rPr>
        <w:t>Participant or subject criteria and justifications for include/exclude. (Guideline 3) (p12)</w:t>
      </w:r>
    </w:p>
    <w:p w14:paraId="1845B931" w14:textId="3DAEC8F8" w:rsidR="00402398" w:rsidRDefault="00402398" w:rsidP="00402398">
      <w:pPr>
        <w:rPr>
          <w:lang w:val="en-US"/>
        </w:rPr>
      </w:pPr>
      <w:r>
        <w:rPr>
          <w:lang w:val="en-US"/>
        </w:rPr>
        <w:t>Inclusion criteria: Children aged 1-5 with failure to thrive and infection</w:t>
      </w:r>
    </w:p>
    <w:p w14:paraId="7560A1F7" w14:textId="6A8A40D1" w:rsidR="00402398" w:rsidRDefault="00402398" w:rsidP="00402398">
      <w:pPr>
        <w:rPr>
          <w:lang w:val="en-US"/>
        </w:rPr>
      </w:pPr>
      <w:r>
        <w:rPr>
          <w:lang w:val="en-US"/>
        </w:rPr>
        <w:t>Exclusion criteria:</w:t>
      </w:r>
    </w:p>
    <w:p w14:paraId="54E59127" w14:textId="07C5EC3F" w:rsidR="00402398" w:rsidRPr="00402398" w:rsidRDefault="00402398" w:rsidP="00402398">
      <w:pPr>
        <w:pStyle w:val="ListParagraph"/>
        <w:numPr>
          <w:ilvl w:val="0"/>
          <w:numId w:val="12"/>
        </w:numPr>
        <w:rPr>
          <w:i/>
          <w:iCs/>
          <w:lang w:val="en-US"/>
        </w:rPr>
      </w:pPr>
      <w:r w:rsidRPr="00402398">
        <w:rPr>
          <w:i/>
          <w:iCs/>
          <w:lang w:val="en-US"/>
        </w:rPr>
        <w:t>Not diagnosed with the following condition: allergy, autoimmune, congenital disorders or chronic illness</w:t>
      </w:r>
    </w:p>
    <w:p w14:paraId="4F04D6D9" w14:textId="2E26582E" w:rsidR="00402398" w:rsidRPr="00402398" w:rsidRDefault="00402398" w:rsidP="00402398">
      <w:pPr>
        <w:pStyle w:val="ListParagraph"/>
        <w:numPr>
          <w:ilvl w:val="0"/>
          <w:numId w:val="12"/>
        </w:numPr>
        <w:rPr>
          <w:i/>
          <w:iCs/>
          <w:lang w:val="en-US"/>
        </w:rPr>
      </w:pPr>
      <w:r w:rsidRPr="00402398">
        <w:rPr>
          <w:i/>
          <w:iCs/>
          <w:lang w:val="en-US"/>
        </w:rPr>
        <w:t>Resign from the observation period</w:t>
      </w:r>
    </w:p>
    <w:p w14:paraId="1011A21A" w14:textId="20190421" w:rsidR="00402398" w:rsidRPr="00402398" w:rsidRDefault="00402398" w:rsidP="00402398">
      <w:pPr>
        <w:pStyle w:val="ListParagraph"/>
        <w:numPr>
          <w:ilvl w:val="0"/>
          <w:numId w:val="12"/>
        </w:numPr>
        <w:rPr>
          <w:i/>
          <w:iCs/>
          <w:lang w:val="en-US"/>
        </w:rPr>
      </w:pPr>
      <w:r w:rsidRPr="00402398">
        <w:rPr>
          <w:i/>
          <w:iCs/>
          <w:lang w:val="en-US"/>
        </w:rPr>
        <w:t>Not consuming steroid, antibiotic, or hormone</w:t>
      </w:r>
    </w:p>
    <w:p w14:paraId="7AC01B7C" w14:textId="77777777" w:rsidR="00402398" w:rsidRPr="00402398" w:rsidRDefault="00402398" w:rsidP="00402398">
      <w:pPr>
        <w:rPr>
          <w:lang w:val="en-US"/>
        </w:rPr>
      </w:pPr>
    </w:p>
    <w:p w14:paraId="62C52772" w14:textId="52BF9136" w:rsidR="00402398" w:rsidRDefault="00402398" w:rsidP="0036159A">
      <w:pPr>
        <w:pStyle w:val="ListParagraph"/>
        <w:numPr>
          <w:ilvl w:val="0"/>
          <w:numId w:val="13"/>
        </w:numPr>
        <w:rPr>
          <w:lang w:val="en-US"/>
        </w:rPr>
      </w:pPr>
      <w:r>
        <w:rPr>
          <w:lang w:val="en-US"/>
        </w:rPr>
        <w:t>Sampling vulnerable population: the justification for involving children or adults who are not capable of giving consent after being informed, or vulnerable population, as well as the steps on minimizing risks (Guidelines 15, 16, and 17) (p15)</w:t>
      </w:r>
    </w:p>
    <w:p w14:paraId="1A32B3D0" w14:textId="5E1213CE" w:rsidR="00402398" w:rsidRDefault="00402398" w:rsidP="00402398">
      <w:pPr>
        <w:pStyle w:val="ListParagraph"/>
        <w:ind w:left="360"/>
        <w:rPr>
          <w:i/>
          <w:iCs/>
          <w:lang w:val="en-US"/>
        </w:rPr>
      </w:pPr>
      <w:r>
        <w:rPr>
          <w:i/>
          <w:iCs/>
          <w:lang w:val="en-US"/>
        </w:rPr>
        <w:t>No known risk in using high-calorie milk in babies and children</w:t>
      </w:r>
    </w:p>
    <w:p w14:paraId="768EB94C" w14:textId="272C38A0" w:rsidR="00402398" w:rsidRDefault="00402398" w:rsidP="00402398">
      <w:pPr>
        <w:pStyle w:val="ListParagraph"/>
        <w:numPr>
          <w:ilvl w:val="0"/>
          <w:numId w:val="3"/>
        </w:numPr>
        <w:rPr>
          <w:lang w:val="en-US"/>
        </w:rPr>
      </w:pPr>
      <w:r w:rsidRPr="00402398">
        <w:rPr>
          <w:lang w:val="en-US"/>
        </w:rPr>
        <w:lastRenderedPageBreak/>
        <w:t>Intervention</w:t>
      </w:r>
    </w:p>
    <w:p w14:paraId="66851C27" w14:textId="6BBC804F" w:rsidR="00402398" w:rsidRDefault="00402398" w:rsidP="00402398">
      <w:pPr>
        <w:rPr>
          <w:lang w:val="en-US"/>
        </w:rPr>
      </w:pPr>
      <w:r>
        <w:rPr>
          <w:lang w:val="en-US"/>
        </w:rPr>
        <w:t>(The use of secondary data, qualitative, write down irrelevant and move forward to benefits)</w:t>
      </w:r>
    </w:p>
    <w:p w14:paraId="1E721672" w14:textId="146902D2" w:rsidR="00BB6663" w:rsidRDefault="00402398" w:rsidP="00BB6663">
      <w:pPr>
        <w:pStyle w:val="ListParagraph"/>
        <w:numPr>
          <w:ilvl w:val="0"/>
          <w:numId w:val="14"/>
        </w:numPr>
        <w:rPr>
          <w:lang w:val="en-US"/>
        </w:rPr>
      </w:pPr>
      <w:r>
        <w:rPr>
          <w:lang w:val="en-US"/>
        </w:rPr>
        <w:t>Description and explanation on all interventions (treatment administration method, including the route of administration, dosing, dose interval, and treatment duration of products used (investigation and comparator (p17)).</w:t>
      </w:r>
    </w:p>
    <w:p w14:paraId="1B9DEAF0" w14:textId="56CDFEFC" w:rsidR="00BB6663" w:rsidRDefault="00BB6663" w:rsidP="00BB6663">
      <w:pPr>
        <w:rPr>
          <w:i/>
          <w:iCs/>
        </w:rPr>
      </w:pPr>
      <w:r>
        <w:rPr>
          <w:i/>
          <w:iCs/>
          <w:lang w:val="en-US"/>
        </w:rPr>
        <w:t xml:space="preserve">Before the intervention, blood samples of 1 cc would be collected by the laboratory technicians. The sampling would be repeated after the intervention is finished (day 91). During the period of research, subjects would be given 400 mL/day of SGM Ananda </w:t>
      </w:r>
      <w:proofErr w:type="spellStart"/>
      <w:r w:rsidRPr="0036159A">
        <w:rPr>
          <w:i/>
          <w:iCs/>
          <w:lang w:val="en-US"/>
        </w:rPr>
        <w:t>Optigrow</w:t>
      </w:r>
      <w:proofErr w:type="spellEnd"/>
      <w:r w:rsidRPr="0036159A">
        <w:rPr>
          <w:i/>
          <w:iCs/>
        </w:rPr>
        <w:t xml:space="preserve">® (Sari </w:t>
      </w:r>
      <w:proofErr w:type="spellStart"/>
      <w:r w:rsidRPr="0036159A">
        <w:rPr>
          <w:i/>
          <w:iCs/>
        </w:rPr>
        <w:t>Husada</w:t>
      </w:r>
      <w:proofErr w:type="spellEnd"/>
      <w:r w:rsidRPr="0036159A">
        <w:rPr>
          <w:i/>
          <w:iCs/>
        </w:rPr>
        <w:t>, Danone)</w:t>
      </w:r>
      <w:r>
        <w:rPr>
          <w:i/>
          <w:iCs/>
        </w:rPr>
        <w:t xml:space="preserve"> for 3 months. Anthropometric measurements and determining the parents’ adherence would be done each month. After 3 months (90 days) of administering high-calorie milk, another anthropometric measurements and blood sampling would be done to determine the total lymphocyte count and IGF-1 post-intervention.</w:t>
      </w:r>
    </w:p>
    <w:p w14:paraId="37BBFB70" w14:textId="4552C826" w:rsidR="00BB6663" w:rsidRDefault="00BB6663" w:rsidP="00BB6663">
      <w:pPr>
        <w:rPr>
          <w:i/>
          <w:iCs/>
          <w:lang w:val="en-US"/>
        </w:rPr>
      </w:pPr>
      <w:r>
        <w:rPr>
          <w:i/>
          <w:iCs/>
        </w:rPr>
        <w:t xml:space="preserve">SGM Ananda </w:t>
      </w:r>
      <w:proofErr w:type="spellStart"/>
      <w:r>
        <w:rPr>
          <w:i/>
          <w:iCs/>
        </w:rPr>
        <w:t>Optigrow</w:t>
      </w:r>
      <w:proofErr w:type="spellEnd"/>
      <w:r>
        <w:rPr>
          <w:i/>
          <w:iCs/>
        </w:rPr>
        <w:t xml:space="preserve"> is chosen because</w:t>
      </w:r>
    </w:p>
    <w:p w14:paraId="7A202E82" w14:textId="77777777" w:rsidR="00BB6663" w:rsidRPr="00BB6663" w:rsidRDefault="00BB6663" w:rsidP="00BB6663">
      <w:pPr>
        <w:rPr>
          <w:i/>
          <w:iCs/>
          <w:lang w:val="en-US"/>
        </w:rPr>
      </w:pPr>
    </w:p>
    <w:p w14:paraId="404628EF" w14:textId="2FCD4357" w:rsidR="00BB6663" w:rsidRDefault="00402398" w:rsidP="00BB6663">
      <w:pPr>
        <w:pStyle w:val="ListParagraph"/>
        <w:numPr>
          <w:ilvl w:val="0"/>
          <w:numId w:val="14"/>
        </w:numPr>
        <w:rPr>
          <w:lang w:val="en-US"/>
        </w:rPr>
      </w:pPr>
      <w:r>
        <w:rPr>
          <w:lang w:val="en-US"/>
        </w:rPr>
        <w:t xml:space="preserve">Planning and justification to </w:t>
      </w:r>
      <w:r w:rsidR="00BB6663">
        <w:rPr>
          <w:lang w:val="en-US"/>
        </w:rPr>
        <w:t>move forward or terminate the standard treatment during the research (p4 and 5) (p18)</w:t>
      </w:r>
    </w:p>
    <w:p w14:paraId="14A677F6" w14:textId="709D23BD" w:rsidR="00BB6663" w:rsidRDefault="00BB6663" w:rsidP="00BB6663">
      <w:pPr>
        <w:pStyle w:val="ListParagraph"/>
        <w:numPr>
          <w:ilvl w:val="0"/>
          <w:numId w:val="14"/>
        </w:numPr>
        <w:rPr>
          <w:lang w:val="en-US"/>
        </w:rPr>
      </w:pPr>
      <w:r>
        <w:rPr>
          <w:lang w:val="en-US"/>
        </w:rPr>
        <w:t>Possible or allowed other treatments to be administered, or contraindicated, during the research (p6 (p19)</w:t>
      </w:r>
    </w:p>
    <w:p w14:paraId="57710045" w14:textId="1C5590C6" w:rsidR="00BB6663" w:rsidRPr="00BB6663" w:rsidRDefault="00BB6663" w:rsidP="00BB6663">
      <w:pPr>
        <w:pStyle w:val="ListParagraph"/>
        <w:numPr>
          <w:ilvl w:val="0"/>
          <w:numId w:val="14"/>
        </w:numPr>
        <w:rPr>
          <w:lang w:val="en-US"/>
        </w:rPr>
      </w:pPr>
      <w:r>
        <w:rPr>
          <w:lang w:val="en-US"/>
        </w:rPr>
        <w:t>Clinical test or laboratory or other tests (p20)</w:t>
      </w:r>
    </w:p>
    <w:p w14:paraId="03E37C02" w14:textId="77777777" w:rsidR="00402398" w:rsidRPr="00402398" w:rsidRDefault="00402398" w:rsidP="00402398">
      <w:pPr>
        <w:rPr>
          <w:lang w:val="en-US"/>
        </w:rPr>
      </w:pPr>
    </w:p>
    <w:p w14:paraId="14FF3CE8" w14:textId="7240D670" w:rsidR="00402398" w:rsidRPr="00732022" w:rsidRDefault="00732022" w:rsidP="00402398">
      <w:pPr>
        <w:pStyle w:val="ListParagraph"/>
        <w:numPr>
          <w:ilvl w:val="0"/>
          <w:numId w:val="3"/>
        </w:numPr>
        <w:rPr>
          <w:i/>
          <w:iCs/>
          <w:lang w:val="en-US"/>
        </w:rPr>
      </w:pPr>
      <w:r>
        <w:rPr>
          <w:lang w:val="en-US"/>
        </w:rPr>
        <w:t>Result Monitoring</w:t>
      </w:r>
    </w:p>
    <w:p w14:paraId="2C9F0F63" w14:textId="6FA79F34" w:rsidR="00732022" w:rsidRPr="00732022" w:rsidRDefault="00732022" w:rsidP="00732022">
      <w:pPr>
        <w:pStyle w:val="ListParagraph"/>
        <w:rPr>
          <w:i/>
          <w:iCs/>
          <w:lang w:val="en-US"/>
        </w:rPr>
      </w:pPr>
      <w:r w:rsidRPr="00732022">
        <w:rPr>
          <w:i/>
          <w:iCs/>
          <w:lang w:val="en-US"/>
        </w:rPr>
        <w:t>1. Samples of standardized case report forms, methods of recording therapeutic response (description and evaluation of methods and measurements</w:t>
      </w:r>
      <w:r>
        <w:rPr>
          <w:i/>
          <w:iCs/>
          <w:lang w:val="en-US"/>
        </w:rPr>
        <w:t xml:space="preserve"> frequency</w:t>
      </w:r>
      <w:r w:rsidRPr="00732022">
        <w:rPr>
          <w:i/>
          <w:iCs/>
          <w:lang w:val="en-US"/>
        </w:rPr>
        <w:t>), follow-up procedures, and, where possible, measures proposed to determine the level of compliance of subjects receiving treatment (see appendix) (p17).</w:t>
      </w:r>
    </w:p>
    <w:p w14:paraId="3C6F7668" w14:textId="2D6D070C" w:rsidR="00732022" w:rsidRPr="00732022" w:rsidRDefault="00C75D3F" w:rsidP="00732022">
      <w:pPr>
        <w:pStyle w:val="ListParagraph"/>
        <w:rPr>
          <w:i/>
          <w:iCs/>
          <w:lang w:val="en-US"/>
        </w:rPr>
      </w:pPr>
      <w:r>
        <w:rPr>
          <w:i/>
          <w:iCs/>
          <w:highlight w:val="yellow"/>
          <w:lang w:val="en-US"/>
        </w:rPr>
        <w:t xml:space="preserve">Data is </w:t>
      </w:r>
      <w:r w:rsidR="00FC71CF">
        <w:rPr>
          <w:i/>
          <w:iCs/>
          <w:highlight w:val="yellow"/>
          <w:lang w:val="en-US"/>
        </w:rPr>
        <w:t xml:space="preserve">recorded </w:t>
      </w:r>
      <w:r w:rsidR="00FC71CF" w:rsidRPr="00732022">
        <w:rPr>
          <w:i/>
          <w:iCs/>
          <w:lang w:val="en-US"/>
        </w:rPr>
        <w:t>in</w:t>
      </w:r>
      <w:r w:rsidR="00732022" w:rsidRPr="00732022">
        <w:rPr>
          <w:i/>
          <w:iCs/>
          <w:lang w:val="en-US"/>
        </w:rPr>
        <w:t xml:space="preserve"> the research </w:t>
      </w:r>
      <w:r>
        <w:rPr>
          <w:i/>
          <w:iCs/>
          <w:lang w:val="en-US"/>
        </w:rPr>
        <w:t>CRF</w:t>
      </w:r>
      <w:r w:rsidR="00732022">
        <w:rPr>
          <w:i/>
          <w:iCs/>
          <w:lang w:val="en-US"/>
        </w:rPr>
        <w:t xml:space="preserve"> </w:t>
      </w:r>
      <w:r w:rsidR="00732022" w:rsidRPr="00732022">
        <w:rPr>
          <w:i/>
          <w:iCs/>
          <w:highlight w:val="yellow"/>
          <w:lang w:val="en-US"/>
        </w:rPr>
        <w:t>(</w:t>
      </w:r>
      <w:r>
        <w:rPr>
          <w:i/>
          <w:iCs/>
          <w:lang w:val="en-US"/>
        </w:rPr>
        <w:t>case report form)</w:t>
      </w:r>
      <w:r w:rsidR="00732022" w:rsidRPr="00732022">
        <w:rPr>
          <w:i/>
          <w:iCs/>
          <w:lang w:val="en-US"/>
        </w:rPr>
        <w:t xml:space="preserve">. If parental disobedience is found in providing therapy according to the </w:t>
      </w:r>
      <w:r w:rsidR="00732022">
        <w:rPr>
          <w:i/>
          <w:iCs/>
          <w:lang w:val="en-US"/>
        </w:rPr>
        <w:t xml:space="preserve">recommended </w:t>
      </w:r>
      <w:r w:rsidR="00732022" w:rsidRPr="00732022">
        <w:rPr>
          <w:i/>
          <w:iCs/>
          <w:lang w:val="en-US"/>
        </w:rPr>
        <w:t xml:space="preserve">dose, a record is made in the </w:t>
      </w:r>
      <w:r>
        <w:rPr>
          <w:i/>
          <w:iCs/>
          <w:lang w:val="en-US"/>
        </w:rPr>
        <w:t>CRF</w:t>
      </w:r>
      <w:r w:rsidR="00732022" w:rsidRPr="00732022">
        <w:rPr>
          <w:i/>
          <w:iCs/>
          <w:lang w:val="en-US"/>
        </w:rPr>
        <w:t xml:space="preserve"> and education is carried out so that parents can comply with the </w:t>
      </w:r>
      <w:r w:rsidR="00732022">
        <w:rPr>
          <w:i/>
          <w:iCs/>
          <w:lang w:val="en-US"/>
        </w:rPr>
        <w:t xml:space="preserve">recommended </w:t>
      </w:r>
      <w:r w:rsidR="00732022" w:rsidRPr="00732022">
        <w:rPr>
          <w:i/>
          <w:iCs/>
          <w:lang w:val="en-US"/>
        </w:rPr>
        <w:t>dose</w:t>
      </w:r>
      <w:r w:rsidR="00732022">
        <w:rPr>
          <w:i/>
          <w:iCs/>
          <w:lang w:val="en-US"/>
        </w:rPr>
        <w:t>/amount</w:t>
      </w:r>
      <w:r w:rsidR="00732022" w:rsidRPr="00732022">
        <w:rPr>
          <w:i/>
          <w:iCs/>
          <w:lang w:val="en-US"/>
        </w:rPr>
        <w:t xml:space="preserve"> of milk </w:t>
      </w:r>
      <w:r w:rsidR="00732022">
        <w:rPr>
          <w:i/>
          <w:iCs/>
          <w:lang w:val="en-US"/>
        </w:rPr>
        <w:t>to be</w:t>
      </w:r>
      <w:r w:rsidR="00732022" w:rsidRPr="00732022">
        <w:rPr>
          <w:i/>
          <w:iCs/>
          <w:lang w:val="en-US"/>
        </w:rPr>
        <w:t xml:space="preserve"> given.</w:t>
      </w:r>
    </w:p>
    <w:p w14:paraId="26E70E49" w14:textId="60C4EF64" w:rsidR="00732022" w:rsidRDefault="006D533A" w:rsidP="00402398">
      <w:pPr>
        <w:pStyle w:val="ListParagraph"/>
        <w:numPr>
          <w:ilvl w:val="0"/>
          <w:numId w:val="3"/>
        </w:numPr>
        <w:rPr>
          <w:b/>
          <w:bCs/>
          <w:lang w:val="en-US"/>
        </w:rPr>
      </w:pPr>
      <w:r w:rsidRPr="006D533A">
        <w:rPr>
          <w:b/>
          <w:bCs/>
          <w:lang w:val="en-US"/>
        </w:rPr>
        <w:t>Research Discontinuation and Reasons</w:t>
      </w:r>
    </w:p>
    <w:p w14:paraId="7E20BD05" w14:textId="4AB4127A" w:rsidR="00FC71CF" w:rsidRDefault="00FC71CF" w:rsidP="00FC71CF">
      <w:pPr>
        <w:pStyle w:val="ListParagraph"/>
        <w:rPr>
          <w:b/>
          <w:bCs/>
          <w:lang w:val="en-US"/>
        </w:rPr>
      </w:pPr>
    </w:p>
    <w:p w14:paraId="553EA7BE" w14:textId="1F87A1EA" w:rsidR="007E5530" w:rsidRDefault="007E5530" w:rsidP="007E5530">
      <w:pPr>
        <w:pStyle w:val="ListParagraph"/>
        <w:numPr>
          <w:ilvl w:val="0"/>
          <w:numId w:val="20"/>
        </w:numPr>
        <w:rPr>
          <w:lang w:val="en-US"/>
        </w:rPr>
      </w:pPr>
      <w:r w:rsidRPr="007E5530">
        <w:rPr>
          <w:lang w:val="en-US"/>
        </w:rPr>
        <w:t>Rules or criteria for when a subject can be discontinued from research or clinical trials, or, in the case of multi-center studies, when a center/institution can be deactivated, and when research can be discontinued (no longer continued) (p22)</w:t>
      </w:r>
    </w:p>
    <w:p w14:paraId="240CF109" w14:textId="77777777" w:rsidR="007E5530" w:rsidRPr="007E5530" w:rsidRDefault="007E5530" w:rsidP="007E5530">
      <w:pPr>
        <w:pStyle w:val="ListParagraph"/>
        <w:ind w:left="1080"/>
        <w:rPr>
          <w:lang w:val="en-US"/>
        </w:rPr>
      </w:pPr>
    </w:p>
    <w:p w14:paraId="7935B838" w14:textId="081A8F45" w:rsidR="00FC71CF" w:rsidRPr="007E5530" w:rsidRDefault="007E5530" w:rsidP="007E5530">
      <w:pPr>
        <w:pStyle w:val="ListParagraph"/>
        <w:rPr>
          <w:lang w:val="en-US"/>
        </w:rPr>
      </w:pPr>
      <w:r w:rsidRPr="007E5530">
        <w:rPr>
          <w:lang w:val="en-US"/>
        </w:rPr>
        <w:t>If on administration, there is nausea/vomiting or the subject refuses to give high-calorie milk.</w:t>
      </w:r>
    </w:p>
    <w:p w14:paraId="6B779C88" w14:textId="77777777" w:rsidR="007E5530" w:rsidRPr="006D533A" w:rsidRDefault="007E5530" w:rsidP="00FC71CF">
      <w:pPr>
        <w:pStyle w:val="ListParagraph"/>
        <w:rPr>
          <w:b/>
          <w:bCs/>
          <w:lang w:val="en-US"/>
        </w:rPr>
      </w:pPr>
    </w:p>
    <w:p w14:paraId="3F0EE194" w14:textId="30EDCC74" w:rsidR="00732022" w:rsidRDefault="006D533A" w:rsidP="006D533A">
      <w:pPr>
        <w:pStyle w:val="ListParagraph"/>
        <w:numPr>
          <w:ilvl w:val="0"/>
          <w:numId w:val="3"/>
        </w:numPr>
        <w:rPr>
          <w:b/>
          <w:bCs/>
          <w:lang w:val="en-US"/>
        </w:rPr>
      </w:pPr>
      <w:r w:rsidRPr="006D533A">
        <w:rPr>
          <w:b/>
          <w:bCs/>
          <w:lang w:val="en-US"/>
        </w:rPr>
        <w:t>Adverse Events and Complications (Unexpected Events)</w:t>
      </w:r>
    </w:p>
    <w:p w14:paraId="2DC94852" w14:textId="1DE844E3" w:rsidR="006D533A" w:rsidRDefault="006D533A" w:rsidP="006D533A">
      <w:pPr>
        <w:pStyle w:val="ListParagraph"/>
        <w:rPr>
          <w:b/>
          <w:bCs/>
          <w:lang w:val="en-US"/>
        </w:rPr>
      </w:pPr>
    </w:p>
    <w:p w14:paraId="5E1BC50B" w14:textId="77777777" w:rsidR="006D533A" w:rsidRPr="006D533A" w:rsidRDefault="006D533A" w:rsidP="006D533A">
      <w:pPr>
        <w:pStyle w:val="ListParagraph"/>
        <w:rPr>
          <w:lang w:val="en-US"/>
        </w:rPr>
      </w:pPr>
      <w:r w:rsidRPr="006D533A">
        <w:rPr>
          <w:lang w:val="en-US"/>
        </w:rPr>
        <w:t>1. Methods of recording and reporting adverse events or reactions, and requirements for handling complications (Guidelines 4 and 23) (p.23).</w:t>
      </w:r>
    </w:p>
    <w:p w14:paraId="6A631614" w14:textId="77777777" w:rsidR="006D533A" w:rsidRPr="006D533A" w:rsidRDefault="006D533A" w:rsidP="006D533A">
      <w:pPr>
        <w:pStyle w:val="ListParagraph"/>
        <w:rPr>
          <w:lang w:val="en-US"/>
        </w:rPr>
      </w:pPr>
    </w:p>
    <w:p w14:paraId="7652EA5C" w14:textId="77777777" w:rsidR="006D533A" w:rsidRPr="006D533A" w:rsidRDefault="006D533A" w:rsidP="006D533A">
      <w:pPr>
        <w:pStyle w:val="ListParagraph"/>
        <w:rPr>
          <w:lang w:val="en-US"/>
        </w:rPr>
      </w:pPr>
      <w:r w:rsidRPr="006D533A">
        <w:rPr>
          <w:lang w:val="en-US"/>
        </w:rPr>
        <w:lastRenderedPageBreak/>
        <w:t>Side effects (diarrhea, nausea, vomiting) were recorded and reported by parents to the researcher by telephone or text message.</w:t>
      </w:r>
    </w:p>
    <w:p w14:paraId="65F5B73E" w14:textId="77777777" w:rsidR="006D533A" w:rsidRPr="006D533A" w:rsidRDefault="006D533A" w:rsidP="006D533A">
      <w:pPr>
        <w:pStyle w:val="ListParagraph"/>
        <w:rPr>
          <w:lang w:val="en-US"/>
        </w:rPr>
      </w:pPr>
      <w:r w:rsidRPr="006D533A">
        <w:rPr>
          <w:lang w:val="en-US"/>
        </w:rPr>
        <w:t>The subject was confirmed to have consumed cow's milk before, so the risk of allergy to cow's milk protein could be avoided.</w:t>
      </w:r>
    </w:p>
    <w:p w14:paraId="1E83AE0D" w14:textId="77777777" w:rsidR="006D533A" w:rsidRPr="006D533A" w:rsidRDefault="006D533A" w:rsidP="006D533A">
      <w:pPr>
        <w:pStyle w:val="ListParagraph"/>
        <w:rPr>
          <w:lang w:val="en-US"/>
        </w:rPr>
      </w:pPr>
    </w:p>
    <w:p w14:paraId="3CB8EB1C" w14:textId="77777777" w:rsidR="006D533A" w:rsidRPr="006D533A" w:rsidRDefault="006D533A" w:rsidP="006D533A">
      <w:pPr>
        <w:pStyle w:val="ListParagraph"/>
        <w:rPr>
          <w:lang w:val="en-US"/>
        </w:rPr>
      </w:pPr>
    </w:p>
    <w:p w14:paraId="1D206877" w14:textId="77777777" w:rsidR="006D533A" w:rsidRPr="006D533A" w:rsidRDefault="006D533A" w:rsidP="006D533A">
      <w:pPr>
        <w:pStyle w:val="ListParagraph"/>
        <w:rPr>
          <w:lang w:val="en-US"/>
        </w:rPr>
      </w:pPr>
      <w:r w:rsidRPr="006D533A">
        <w:rPr>
          <w:lang w:val="en-US"/>
        </w:rPr>
        <w:t>2. Known risks of adverse events, including risks associated with each planned intervention, and associated with the drug, vaccine, or procedure being tested (Guideline 4) (p24)</w:t>
      </w:r>
    </w:p>
    <w:p w14:paraId="72A77CCC" w14:textId="7F546828" w:rsidR="006D533A" w:rsidRPr="006D533A" w:rsidRDefault="006D533A" w:rsidP="006D533A">
      <w:pPr>
        <w:pStyle w:val="ListParagraph"/>
        <w:rPr>
          <w:lang w:val="en-US"/>
        </w:rPr>
      </w:pPr>
      <w:r w:rsidRPr="006D533A">
        <w:rPr>
          <w:lang w:val="en-US"/>
        </w:rPr>
        <w:t>There is no risk, the selected subject is confirmed not to have a cow's milk allergy or has consumed formula milk before</w:t>
      </w:r>
    </w:p>
    <w:p w14:paraId="1FAB4B93" w14:textId="77777777" w:rsidR="006D533A" w:rsidRPr="006D533A" w:rsidRDefault="006D533A" w:rsidP="006D533A">
      <w:pPr>
        <w:pStyle w:val="ListParagraph"/>
        <w:rPr>
          <w:b/>
          <w:bCs/>
          <w:lang w:val="en-US"/>
        </w:rPr>
      </w:pPr>
    </w:p>
    <w:p w14:paraId="79D19CF2" w14:textId="1A50EA4E" w:rsidR="006D533A" w:rsidRPr="006D533A" w:rsidRDefault="006D533A" w:rsidP="00402398">
      <w:pPr>
        <w:pStyle w:val="ListParagraph"/>
        <w:numPr>
          <w:ilvl w:val="0"/>
          <w:numId w:val="3"/>
        </w:numPr>
        <w:rPr>
          <w:b/>
          <w:bCs/>
          <w:lang w:val="en-US"/>
        </w:rPr>
      </w:pPr>
      <w:r w:rsidRPr="006D533A">
        <w:rPr>
          <w:b/>
          <w:bCs/>
          <w:lang w:val="en-US"/>
        </w:rPr>
        <w:t xml:space="preserve"> </w:t>
      </w:r>
      <w:r w:rsidRPr="00FC71CF">
        <w:rPr>
          <w:b/>
          <w:bCs/>
          <w:highlight w:val="yellow"/>
          <w:lang w:val="en-US"/>
        </w:rPr>
        <w:t>Management of Complications (p27)</w:t>
      </w:r>
    </w:p>
    <w:p w14:paraId="23FD43C5" w14:textId="25BEF608" w:rsidR="006D533A" w:rsidRDefault="006D533A" w:rsidP="006D533A">
      <w:pPr>
        <w:pStyle w:val="ListParagraph"/>
        <w:rPr>
          <w:i/>
          <w:iCs/>
          <w:lang w:val="en-US"/>
        </w:rPr>
      </w:pPr>
    </w:p>
    <w:p w14:paraId="157911A8" w14:textId="2AFA5613" w:rsidR="00FC71CF" w:rsidRPr="006D533A" w:rsidRDefault="00FC71CF" w:rsidP="00FC71CF">
      <w:pPr>
        <w:pStyle w:val="ListParagraph"/>
        <w:rPr>
          <w:lang w:val="en-US"/>
        </w:rPr>
      </w:pPr>
      <w:r>
        <w:rPr>
          <w:i/>
          <w:iCs/>
          <w:lang w:val="en-US"/>
        </w:rPr>
        <w:t xml:space="preserve">Proposed answers (TBC by dr. </w:t>
      </w:r>
      <w:proofErr w:type="spellStart"/>
      <w:r>
        <w:rPr>
          <w:i/>
          <w:iCs/>
          <w:lang w:val="en-US"/>
        </w:rPr>
        <w:t>Nuril</w:t>
      </w:r>
      <w:proofErr w:type="spellEnd"/>
      <w:r>
        <w:rPr>
          <w:i/>
          <w:iCs/>
          <w:lang w:val="en-US"/>
        </w:rPr>
        <w:t>): Any complication is</w:t>
      </w:r>
      <w:r w:rsidRPr="006D533A">
        <w:rPr>
          <w:lang w:val="en-US"/>
        </w:rPr>
        <w:t xml:space="preserve"> recorded and reported by parents to the researcher by telephone or text message</w:t>
      </w:r>
      <w:r>
        <w:rPr>
          <w:lang w:val="en-US"/>
        </w:rPr>
        <w:t xml:space="preserve"> starting from any mild side effect that happens (as mentioned in part J) and will be manage accordingly</w:t>
      </w:r>
    </w:p>
    <w:p w14:paraId="29F14AD4" w14:textId="60A7117A" w:rsidR="00FC71CF" w:rsidRDefault="00FC71CF" w:rsidP="006D533A">
      <w:pPr>
        <w:pStyle w:val="ListParagraph"/>
        <w:rPr>
          <w:i/>
          <w:iCs/>
          <w:lang w:val="en-US"/>
        </w:rPr>
      </w:pPr>
    </w:p>
    <w:p w14:paraId="09B5D6B3" w14:textId="1FFA3D2A" w:rsidR="006D533A" w:rsidRDefault="006D533A" w:rsidP="006D533A">
      <w:pPr>
        <w:pStyle w:val="ListParagraph"/>
        <w:rPr>
          <w:i/>
          <w:iCs/>
          <w:lang w:val="en-US"/>
        </w:rPr>
      </w:pPr>
    </w:p>
    <w:p w14:paraId="5E092735" w14:textId="77777777" w:rsidR="006D533A" w:rsidRPr="00732022" w:rsidRDefault="006D533A" w:rsidP="006D533A">
      <w:pPr>
        <w:pStyle w:val="ListParagraph"/>
        <w:rPr>
          <w:i/>
          <w:iCs/>
          <w:lang w:val="en-US"/>
        </w:rPr>
      </w:pPr>
    </w:p>
    <w:p w14:paraId="0CE81726" w14:textId="3343C19D" w:rsidR="00732022" w:rsidRPr="006D533A" w:rsidRDefault="006D533A" w:rsidP="00402398">
      <w:pPr>
        <w:pStyle w:val="ListParagraph"/>
        <w:numPr>
          <w:ilvl w:val="0"/>
          <w:numId w:val="3"/>
        </w:numPr>
        <w:rPr>
          <w:b/>
          <w:bCs/>
          <w:i/>
          <w:iCs/>
          <w:lang w:val="en-US"/>
        </w:rPr>
      </w:pPr>
      <w:r w:rsidRPr="006D533A">
        <w:rPr>
          <w:b/>
          <w:bCs/>
          <w:lang w:val="en-US"/>
        </w:rPr>
        <w:t>Benefits</w:t>
      </w:r>
    </w:p>
    <w:p w14:paraId="49676838" w14:textId="26032661" w:rsidR="006D533A" w:rsidRDefault="006D533A" w:rsidP="006D533A">
      <w:pPr>
        <w:pStyle w:val="ListParagraph"/>
        <w:rPr>
          <w:b/>
          <w:bCs/>
          <w:lang w:val="en-US"/>
        </w:rPr>
      </w:pPr>
    </w:p>
    <w:p w14:paraId="4AA4A222" w14:textId="77777777" w:rsidR="006D533A" w:rsidRPr="006D533A" w:rsidRDefault="006D533A" w:rsidP="006D533A">
      <w:pPr>
        <w:pStyle w:val="ListParagraph"/>
        <w:rPr>
          <w:i/>
          <w:iCs/>
          <w:lang w:val="en-US"/>
        </w:rPr>
      </w:pPr>
      <w:r w:rsidRPr="006D533A">
        <w:rPr>
          <w:i/>
          <w:iCs/>
          <w:lang w:val="en-US"/>
        </w:rPr>
        <w:t>1. Personal benefits of research for the subject and for others (Guideline 4) (p25)</w:t>
      </w:r>
    </w:p>
    <w:p w14:paraId="28ECCFB7" w14:textId="77777777" w:rsidR="006D533A" w:rsidRPr="006D533A" w:rsidRDefault="006D533A" w:rsidP="006D533A">
      <w:pPr>
        <w:pStyle w:val="ListParagraph"/>
        <w:rPr>
          <w:i/>
          <w:iCs/>
          <w:lang w:val="en-US"/>
        </w:rPr>
      </w:pPr>
      <w:r w:rsidRPr="006D533A">
        <w:rPr>
          <w:i/>
          <w:iCs/>
          <w:lang w:val="en-US"/>
        </w:rPr>
        <w:t>Overcoming stunting and overcoming inflammation due to infection.</w:t>
      </w:r>
    </w:p>
    <w:p w14:paraId="1FE95F66" w14:textId="77777777" w:rsidR="006D533A" w:rsidRPr="006D533A" w:rsidRDefault="006D533A" w:rsidP="006D533A">
      <w:pPr>
        <w:pStyle w:val="ListParagraph"/>
        <w:rPr>
          <w:i/>
          <w:iCs/>
          <w:lang w:val="en-US"/>
        </w:rPr>
      </w:pPr>
    </w:p>
    <w:p w14:paraId="56FD7D35" w14:textId="77777777" w:rsidR="006D533A" w:rsidRPr="006D533A" w:rsidRDefault="006D533A" w:rsidP="006D533A">
      <w:pPr>
        <w:pStyle w:val="ListParagraph"/>
        <w:rPr>
          <w:i/>
          <w:iCs/>
          <w:lang w:val="en-US"/>
        </w:rPr>
      </w:pPr>
      <w:r w:rsidRPr="006D533A">
        <w:rPr>
          <w:i/>
          <w:iCs/>
          <w:lang w:val="en-US"/>
        </w:rPr>
        <w:t>2. Benefits of research to the population, including new knowledge that research may generate (Guidelines 1 and 4) (p26)</w:t>
      </w:r>
    </w:p>
    <w:p w14:paraId="61E410EE" w14:textId="080E1129" w:rsidR="006D533A" w:rsidRPr="006D533A" w:rsidRDefault="006D533A" w:rsidP="006D533A">
      <w:pPr>
        <w:pStyle w:val="ListParagraph"/>
        <w:rPr>
          <w:i/>
          <w:iCs/>
          <w:lang w:val="en-US"/>
        </w:rPr>
      </w:pPr>
      <w:r w:rsidRPr="006D533A">
        <w:rPr>
          <w:i/>
          <w:iCs/>
          <w:lang w:val="en-US"/>
        </w:rPr>
        <w:t>This research can be a reference for therapy and management of stunting in children.</w:t>
      </w:r>
    </w:p>
    <w:p w14:paraId="486164BD" w14:textId="77777777" w:rsidR="006D533A" w:rsidRPr="00732022" w:rsidRDefault="006D533A" w:rsidP="006D533A">
      <w:pPr>
        <w:pStyle w:val="ListParagraph"/>
        <w:rPr>
          <w:i/>
          <w:iCs/>
          <w:lang w:val="en-US"/>
        </w:rPr>
      </w:pPr>
    </w:p>
    <w:p w14:paraId="4C97804B" w14:textId="32678B9C" w:rsidR="00732022" w:rsidRDefault="00E07EB9" w:rsidP="00402398">
      <w:pPr>
        <w:pStyle w:val="ListParagraph"/>
        <w:numPr>
          <w:ilvl w:val="0"/>
          <w:numId w:val="3"/>
        </w:numPr>
        <w:rPr>
          <w:b/>
          <w:bCs/>
          <w:lang w:val="en-US"/>
        </w:rPr>
      </w:pPr>
      <w:r w:rsidRPr="00E07EB9">
        <w:rPr>
          <w:b/>
          <w:bCs/>
          <w:lang w:val="en-US"/>
        </w:rPr>
        <w:t>Continuity of Benefits Guarantee (p28)</w:t>
      </w:r>
    </w:p>
    <w:p w14:paraId="49639B77" w14:textId="0D4FFC20" w:rsidR="00E07EB9" w:rsidRDefault="00E07EB9" w:rsidP="00E07EB9">
      <w:pPr>
        <w:pStyle w:val="ListParagraph"/>
        <w:rPr>
          <w:b/>
          <w:bCs/>
          <w:lang w:val="en-US"/>
        </w:rPr>
      </w:pPr>
    </w:p>
    <w:p w14:paraId="2AECD309" w14:textId="5D9206FD" w:rsidR="006D533A" w:rsidRDefault="006D533A" w:rsidP="006D533A">
      <w:pPr>
        <w:pStyle w:val="ListParagraph"/>
        <w:rPr>
          <w:i/>
          <w:iCs/>
          <w:lang w:val="en-US"/>
        </w:rPr>
      </w:pPr>
      <w:r w:rsidRPr="006D533A">
        <w:rPr>
          <w:i/>
          <w:iCs/>
          <w:highlight w:val="yellow"/>
          <w:lang w:val="en-US"/>
        </w:rPr>
        <w:t xml:space="preserve">Proposed answer: children involved in this study can later be given the same treatment, </w:t>
      </w:r>
      <w:proofErr w:type="gramStart"/>
      <w:r w:rsidRPr="006D533A">
        <w:rPr>
          <w:i/>
          <w:iCs/>
          <w:highlight w:val="yellow"/>
          <w:lang w:val="en-US"/>
        </w:rPr>
        <w:t>i.e.</w:t>
      </w:r>
      <w:proofErr w:type="gramEnd"/>
      <w:r w:rsidRPr="006D533A">
        <w:rPr>
          <w:i/>
          <w:iCs/>
          <w:highlight w:val="yellow"/>
          <w:lang w:val="en-US"/>
        </w:rPr>
        <w:t xml:space="preserve"> given the FSMP milk by the city health office. (TBC by Dr. Nuri)</w:t>
      </w:r>
    </w:p>
    <w:p w14:paraId="50880D93" w14:textId="77777777" w:rsidR="00E07EB9" w:rsidRPr="00E07EB9" w:rsidRDefault="00E07EB9" w:rsidP="00E07EB9">
      <w:pPr>
        <w:pStyle w:val="ListParagraph"/>
        <w:rPr>
          <w:b/>
          <w:bCs/>
          <w:lang w:val="en-US"/>
        </w:rPr>
      </w:pPr>
    </w:p>
    <w:p w14:paraId="4B9B61D9" w14:textId="77777777" w:rsidR="00E07EB9" w:rsidRPr="00732022" w:rsidRDefault="00E07EB9" w:rsidP="00E07EB9">
      <w:pPr>
        <w:pStyle w:val="ListParagraph"/>
        <w:rPr>
          <w:i/>
          <w:iCs/>
          <w:lang w:val="en-US"/>
        </w:rPr>
      </w:pPr>
    </w:p>
    <w:p w14:paraId="1AF07AEA" w14:textId="39ADBD8F" w:rsidR="00732022" w:rsidRPr="00E07EB9" w:rsidRDefault="00E07EB9" w:rsidP="00402398">
      <w:pPr>
        <w:pStyle w:val="ListParagraph"/>
        <w:numPr>
          <w:ilvl w:val="0"/>
          <w:numId w:val="3"/>
        </w:numPr>
        <w:rPr>
          <w:b/>
          <w:bCs/>
          <w:i/>
          <w:iCs/>
          <w:lang w:val="en-US"/>
        </w:rPr>
      </w:pPr>
      <w:r w:rsidRPr="00E07EB9">
        <w:rPr>
          <w:b/>
          <w:bCs/>
          <w:lang w:val="en-US"/>
        </w:rPr>
        <w:t>Informed Consent</w:t>
      </w:r>
    </w:p>
    <w:p w14:paraId="594DFA27" w14:textId="1F8296E4" w:rsidR="00E07EB9" w:rsidRDefault="00E07EB9" w:rsidP="00E07EB9">
      <w:pPr>
        <w:pStyle w:val="ListParagraph"/>
        <w:rPr>
          <w:lang w:val="en-US"/>
        </w:rPr>
      </w:pPr>
    </w:p>
    <w:p w14:paraId="076A2A7C" w14:textId="77777777" w:rsidR="00E07EB9" w:rsidRPr="00E07EB9" w:rsidRDefault="00E07EB9" w:rsidP="00E07EB9">
      <w:pPr>
        <w:pStyle w:val="ListParagraph"/>
        <w:rPr>
          <w:i/>
          <w:iCs/>
          <w:lang w:val="en-US"/>
        </w:rPr>
      </w:pPr>
      <w:r w:rsidRPr="00E07EB9">
        <w:rPr>
          <w:i/>
          <w:iCs/>
          <w:lang w:val="en-US"/>
        </w:rPr>
        <w:t>1. Proposed means of obtaining informed consent and planned procedures for communicating subject information, including name and position of guardian for those who cannot provide it. (Guideline 9) (p30 research to candidates)</w:t>
      </w:r>
    </w:p>
    <w:p w14:paraId="0EEC9DC8" w14:textId="77777777" w:rsidR="00E07EB9" w:rsidRPr="00E07EB9" w:rsidRDefault="00E07EB9" w:rsidP="00E07EB9">
      <w:pPr>
        <w:pStyle w:val="ListParagraph"/>
        <w:rPr>
          <w:i/>
          <w:iCs/>
          <w:lang w:val="en-US"/>
        </w:rPr>
      </w:pPr>
    </w:p>
    <w:p w14:paraId="266DC71E" w14:textId="77777777" w:rsidR="00E07EB9" w:rsidRPr="00E07EB9" w:rsidRDefault="00E07EB9" w:rsidP="00E07EB9">
      <w:pPr>
        <w:pStyle w:val="ListParagraph"/>
        <w:rPr>
          <w:i/>
          <w:iCs/>
          <w:lang w:val="en-US"/>
        </w:rPr>
      </w:pPr>
      <w:r w:rsidRPr="00E07EB9">
        <w:rPr>
          <w:i/>
          <w:iCs/>
          <w:lang w:val="en-US"/>
        </w:rPr>
        <w:t xml:space="preserve">Direct explanation to parents of prospective subjects at the outpatient clinic of </w:t>
      </w:r>
      <w:proofErr w:type="spellStart"/>
      <w:r w:rsidRPr="00E07EB9">
        <w:rPr>
          <w:i/>
          <w:iCs/>
          <w:lang w:val="en-US"/>
        </w:rPr>
        <w:t>Husada</w:t>
      </w:r>
      <w:proofErr w:type="spellEnd"/>
      <w:r w:rsidRPr="00E07EB9">
        <w:rPr>
          <w:i/>
          <w:iCs/>
          <w:lang w:val="en-US"/>
        </w:rPr>
        <w:t xml:space="preserve"> Utama Hospital when bringing their child to a doctor's visit.</w:t>
      </w:r>
    </w:p>
    <w:p w14:paraId="5C7C8BFC" w14:textId="77777777" w:rsidR="00E07EB9" w:rsidRPr="00E07EB9" w:rsidRDefault="00E07EB9" w:rsidP="00E07EB9">
      <w:pPr>
        <w:pStyle w:val="ListParagraph"/>
        <w:rPr>
          <w:i/>
          <w:iCs/>
          <w:lang w:val="en-US"/>
        </w:rPr>
      </w:pPr>
    </w:p>
    <w:p w14:paraId="31132454" w14:textId="77777777" w:rsidR="00E07EB9" w:rsidRPr="00E07EB9" w:rsidRDefault="00E07EB9" w:rsidP="00E07EB9">
      <w:pPr>
        <w:pStyle w:val="ListParagraph"/>
        <w:rPr>
          <w:i/>
          <w:iCs/>
          <w:lang w:val="en-US"/>
        </w:rPr>
      </w:pPr>
      <w:r w:rsidRPr="00E07EB9">
        <w:rPr>
          <w:i/>
          <w:iCs/>
          <w:lang w:val="en-US"/>
        </w:rPr>
        <w:lastRenderedPageBreak/>
        <w:t>2. Especially for pregnant women: there is a plan to monitor maternal health and child health in the short and long term (Guideline 19) (p29)</w:t>
      </w:r>
    </w:p>
    <w:p w14:paraId="466585EE" w14:textId="77777777" w:rsidR="00E07EB9" w:rsidRPr="00E07EB9" w:rsidRDefault="00E07EB9" w:rsidP="00E07EB9">
      <w:pPr>
        <w:pStyle w:val="ListParagraph"/>
        <w:rPr>
          <w:i/>
          <w:iCs/>
          <w:lang w:val="en-US"/>
        </w:rPr>
      </w:pPr>
    </w:p>
    <w:p w14:paraId="6FE371CE" w14:textId="29887636" w:rsidR="00E07EB9" w:rsidRPr="009A5616" w:rsidRDefault="00E07EB9" w:rsidP="00E07EB9">
      <w:pPr>
        <w:pStyle w:val="ListParagraph"/>
        <w:rPr>
          <w:i/>
          <w:iCs/>
          <w:lang w:val="en-US"/>
        </w:rPr>
      </w:pPr>
      <w:r w:rsidRPr="00E07EB9">
        <w:rPr>
          <w:i/>
          <w:iCs/>
          <w:lang w:val="en-US"/>
        </w:rPr>
        <w:t>Irrelevant</w:t>
      </w:r>
    </w:p>
    <w:p w14:paraId="25415489" w14:textId="77777777" w:rsidR="009A5616" w:rsidRPr="00732022" w:rsidRDefault="009A5616" w:rsidP="009A5616">
      <w:pPr>
        <w:pStyle w:val="ListParagraph"/>
        <w:rPr>
          <w:i/>
          <w:iCs/>
          <w:lang w:val="en-US"/>
        </w:rPr>
      </w:pPr>
    </w:p>
    <w:p w14:paraId="44A07E82" w14:textId="6D3079AE" w:rsidR="00732022" w:rsidRPr="009A5616" w:rsidRDefault="009A5616" w:rsidP="00402398">
      <w:pPr>
        <w:pStyle w:val="ListParagraph"/>
        <w:numPr>
          <w:ilvl w:val="0"/>
          <w:numId w:val="3"/>
        </w:numPr>
        <w:rPr>
          <w:b/>
          <w:bCs/>
          <w:lang w:val="en-US"/>
        </w:rPr>
      </w:pPr>
      <w:r w:rsidRPr="009A5616">
        <w:rPr>
          <w:b/>
          <w:bCs/>
          <w:lang w:val="en-US"/>
        </w:rPr>
        <w:t>Guardian</w:t>
      </w:r>
    </w:p>
    <w:p w14:paraId="7295B4E2" w14:textId="77B8EBCA" w:rsidR="00256D78" w:rsidRDefault="00256D78" w:rsidP="00256D78">
      <w:pPr>
        <w:pStyle w:val="ListParagraph"/>
        <w:rPr>
          <w:i/>
          <w:iCs/>
          <w:lang w:val="en-US"/>
        </w:rPr>
      </w:pPr>
    </w:p>
    <w:p w14:paraId="67144855" w14:textId="77777777" w:rsidR="009A5616" w:rsidRPr="009A5616" w:rsidRDefault="009A5616" w:rsidP="009A5616">
      <w:pPr>
        <w:pStyle w:val="ListParagraph"/>
        <w:rPr>
          <w:i/>
          <w:iCs/>
          <w:lang w:val="en-US"/>
        </w:rPr>
      </w:pPr>
      <w:r w:rsidRPr="009A5616">
        <w:rPr>
          <w:i/>
          <w:iCs/>
          <w:lang w:val="en-US"/>
        </w:rPr>
        <w:t>1. There is a legal guardian if the prospective subject cannot give informed consent (Guidelines 16 and 17).</w:t>
      </w:r>
    </w:p>
    <w:p w14:paraId="1027D354" w14:textId="77777777" w:rsidR="009A5616" w:rsidRPr="009A5616" w:rsidRDefault="009A5616" w:rsidP="009A5616">
      <w:pPr>
        <w:pStyle w:val="ListParagraph"/>
        <w:rPr>
          <w:i/>
          <w:iCs/>
          <w:lang w:val="en-US"/>
        </w:rPr>
      </w:pPr>
    </w:p>
    <w:p w14:paraId="62E2E6F3" w14:textId="77777777" w:rsidR="009A5616" w:rsidRPr="009A5616" w:rsidRDefault="009A5616" w:rsidP="009A5616">
      <w:pPr>
        <w:pStyle w:val="ListParagraph"/>
        <w:rPr>
          <w:i/>
          <w:iCs/>
          <w:lang w:val="en-US"/>
        </w:rPr>
      </w:pPr>
      <w:r w:rsidRPr="009A5616">
        <w:rPr>
          <w:i/>
          <w:iCs/>
          <w:lang w:val="en-US"/>
        </w:rPr>
        <w:t>Parents/Guardians act as parties who provide informed consent</w:t>
      </w:r>
    </w:p>
    <w:p w14:paraId="35C2E347" w14:textId="77777777" w:rsidR="009A5616" w:rsidRPr="009A5616" w:rsidRDefault="009A5616" w:rsidP="009A5616">
      <w:pPr>
        <w:pStyle w:val="ListParagraph"/>
        <w:rPr>
          <w:i/>
          <w:iCs/>
          <w:lang w:val="en-US"/>
        </w:rPr>
      </w:pPr>
    </w:p>
    <w:p w14:paraId="1095DCF5" w14:textId="77777777" w:rsidR="009A5616" w:rsidRPr="009A5616" w:rsidRDefault="009A5616" w:rsidP="009A5616">
      <w:pPr>
        <w:pStyle w:val="ListParagraph"/>
        <w:rPr>
          <w:i/>
          <w:iCs/>
          <w:lang w:val="en-US"/>
        </w:rPr>
      </w:pPr>
    </w:p>
    <w:p w14:paraId="604A6564" w14:textId="61B7D09E" w:rsidR="009A5616" w:rsidRDefault="009A5616" w:rsidP="009A5616">
      <w:pPr>
        <w:pStyle w:val="ListParagraph"/>
        <w:rPr>
          <w:i/>
          <w:iCs/>
          <w:lang w:val="en-US"/>
        </w:rPr>
      </w:pPr>
      <w:r w:rsidRPr="009A5616">
        <w:rPr>
          <w:i/>
          <w:iCs/>
          <w:lang w:val="en-US"/>
        </w:rPr>
        <w:t>2. There is a parent or guardian who has the right if the child understands about informed consent but is not old enough (Guidelines 16 and 17)</w:t>
      </w:r>
    </w:p>
    <w:p w14:paraId="63CB3B20" w14:textId="77777777" w:rsidR="009A5616" w:rsidRPr="009A5616" w:rsidRDefault="009A5616" w:rsidP="009A5616">
      <w:pPr>
        <w:pStyle w:val="ListParagraph"/>
        <w:rPr>
          <w:i/>
          <w:iCs/>
          <w:lang w:val="en-US"/>
        </w:rPr>
      </w:pPr>
    </w:p>
    <w:p w14:paraId="0C3A8DA9" w14:textId="778C92B0" w:rsidR="009A5616" w:rsidRDefault="009A5616" w:rsidP="009A5616">
      <w:pPr>
        <w:pStyle w:val="ListParagraph"/>
        <w:rPr>
          <w:i/>
          <w:iCs/>
          <w:lang w:val="en-US"/>
        </w:rPr>
      </w:pPr>
      <w:r w:rsidRPr="009A5616">
        <w:rPr>
          <w:i/>
          <w:iCs/>
          <w:lang w:val="en-US"/>
        </w:rPr>
        <w:t>Irrelevant</w:t>
      </w:r>
    </w:p>
    <w:p w14:paraId="66E45C5A" w14:textId="77777777" w:rsidR="009A5616" w:rsidRPr="00732022" w:rsidRDefault="009A5616" w:rsidP="009A5616">
      <w:pPr>
        <w:pStyle w:val="ListParagraph"/>
        <w:rPr>
          <w:i/>
          <w:iCs/>
          <w:lang w:val="en-US"/>
        </w:rPr>
      </w:pPr>
    </w:p>
    <w:p w14:paraId="1733CAF6" w14:textId="6418A4C6" w:rsidR="00732022" w:rsidRPr="00256D78" w:rsidRDefault="00256D78" w:rsidP="00402398">
      <w:pPr>
        <w:pStyle w:val="ListParagraph"/>
        <w:numPr>
          <w:ilvl w:val="0"/>
          <w:numId w:val="3"/>
        </w:numPr>
        <w:rPr>
          <w:b/>
          <w:bCs/>
          <w:i/>
          <w:iCs/>
          <w:lang w:val="en-US"/>
        </w:rPr>
      </w:pPr>
      <w:r w:rsidRPr="00256D78">
        <w:rPr>
          <w:b/>
          <w:bCs/>
          <w:lang w:val="en-US"/>
        </w:rPr>
        <w:t>Persuasion</w:t>
      </w:r>
    </w:p>
    <w:p w14:paraId="08B000C2" w14:textId="744942C0" w:rsidR="00DB6EFA" w:rsidRDefault="00DB6EFA" w:rsidP="00DB6EFA">
      <w:pPr>
        <w:pStyle w:val="ListParagraph"/>
        <w:rPr>
          <w:i/>
          <w:iCs/>
          <w:lang w:val="en-US"/>
        </w:rPr>
      </w:pPr>
    </w:p>
    <w:p w14:paraId="358078CD" w14:textId="3784ECA2" w:rsidR="00256D78" w:rsidRPr="00256D78" w:rsidRDefault="00256D78" w:rsidP="00256D78">
      <w:pPr>
        <w:pStyle w:val="ListParagraph"/>
        <w:rPr>
          <w:i/>
          <w:iCs/>
          <w:lang w:val="en-US"/>
        </w:rPr>
      </w:pPr>
      <w:r w:rsidRPr="00256D78">
        <w:rPr>
          <w:i/>
          <w:iCs/>
          <w:lang w:val="en-US"/>
        </w:rPr>
        <w:t xml:space="preserve">1. Description of the </w:t>
      </w:r>
      <w:r>
        <w:rPr>
          <w:i/>
          <w:iCs/>
          <w:lang w:val="en-US"/>
        </w:rPr>
        <w:t>Persuasion</w:t>
      </w:r>
      <w:r w:rsidRPr="00256D78">
        <w:rPr>
          <w:i/>
          <w:iCs/>
          <w:lang w:val="en-US"/>
        </w:rPr>
        <w:t xml:space="preserve"> or incentive to the prospective subject to participate, such as money, gifts, free services, or others (p32)</w:t>
      </w:r>
    </w:p>
    <w:p w14:paraId="1CA728BE" w14:textId="77777777" w:rsidR="00256D78" w:rsidRPr="00256D78" w:rsidRDefault="00256D78" w:rsidP="00256D78">
      <w:pPr>
        <w:pStyle w:val="ListParagraph"/>
        <w:rPr>
          <w:i/>
          <w:iCs/>
          <w:lang w:val="en-US"/>
        </w:rPr>
      </w:pPr>
    </w:p>
    <w:p w14:paraId="53D2B373" w14:textId="1DABB290" w:rsidR="00256D78" w:rsidRPr="00256D78" w:rsidRDefault="00256D78" w:rsidP="00256D78">
      <w:pPr>
        <w:pStyle w:val="ListParagraph"/>
        <w:rPr>
          <w:i/>
          <w:iCs/>
          <w:lang w:val="en-US"/>
        </w:rPr>
      </w:pPr>
      <w:r w:rsidRPr="00256D78">
        <w:rPr>
          <w:i/>
          <w:iCs/>
          <w:lang w:val="en-US"/>
        </w:rPr>
        <w:t>Subjects will receive</w:t>
      </w:r>
      <w:r>
        <w:rPr>
          <w:i/>
          <w:iCs/>
          <w:lang w:val="en-US"/>
        </w:rPr>
        <w:t xml:space="preserve"> the FSMP</w:t>
      </w:r>
      <w:r w:rsidRPr="00256D78">
        <w:rPr>
          <w:i/>
          <w:iCs/>
          <w:lang w:val="en-US"/>
        </w:rPr>
        <w:t xml:space="preserve"> milk to be consumed during the study (3 months or 90 days). The amount of </w:t>
      </w:r>
      <w:r>
        <w:rPr>
          <w:i/>
          <w:iCs/>
          <w:lang w:val="en-US"/>
        </w:rPr>
        <w:t xml:space="preserve">FSMP </w:t>
      </w:r>
      <w:r w:rsidRPr="00256D78">
        <w:rPr>
          <w:i/>
          <w:iCs/>
          <w:lang w:val="en-US"/>
        </w:rPr>
        <w:t xml:space="preserve">milk given in the first 14 days was 4 cans, given as much as 400 ml/day. On the second 14th day, another 4 cans were given. After the 29th day, 8 cans of </w:t>
      </w:r>
      <w:r>
        <w:rPr>
          <w:i/>
          <w:iCs/>
          <w:lang w:val="en-US"/>
        </w:rPr>
        <w:t xml:space="preserve">FSMP </w:t>
      </w:r>
      <w:r w:rsidRPr="00256D78">
        <w:rPr>
          <w:i/>
          <w:iCs/>
          <w:lang w:val="en-US"/>
        </w:rPr>
        <w:t>milk were given for consumption for 1 month.</w:t>
      </w:r>
    </w:p>
    <w:p w14:paraId="553B25FB" w14:textId="77777777" w:rsidR="00256D78" w:rsidRPr="00256D78" w:rsidRDefault="00256D78" w:rsidP="00256D78">
      <w:pPr>
        <w:pStyle w:val="ListParagraph"/>
        <w:rPr>
          <w:i/>
          <w:iCs/>
          <w:lang w:val="en-US"/>
        </w:rPr>
      </w:pPr>
    </w:p>
    <w:p w14:paraId="592CFAE7" w14:textId="77777777" w:rsidR="00256D78" w:rsidRPr="00256D78" w:rsidRDefault="00256D78" w:rsidP="00256D78">
      <w:pPr>
        <w:pStyle w:val="ListParagraph"/>
        <w:rPr>
          <w:i/>
          <w:iCs/>
          <w:lang w:val="en-US"/>
        </w:rPr>
      </w:pPr>
      <w:r w:rsidRPr="00256D78">
        <w:rPr>
          <w:i/>
          <w:iCs/>
          <w:lang w:val="en-US"/>
        </w:rPr>
        <w:t>2. Plans and procedures, and the person responsible for informing the participants of the harm or benefit, or about other research on the same topic, which may affect the subject's continued involvement in the research (Guideline 9) (p33)</w:t>
      </w:r>
    </w:p>
    <w:p w14:paraId="2DA25F43" w14:textId="77777777" w:rsidR="00256D78" w:rsidRPr="00256D78" w:rsidRDefault="00256D78" w:rsidP="00256D78">
      <w:pPr>
        <w:pStyle w:val="ListParagraph"/>
        <w:rPr>
          <w:i/>
          <w:iCs/>
          <w:lang w:val="en-US"/>
        </w:rPr>
      </w:pPr>
    </w:p>
    <w:p w14:paraId="492D6408" w14:textId="77777777" w:rsidR="00256D78" w:rsidRPr="00256D78" w:rsidRDefault="00256D78" w:rsidP="00256D78">
      <w:pPr>
        <w:pStyle w:val="ListParagraph"/>
        <w:rPr>
          <w:i/>
          <w:iCs/>
          <w:lang w:val="en-US"/>
        </w:rPr>
      </w:pPr>
      <w:r w:rsidRPr="00256D78">
        <w:rPr>
          <w:i/>
          <w:iCs/>
          <w:lang w:val="en-US"/>
        </w:rPr>
        <w:t>Researchers exchanged contacts with parents. So that when side effects occur (nausea, vomiting, diarrhea) researchers can quickly approach the subject.</w:t>
      </w:r>
    </w:p>
    <w:p w14:paraId="6D6366D0" w14:textId="77777777" w:rsidR="00256D78" w:rsidRPr="00256D78" w:rsidRDefault="00256D78" w:rsidP="00256D78">
      <w:pPr>
        <w:pStyle w:val="ListParagraph"/>
        <w:rPr>
          <w:i/>
          <w:iCs/>
          <w:lang w:val="en-US"/>
        </w:rPr>
      </w:pPr>
    </w:p>
    <w:p w14:paraId="196C2696" w14:textId="77777777" w:rsidR="00256D78" w:rsidRPr="00256D78" w:rsidRDefault="00256D78" w:rsidP="00256D78">
      <w:pPr>
        <w:pStyle w:val="ListParagraph"/>
        <w:rPr>
          <w:i/>
          <w:iCs/>
          <w:lang w:val="en-US"/>
        </w:rPr>
      </w:pPr>
      <w:r w:rsidRPr="00256D78">
        <w:rPr>
          <w:i/>
          <w:iCs/>
          <w:lang w:val="en-US"/>
        </w:rPr>
        <w:t>3. Planning to inform research results to subjects or participants (p34)</w:t>
      </w:r>
    </w:p>
    <w:p w14:paraId="6511070E" w14:textId="77777777" w:rsidR="00256D78" w:rsidRPr="00256D78" w:rsidRDefault="00256D78" w:rsidP="00256D78">
      <w:pPr>
        <w:pStyle w:val="ListParagraph"/>
        <w:rPr>
          <w:i/>
          <w:iCs/>
          <w:lang w:val="en-US"/>
        </w:rPr>
      </w:pPr>
    </w:p>
    <w:p w14:paraId="3992BB4F" w14:textId="5EEE08F1" w:rsidR="00256D78" w:rsidRDefault="00256D78" w:rsidP="00256D78">
      <w:pPr>
        <w:pStyle w:val="ListParagraph"/>
        <w:rPr>
          <w:i/>
          <w:iCs/>
          <w:lang w:val="en-US"/>
        </w:rPr>
      </w:pPr>
      <w:r w:rsidRPr="00256D78">
        <w:rPr>
          <w:i/>
          <w:iCs/>
          <w:lang w:val="en-US"/>
        </w:rPr>
        <w:t>After the laboratory results come out, the researcher will provide laboratory results and anthropometric results (as growth indicators) to the subject's parents.</w:t>
      </w:r>
    </w:p>
    <w:p w14:paraId="6CD9DC17" w14:textId="52539359" w:rsidR="00256D78" w:rsidRPr="00732022" w:rsidRDefault="00256D78" w:rsidP="00256D78">
      <w:pPr>
        <w:pStyle w:val="ListParagraph"/>
        <w:rPr>
          <w:i/>
          <w:iCs/>
          <w:lang w:val="en-US"/>
        </w:rPr>
      </w:pPr>
    </w:p>
    <w:p w14:paraId="2FA6C4D4" w14:textId="051B19B8" w:rsidR="00732022" w:rsidRPr="0082147E" w:rsidRDefault="0082147E" w:rsidP="00402398">
      <w:pPr>
        <w:pStyle w:val="ListParagraph"/>
        <w:numPr>
          <w:ilvl w:val="0"/>
          <w:numId w:val="3"/>
        </w:numPr>
        <w:rPr>
          <w:b/>
          <w:bCs/>
          <w:i/>
          <w:iCs/>
          <w:lang w:val="en-US"/>
        </w:rPr>
      </w:pPr>
      <w:r w:rsidRPr="0082147E">
        <w:rPr>
          <w:b/>
          <w:bCs/>
          <w:lang w:val="en-US"/>
        </w:rPr>
        <w:t>Confidentiality</w:t>
      </w:r>
    </w:p>
    <w:p w14:paraId="7BB6559F" w14:textId="1CFFB44B" w:rsidR="0082147E" w:rsidRDefault="0082147E" w:rsidP="0082147E">
      <w:pPr>
        <w:pStyle w:val="ListParagraph"/>
        <w:rPr>
          <w:lang w:val="en-US"/>
        </w:rPr>
      </w:pPr>
    </w:p>
    <w:p w14:paraId="360B216B" w14:textId="415A1099" w:rsidR="0082147E" w:rsidRDefault="0082147E" w:rsidP="0082147E">
      <w:pPr>
        <w:pStyle w:val="ListParagraph"/>
        <w:numPr>
          <w:ilvl w:val="0"/>
          <w:numId w:val="18"/>
        </w:numPr>
        <w:rPr>
          <w:i/>
          <w:iCs/>
          <w:lang w:val="en-US"/>
        </w:rPr>
      </w:pPr>
      <w:r w:rsidRPr="0082147E">
        <w:rPr>
          <w:i/>
          <w:iCs/>
          <w:lang w:val="en-US"/>
        </w:rPr>
        <w:t>The recruitment process (</w:t>
      </w:r>
      <w:proofErr w:type="spellStart"/>
      <w:proofErr w:type="gramStart"/>
      <w:r w:rsidRPr="0082147E">
        <w:rPr>
          <w:i/>
          <w:iCs/>
          <w:lang w:val="en-US"/>
        </w:rPr>
        <w:t>eg</w:t>
      </w:r>
      <w:proofErr w:type="spellEnd"/>
      <w:proofErr w:type="gramEnd"/>
      <w:r w:rsidRPr="0082147E">
        <w:rPr>
          <w:i/>
          <w:iCs/>
          <w:lang w:val="en-US"/>
        </w:rPr>
        <w:t xml:space="preserve"> through advertising), as well as steps to maintain privacy and confidentiality during recruitment (Guideline 3) (p16)</w:t>
      </w:r>
    </w:p>
    <w:p w14:paraId="367F011A" w14:textId="77777777" w:rsidR="0082147E" w:rsidRPr="0082147E" w:rsidRDefault="0082147E" w:rsidP="0082147E">
      <w:pPr>
        <w:pStyle w:val="ListParagraph"/>
        <w:ind w:left="1080"/>
        <w:rPr>
          <w:i/>
          <w:iCs/>
          <w:lang w:val="en-US"/>
        </w:rPr>
      </w:pPr>
    </w:p>
    <w:p w14:paraId="640DE10F" w14:textId="77777777" w:rsidR="0082147E" w:rsidRPr="0082147E" w:rsidRDefault="0082147E" w:rsidP="0082147E">
      <w:pPr>
        <w:pStyle w:val="ListParagraph"/>
        <w:rPr>
          <w:i/>
          <w:iCs/>
          <w:lang w:val="en-US"/>
        </w:rPr>
      </w:pPr>
      <w:r w:rsidRPr="0082147E">
        <w:rPr>
          <w:i/>
          <w:iCs/>
          <w:lang w:val="en-US"/>
        </w:rPr>
        <w:t>Presentation on this research and its benefits.</w:t>
      </w:r>
    </w:p>
    <w:p w14:paraId="037FD877" w14:textId="1F0412FD" w:rsidR="0082147E" w:rsidRPr="0082147E" w:rsidRDefault="0082147E" w:rsidP="0082147E">
      <w:pPr>
        <w:pStyle w:val="ListParagraph"/>
        <w:rPr>
          <w:i/>
          <w:iCs/>
          <w:lang w:val="en-US"/>
        </w:rPr>
      </w:pPr>
      <w:r w:rsidRPr="0082147E">
        <w:rPr>
          <w:i/>
          <w:iCs/>
          <w:lang w:val="en-US"/>
        </w:rPr>
        <w:t xml:space="preserve">Recording is done using the </w:t>
      </w:r>
      <w:r w:rsidR="00DB6EFA">
        <w:rPr>
          <w:i/>
          <w:iCs/>
          <w:lang w:val="en-US"/>
        </w:rPr>
        <w:t>CRF</w:t>
      </w:r>
      <w:r w:rsidRPr="0082147E">
        <w:rPr>
          <w:i/>
          <w:iCs/>
          <w:lang w:val="en-US"/>
        </w:rPr>
        <w:t xml:space="preserve"> that has been provided, which is then stored in a special drawer that is locked specifically for research in the Division of Nutrition and Metabolic Diseases</w:t>
      </w:r>
      <w:r w:rsidR="00751DF0">
        <w:rPr>
          <w:i/>
          <w:iCs/>
          <w:lang w:val="en-US"/>
        </w:rPr>
        <w:t xml:space="preserve"> (NMD)</w:t>
      </w:r>
      <w:r w:rsidR="00DB6EFA">
        <w:rPr>
          <w:i/>
          <w:iCs/>
          <w:lang w:val="en-US"/>
        </w:rPr>
        <w:t xml:space="preserve"> in</w:t>
      </w:r>
      <w:r w:rsidRPr="0082147E">
        <w:rPr>
          <w:i/>
          <w:iCs/>
          <w:lang w:val="en-US"/>
        </w:rPr>
        <w:t xml:space="preserve"> Child Health</w:t>
      </w:r>
      <w:r w:rsidR="00DB6EFA">
        <w:rPr>
          <w:i/>
          <w:iCs/>
          <w:lang w:val="en-US"/>
        </w:rPr>
        <w:t xml:space="preserve"> Department</w:t>
      </w:r>
      <w:r w:rsidRPr="0082147E">
        <w:rPr>
          <w:i/>
          <w:iCs/>
          <w:lang w:val="en-US"/>
        </w:rPr>
        <w:t xml:space="preserve"> up to 5 years. Access to data can only be done by researchers. The drawer keys are held by the secretary of the Division of Nutrition and Metabolic Disease</w:t>
      </w:r>
      <w:r w:rsidR="00DB6EFA">
        <w:rPr>
          <w:i/>
          <w:iCs/>
          <w:lang w:val="en-US"/>
        </w:rPr>
        <w:t>.</w:t>
      </w:r>
    </w:p>
    <w:p w14:paraId="5AA002CE" w14:textId="77777777" w:rsidR="0082147E" w:rsidRPr="0082147E" w:rsidRDefault="0082147E" w:rsidP="0082147E">
      <w:pPr>
        <w:pStyle w:val="ListParagraph"/>
        <w:rPr>
          <w:i/>
          <w:iCs/>
          <w:lang w:val="en-US"/>
        </w:rPr>
      </w:pPr>
    </w:p>
    <w:p w14:paraId="47986DCE" w14:textId="06B89FFE" w:rsidR="0082147E" w:rsidRDefault="0082147E" w:rsidP="00751DF0">
      <w:pPr>
        <w:pStyle w:val="ListParagraph"/>
        <w:numPr>
          <w:ilvl w:val="0"/>
          <w:numId w:val="18"/>
        </w:numPr>
        <w:rPr>
          <w:i/>
          <w:iCs/>
          <w:lang w:val="en-US"/>
        </w:rPr>
      </w:pPr>
      <w:r w:rsidRPr="0082147E">
        <w:rPr>
          <w:i/>
          <w:iCs/>
          <w:lang w:val="en-US"/>
        </w:rPr>
        <w:t>Steps to protect the confidentiality of personal data, and respect for people's privacy, including precautions to prevent the secret of genetic test results from being leaked to families except with the permission of the person concerned (Guidelines 4, 11, 12 and 24) (p 35)</w:t>
      </w:r>
    </w:p>
    <w:p w14:paraId="62483225" w14:textId="77777777" w:rsidR="00751DF0" w:rsidRPr="0082147E" w:rsidRDefault="00751DF0" w:rsidP="00751DF0">
      <w:pPr>
        <w:pStyle w:val="ListParagraph"/>
        <w:ind w:left="1080"/>
        <w:rPr>
          <w:i/>
          <w:iCs/>
          <w:lang w:val="en-US"/>
        </w:rPr>
      </w:pPr>
    </w:p>
    <w:p w14:paraId="3DB950ED" w14:textId="6E059A31" w:rsidR="0082147E" w:rsidRPr="0082147E" w:rsidRDefault="0082147E" w:rsidP="0082147E">
      <w:pPr>
        <w:pStyle w:val="ListParagraph"/>
        <w:rPr>
          <w:i/>
          <w:iCs/>
          <w:lang w:val="en-US"/>
        </w:rPr>
      </w:pPr>
      <w:r w:rsidRPr="0082147E">
        <w:rPr>
          <w:i/>
          <w:iCs/>
          <w:lang w:val="en-US"/>
        </w:rPr>
        <w:t xml:space="preserve">Data is collected in </w:t>
      </w:r>
      <w:r w:rsidR="00751DF0">
        <w:rPr>
          <w:i/>
          <w:iCs/>
          <w:lang w:val="en-US"/>
        </w:rPr>
        <w:t>CRF</w:t>
      </w:r>
      <w:r w:rsidRPr="0082147E">
        <w:rPr>
          <w:i/>
          <w:iCs/>
          <w:lang w:val="en-US"/>
        </w:rPr>
        <w:t xml:space="preserve">, stored in a special research </w:t>
      </w:r>
      <w:proofErr w:type="spellStart"/>
      <w:r w:rsidRPr="0082147E">
        <w:rPr>
          <w:i/>
          <w:iCs/>
          <w:lang w:val="en-US"/>
        </w:rPr>
        <w:t>bantex</w:t>
      </w:r>
      <w:proofErr w:type="spellEnd"/>
      <w:r w:rsidR="00751DF0">
        <w:rPr>
          <w:i/>
          <w:iCs/>
          <w:lang w:val="en-US"/>
        </w:rPr>
        <w:t xml:space="preserve"> folder</w:t>
      </w:r>
      <w:r w:rsidRPr="0082147E">
        <w:rPr>
          <w:i/>
          <w:iCs/>
          <w:lang w:val="en-US"/>
        </w:rPr>
        <w:t xml:space="preserve">. Furthermore, it is stored in a locked drawer in the </w:t>
      </w:r>
      <w:r w:rsidR="00751DF0">
        <w:rPr>
          <w:i/>
          <w:iCs/>
          <w:lang w:val="en-US"/>
        </w:rPr>
        <w:t xml:space="preserve">division of NMD in </w:t>
      </w:r>
      <w:r w:rsidRPr="0082147E">
        <w:rPr>
          <w:i/>
          <w:iCs/>
          <w:lang w:val="en-US"/>
        </w:rPr>
        <w:t xml:space="preserve">Child Health </w:t>
      </w:r>
      <w:r w:rsidR="00751DF0">
        <w:rPr>
          <w:i/>
          <w:iCs/>
          <w:lang w:val="en-US"/>
        </w:rPr>
        <w:t>Department</w:t>
      </w:r>
      <w:r w:rsidRPr="0082147E">
        <w:rPr>
          <w:i/>
          <w:iCs/>
          <w:lang w:val="en-US"/>
        </w:rPr>
        <w:t>. Access to data can only be done by researchers. The drawer keys are held by the Division secretary.</w:t>
      </w:r>
    </w:p>
    <w:p w14:paraId="09626CD1" w14:textId="77777777" w:rsidR="0082147E" w:rsidRPr="0082147E" w:rsidRDefault="0082147E" w:rsidP="0082147E">
      <w:pPr>
        <w:pStyle w:val="ListParagraph"/>
        <w:rPr>
          <w:i/>
          <w:iCs/>
          <w:lang w:val="en-US"/>
        </w:rPr>
      </w:pPr>
    </w:p>
    <w:p w14:paraId="1FF543CD" w14:textId="7F8A2538" w:rsidR="0082147E" w:rsidRDefault="0082147E" w:rsidP="00751DF0">
      <w:pPr>
        <w:pStyle w:val="ListParagraph"/>
        <w:numPr>
          <w:ilvl w:val="0"/>
          <w:numId w:val="18"/>
        </w:numPr>
        <w:rPr>
          <w:i/>
          <w:iCs/>
          <w:lang w:val="en-US"/>
        </w:rPr>
      </w:pPr>
      <w:r w:rsidRPr="0082147E">
        <w:rPr>
          <w:i/>
          <w:iCs/>
          <w:lang w:val="en-US"/>
        </w:rPr>
        <w:t>Information about how to code; if any, subject identification is made, where it is stored and when, how and by whom it can be opened in the event of an emergency (Guidelines 11 and 12) (p36).</w:t>
      </w:r>
    </w:p>
    <w:p w14:paraId="3C937206" w14:textId="77777777" w:rsidR="00751DF0" w:rsidRPr="0082147E" w:rsidRDefault="00751DF0" w:rsidP="00751DF0">
      <w:pPr>
        <w:pStyle w:val="ListParagraph"/>
        <w:ind w:left="1080"/>
        <w:rPr>
          <w:i/>
          <w:iCs/>
          <w:lang w:val="en-US"/>
        </w:rPr>
      </w:pPr>
    </w:p>
    <w:p w14:paraId="18B45AB8" w14:textId="73E0CBC4" w:rsidR="0082147E" w:rsidRPr="00AB06BA" w:rsidRDefault="0082147E" w:rsidP="0082147E">
      <w:pPr>
        <w:pStyle w:val="ListParagraph"/>
        <w:rPr>
          <w:i/>
          <w:iCs/>
          <w:lang w:val="en-US"/>
        </w:rPr>
      </w:pPr>
      <w:r w:rsidRPr="0082147E">
        <w:rPr>
          <w:i/>
          <w:iCs/>
          <w:lang w:val="en-US"/>
        </w:rPr>
        <w:t xml:space="preserve">When a record is made at the </w:t>
      </w:r>
      <w:r w:rsidR="00751DF0">
        <w:rPr>
          <w:i/>
          <w:iCs/>
          <w:lang w:val="en-US"/>
        </w:rPr>
        <w:t>CRF</w:t>
      </w:r>
      <w:r w:rsidRPr="0082147E">
        <w:rPr>
          <w:i/>
          <w:iCs/>
          <w:lang w:val="en-US"/>
        </w:rPr>
        <w:t xml:space="preserve">, the name, address and contact number are still written down. However, in the input to statistical software, the initials of the patient's name (code number 1-80) are used for confidentiality. The data is displayed in the form of mean </w:t>
      </w:r>
      <w:r w:rsidRPr="00751DF0">
        <w:rPr>
          <w:i/>
          <w:iCs/>
          <w:u w:val="single"/>
          <w:lang w:val="en-US"/>
        </w:rPr>
        <w:t>+</w:t>
      </w:r>
      <w:r w:rsidRPr="0082147E">
        <w:rPr>
          <w:i/>
          <w:iCs/>
          <w:lang w:val="en-US"/>
        </w:rPr>
        <w:t xml:space="preserve"> SD in the </w:t>
      </w:r>
      <w:r w:rsidR="004C776E">
        <w:rPr>
          <w:i/>
          <w:iCs/>
          <w:lang w:val="en-US"/>
        </w:rPr>
        <w:t xml:space="preserve">provided </w:t>
      </w:r>
      <w:r w:rsidRPr="0082147E">
        <w:rPr>
          <w:i/>
          <w:iCs/>
          <w:lang w:val="en-US"/>
        </w:rPr>
        <w:t>table</w:t>
      </w:r>
      <w:r w:rsidR="004C776E">
        <w:rPr>
          <w:i/>
          <w:iCs/>
          <w:lang w:val="en-US"/>
        </w:rPr>
        <w:t>.</w:t>
      </w:r>
    </w:p>
    <w:p w14:paraId="0D57A9EA" w14:textId="77777777" w:rsidR="00AB06BA" w:rsidRPr="00732022" w:rsidRDefault="00AB06BA" w:rsidP="00AB06BA">
      <w:pPr>
        <w:pStyle w:val="ListParagraph"/>
        <w:rPr>
          <w:i/>
          <w:iCs/>
          <w:lang w:val="en-US"/>
        </w:rPr>
      </w:pPr>
    </w:p>
    <w:p w14:paraId="11AFE2D8" w14:textId="28B43DE7" w:rsidR="00732022" w:rsidRPr="00AB06BA" w:rsidRDefault="00AB06BA" w:rsidP="00402398">
      <w:pPr>
        <w:pStyle w:val="ListParagraph"/>
        <w:numPr>
          <w:ilvl w:val="0"/>
          <w:numId w:val="3"/>
        </w:numPr>
        <w:rPr>
          <w:b/>
          <w:bCs/>
          <w:i/>
          <w:iCs/>
          <w:lang w:val="en-US"/>
        </w:rPr>
      </w:pPr>
      <w:r w:rsidRPr="00AB06BA">
        <w:rPr>
          <w:b/>
          <w:bCs/>
          <w:lang w:val="en-US"/>
        </w:rPr>
        <w:t>Possibility of further use of personal data or biological material (p37)</w:t>
      </w:r>
    </w:p>
    <w:p w14:paraId="7A103685" w14:textId="66B6F355" w:rsidR="00AB06BA" w:rsidRDefault="00AB06BA" w:rsidP="00AB06BA">
      <w:pPr>
        <w:pStyle w:val="ListParagraph"/>
        <w:rPr>
          <w:i/>
          <w:iCs/>
          <w:lang w:val="en-US"/>
        </w:rPr>
      </w:pPr>
    </w:p>
    <w:p w14:paraId="13A1EFEE" w14:textId="422AE792" w:rsidR="00AB06BA" w:rsidRDefault="00AB06BA" w:rsidP="00AB06BA">
      <w:pPr>
        <w:pStyle w:val="ListParagraph"/>
        <w:rPr>
          <w:i/>
          <w:iCs/>
          <w:lang w:val="en-US"/>
        </w:rPr>
      </w:pPr>
      <w:r>
        <w:rPr>
          <w:i/>
          <w:iCs/>
          <w:lang w:val="en-US"/>
        </w:rPr>
        <w:t>Irrelevant</w:t>
      </w:r>
    </w:p>
    <w:p w14:paraId="302AAF01" w14:textId="77777777" w:rsidR="00AB06BA" w:rsidRPr="00732022" w:rsidRDefault="00AB06BA" w:rsidP="00AB06BA">
      <w:pPr>
        <w:pStyle w:val="ListParagraph"/>
        <w:rPr>
          <w:i/>
          <w:iCs/>
          <w:lang w:val="en-US"/>
        </w:rPr>
      </w:pPr>
    </w:p>
    <w:p w14:paraId="2A58EFFF" w14:textId="40E1273A" w:rsidR="00732022" w:rsidRPr="00544FE7" w:rsidRDefault="00544FE7" w:rsidP="00402398">
      <w:pPr>
        <w:pStyle w:val="ListParagraph"/>
        <w:numPr>
          <w:ilvl w:val="0"/>
          <w:numId w:val="3"/>
        </w:numPr>
        <w:rPr>
          <w:b/>
          <w:bCs/>
          <w:i/>
          <w:iCs/>
          <w:lang w:val="en-US"/>
        </w:rPr>
      </w:pPr>
      <w:r w:rsidRPr="00544FE7">
        <w:rPr>
          <w:b/>
          <w:bCs/>
          <w:lang w:val="en-US"/>
        </w:rPr>
        <w:t>Analytical Plan</w:t>
      </w:r>
    </w:p>
    <w:p w14:paraId="5055F792" w14:textId="18AAAAD3" w:rsidR="00544FE7" w:rsidRDefault="00544FE7" w:rsidP="00544FE7">
      <w:pPr>
        <w:pStyle w:val="ListParagraph"/>
        <w:rPr>
          <w:i/>
          <w:iCs/>
          <w:lang w:val="en-US"/>
        </w:rPr>
      </w:pPr>
    </w:p>
    <w:p w14:paraId="617A962E" w14:textId="77777777" w:rsidR="00544FE7" w:rsidRPr="00544FE7" w:rsidRDefault="00544FE7" w:rsidP="00544FE7">
      <w:pPr>
        <w:pStyle w:val="ListParagraph"/>
        <w:rPr>
          <w:i/>
          <w:iCs/>
          <w:lang w:val="en-US"/>
        </w:rPr>
      </w:pPr>
      <w:r w:rsidRPr="00544FE7">
        <w:rPr>
          <w:i/>
          <w:iCs/>
          <w:lang w:val="en-US"/>
        </w:rPr>
        <w:t>1. A description of the statistical analysis plan, including the interim analysis plan if necessary, and the criteria if or under what conditions premature termination of the entire study will occur (Guideline 4) (</w:t>
      </w:r>
      <w:proofErr w:type="gramStart"/>
      <w:r w:rsidRPr="00544FE7">
        <w:rPr>
          <w:i/>
          <w:iCs/>
          <w:lang w:val="en-US"/>
        </w:rPr>
        <w:t>B,S</w:t>
      </w:r>
      <w:proofErr w:type="gramEnd"/>
      <w:r w:rsidRPr="00544FE7">
        <w:rPr>
          <w:i/>
          <w:iCs/>
          <w:lang w:val="en-US"/>
        </w:rPr>
        <w:t>2)</w:t>
      </w:r>
    </w:p>
    <w:p w14:paraId="464ACE43" w14:textId="77777777" w:rsidR="00AB06BA" w:rsidRDefault="00AB06BA" w:rsidP="00544FE7">
      <w:pPr>
        <w:pStyle w:val="ListParagraph"/>
        <w:rPr>
          <w:i/>
          <w:iCs/>
          <w:lang w:val="en-US"/>
        </w:rPr>
      </w:pPr>
    </w:p>
    <w:p w14:paraId="36E04013" w14:textId="424FC45D" w:rsidR="00544FE7" w:rsidRPr="00544FE7" w:rsidRDefault="00AB06BA" w:rsidP="00AB06BA">
      <w:pPr>
        <w:pStyle w:val="ListParagraph"/>
        <w:ind w:left="1440"/>
        <w:rPr>
          <w:i/>
          <w:iCs/>
          <w:lang w:val="en-US"/>
        </w:rPr>
      </w:pPr>
      <w:r>
        <w:rPr>
          <w:i/>
          <w:iCs/>
          <w:lang w:val="en-US"/>
        </w:rPr>
        <w:t xml:space="preserve">1. </w:t>
      </w:r>
      <w:r w:rsidR="00544FE7" w:rsidRPr="00544FE7">
        <w:rPr>
          <w:i/>
          <w:iCs/>
          <w:lang w:val="en-US"/>
        </w:rPr>
        <w:t xml:space="preserve">Homogeneity and normality tests were performed on the variables of age, </w:t>
      </w:r>
      <w:r>
        <w:rPr>
          <w:i/>
          <w:iCs/>
          <w:lang w:val="en-US"/>
        </w:rPr>
        <w:t xml:space="preserve">body </w:t>
      </w:r>
      <w:r w:rsidR="00544FE7" w:rsidRPr="00544FE7">
        <w:rPr>
          <w:i/>
          <w:iCs/>
          <w:lang w:val="en-US"/>
        </w:rPr>
        <w:t xml:space="preserve">weight (pre- and post-), </w:t>
      </w:r>
      <w:r>
        <w:rPr>
          <w:i/>
          <w:iCs/>
          <w:lang w:val="en-US"/>
        </w:rPr>
        <w:t xml:space="preserve">body </w:t>
      </w:r>
      <w:r w:rsidR="00544FE7" w:rsidRPr="00544FE7">
        <w:rPr>
          <w:i/>
          <w:iCs/>
          <w:lang w:val="en-US"/>
        </w:rPr>
        <w:t>​​height (pre- and post-), ​​head circumference (pre- and post-), ​​total lymphocyte count (pre- and post</w:t>
      </w:r>
      <w:proofErr w:type="gramStart"/>
      <w:r w:rsidR="00544FE7" w:rsidRPr="00544FE7">
        <w:rPr>
          <w:i/>
          <w:iCs/>
          <w:lang w:val="en-US"/>
        </w:rPr>
        <w:t>- )</w:t>
      </w:r>
      <w:proofErr w:type="gramEnd"/>
      <w:r w:rsidR="00544FE7" w:rsidRPr="00544FE7">
        <w:rPr>
          <w:i/>
          <w:iCs/>
          <w:lang w:val="en-US"/>
        </w:rPr>
        <w:t xml:space="preserve"> and IGF-1 (pre- and post-). Data is presented in the form of mean </w:t>
      </w:r>
      <w:r w:rsidR="00544FE7" w:rsidRPr="00AB06BA">
        <w:rPr>
          <w:i/>
          <w:iCs/>
          <w:u w:val="single"/>
          <w:lang w:val="en-US"/>
        </w:rPr>
        <w:t>+</w:t>
      </w:r>
      <w:r w:rsidR="00544FE7" w:rsidRPr="00544FE7">
        <w:rPr>
          <w:i/>
          <w:iCs/>
          <w:lang w:val="en-US"/>
        </w:rPr>
        <w:t xml:space="preserve"> SD. The results of plotting </w:t>
      </w:r>
      <w:r>
        <w:rPr>
          <w:i/>
          <w:iCs/>
          <w:lang w:val="en-US"/>
        </w:rPr>
        <w:t>body weight over age</w:t>
      </w:r>
      <w:r w:rsidR="00544FE7" w:rsidRPr="00544FE7">
        <w:rPr>
          <w:i/>
          <w:iCs/>
          <w:lang w:val="en-US"/>
        </w:rPr>
        <w:t xml:space="preserve">, </w:t>
      </w:r>
      <w:r>
        <w:rPr>
          <w:i/>
          <w:iCs/>
          <w:lang w:val="en-US"/>
        </w:rPr>
        <w:t>Body height of age</w:t>
      </w:r>
      <w:r w:rsidR="00544FE7" w:rsidRPr="00544FE7">
        <w:rPr>
          <w:i/>
          <w:iCs/>
          <w:lang w:val="en-US"/>
        </w:rPr>
        <w:t xml:space="preserve"> and </w:t>
      </w:r>
      <w:r>
        <w:rPr>
          <w:i/>
          <w:iCs/>
          <w:lang w:val="en-US"/>
        </w:rPr>
        <w:t>body weight over body height</w:t>
      </w:r>
      <w:r w:rsidR="00544FE7" w:rsidRPr="00544FE7">
        <w:rPr>
          <w:i/>
          <w:iCs/>
          <w:lang w:val="en-US"/>
        </w:rPr>
        <w:t>, gender, complaints, evaluation of compliance, and side effects of consumption are presented in descriptive form.</w:t>
      </w:r>
    </w:p>
    <w:p w14:paraId="5406D8D1" w14:textId="10EE94A2" w:rsidR="00544FE7" w:rsidRPr="00544FE7" w:rsidRDefault="00544FE7" w:rsidP="00AB06BA">
      <w:pPr>
        <w:pStyle w:val="ListParagraph"/>
        <w:ind w:left="1440"/>
        <w:rPr>
          <w:i/>
          <w:iCs/>
          <w:lang w:val="en-US"/>
        </w:rPr>
      </w:pPr>
      <w:r w:rsidRPr="00544FE7">
        <w:rPr>
          <w:i/>
          <w:iCs/>
          <w:lang w:val="en-US"/>
        </w:rPr>
        <w:lastRenderedPageBreak/>
        <w:t xml:space="preserve">2. Independent T-test for </w:t>
      </w:r>
      <w:r w:rsidR="00AB06BA">
        <w:rPr>
          <w:i/>
          <w:iCs/>
          <w:lang w:val="en-US"/>
        </w:rPr>
        <w:t xml:space="preserve">body </w:t>
      </w:r>
      <w:r w:rsidRPr="00544FE7">
        <w:rPr>
          <w:i/>
          <w:iCs/>
          <w:lang w:val="en-US"/>
        </w:rPr>
        <w:t xml:space="preserve">weight (pre- and post-), </w:t>
      </w:r>
      <w:r w:rsidR="00AB06BA">
        <w:rPr>
          <w:i/>
          <w:iCs/>
          <w:lang w:val="en-US"/>
        </w:rPr>
        <w:t xml:space="preserve">body </w:t>
      </w:r>
      <w:r w:rsidRPr="00544FE7">
        <w:rPr>
          <w:i/>
          <w:iCs/>
          <w:lang w:val="en-US"/>
        </w:rPr>
        <w:t xml:space="preserve">​​height (pre- and post-), ​​head circumference (pre- and post-), ​​total lymphocyte count (pre- and post-) and IGF -1 (pre- and post-) if </w:t>
      </w:r>
      <w:r w:rsidR="00AB06BA">
        <w:rPr>
          <w:i/>
          <w:iCs/>
          <w:lang w:val="en-US"/>
        </w:rPr>
        <w:t xml:space="preserve">data is </w:t>
      </w:r>
      <w:r w:rsidRPr="00544FE7">
        <w:rPr>
          <w:i/>
          <w:iCs/>
          <w:lang w:val="en-US"/>
        </w:rPr>
        <w:t>normal</w:t>
      </w:r>
      <w:r w:rsidR="00AB06BA">
        <w:rPr>
          <w:i/>
          <w:iCs/>
          <w:lang w:val="en-US"/>
        </w:rPr>
        <w:t xml:space="preserve">ly </w:t>
      </w:r>
      <w:r w:rsidRPr="00544FE7">
        <w:rPr>
          <w:i/>
          <w:iCs/>
          <w:lang w:val="en-US"/>
        </w:rPr>
        <w:t>distribut</w:t>
      </w:r>
      <w:r w:rsidR="00AB06BA">
        <w:rPr>
          <w:i/>
          <w:iCs/>
          <w:lang w:val="en-US"/>
        </w:rPr>
        <w:t>ed</w:t>
      </w:r>
      <w:r w:rsidRPr="00544FE7">
        <w:rPr>
          <w:i/>
          <w:iCs/>
          <w:lang w:val="en-US"/>
        </w:rPr>
        <w:t xml:space="preserve"> or </w:t>
      </w:r>
      <w:r w:rsidR="00AB06BA">
        <w:rPr>
          <w:i/>
          <w:iCs/>
          <w:lang w:val="en-US"/>
        </w:rPr>
        <w:t xml:space="preserve">otherwise, </w:t>
      </w:r>
      <w:r w:rsidRPr="00544FE7">
        <w:rPr>
          <w:i/>
          <w:iCs/>
          <w:lang w:val="en-US"/>
        </w:rPr>
        <w:t>Mann-Whitney U-Test.</w:t>
      </w:r>
    </w:p>
    <w:p w14:paraId="25B8A172" w14:textId="06664652" w:rsidR="00544FE7" w:rsidRPr="00544FE7" w:rsidRDefault="00544FE7" w:rsidP="00AB06BA">
      <w:pPr>
        <w:pStyle w:val="ListParagraph"/>
        <w:ind w:left="1440"/>
        <w:rPr>
          <w:i/>
          <w:iCs/>
          <w:lang w:val="en-US"/>
        </w:rPr>
      </w:pPr>
      <w:r w:rsidRPr="00544FE7">
        <w:rPr>
          <w:i/>
          <w:iCs/>
          <w:lang w:val="en-US"/>
        </w:rPr>
        <w:t xml:space="preserve">3. Chi square test for the </w:t>
      </w:r>
      <w:r w:rsidR="00AB06BA">
        <w:rPr>
          <w:i/>
          <w:iCs/>
          <w:lang w:val="en-US"/>
        </w:rPr>
        <w:t>categorical</w:t>
      </w:r>
      <w:r w:rsidR="00AB06BA" w:rsidRPr="00544FE7">
        <w:rPr>
          <w:i/>
          <w:iCs/>
          <w:lang w:val="en-US"/>
        </w:rPr>
        <w:t xml:space="preserve"> interpretation</w:t>
      </w:r>
      <w:r w:rsidRPr="00544FE7">
        <w:rPr>
          <w:i/>
          <w:iCs/>
          <w:lang w:val="en-US"/>
        </w:rPr>
        <w:t xml:space="preserve"> variables of </w:t>
      </w:r>
      <w:r w:rsidR="00AB06BA">
        <w:rPr>
          <w:i/>
          <w:iCs/>
          <w:lang w:val="en-US"/>
        </w:rPr>
        <w:t>body weight over age</w:t>
      </w:r>
      <w:r w:rsidRPr="00544FE7">
        <w:rPr>
          <w:i/>
          <w:iCs/>
          <w:lang w:val="en-US"/>
        </w:rPr>
        <w:t xml:space="preserve"> (normal, underweight, severely underweight, overweight, obesity), </w:t>
      </w:r>
      <w:r w:rsidR="00AB06BA">
        <w:rPr>
          <w:i/>
          <w:iCs/>
          <w:lang w:val="en-US"/>
        </w:rPr>
        <w:t>body length over age</w:t>
      </w:r>
      <w:r w:rsidRPr="00544FE7">
        <w:rPr>
          <w:i/>
          <w:iCs/>
          <w:lang w:val="en-US"/>
        </w:rPr>
        <w:t xml:space="preserve"> or </w:t>
      </w:r>
      <w:r w:rsidR="00AB06BA">
        <w:rPr>
          <w:i/>
          <w:iCs/>
          <w:lang w:val="en-US"/>
        </w:rPr>
        <w:t>body height over age</w:t>
      </w:r>
      <w:r w:rsidRPr="00544FE7">
        <w:rPr>
          <w:i/>
          <w:iCs/>
          <w:lang w:val="en-US"/>
        </w:rPr>
        <w:t xml:space="preserve"> (normal, stunted, severely stunted), </w:t>
      </w:r>
      <w:r w:rsidR="00AB06BA">
        <w:rPr>
          <w:i/>
          <w:iCs/>
          <w:lang w:val="en-US"/>
        </w:rPr>
        <w:t xml:space="preserve">Body weight over body height or body weight over body length </w:t>
      </w:r>
      <w:r w:rsidRPr="00544FE7">
        <w:rPr>
          <w:i/>
          <w:iCs/>
          <w:lang w:val="en-US"/>
        </w:rPr>
        <w:t xml:space="preserve">(obesity, overweight, normal, wasted, severely wasted), and </w:t>
      </w:r>
      <w:r w:rsidR="00AB06BA">
        <w:rPr>
          <w:i/>
          <w:iCs/>
          <w:lang w:val="en-US"/>
        </w:rPr>
        <w:t>Head circumference over age</w:t>
      </w:r>
      <w:r w:rsidRPr="00544FE7">
        <w:rPr>
          <w:i/>
          <w:iCs/>
          <w:lang w:val="en-US"/>
        </w:rPr>
        <w:t xml:space="preserve"> (normal, microcephaly, macrocephaly)</w:t>
      </w:r>
    </w:p>
    <w:p w14:paraId="37164BE3" w14:textId="439FCCA5" w:rsidR="00544FE7" w:rsidRPr="00544FE7" w:rsidRDefault="00544FE7" w:rsidP="00AB06BA">
      <w:pPr>
        <w:pStyle w:val="ListParagraph"/>
        <w:ind w:left="1440"/>
        <w:rPr>
          <w:i/>
          <w:iCs/>
          <w:lang w:val="en-US"/>
        </w:rPr>
      </w:pPr>
      <w:r w:rsidRPr="00544FE7">
        <w:rPr>
          <w:i/>
          <w:iCs/>
          <w:lang w:val="en-US"/>
        </w:rPr>
        <w:t xml:space="preserve">4. Paired sample t-test was performed on the variables of </w:t>
      </w:r>
      <w:r w:rsidR="00AB06BA">
        <w:rPr>
          <w:i/>
          <w:iCs/>
          <w:lang w:val="en-US"/>
        </w:rPr>
        <w:t xml:space="preserve">body </w:t>
      </w:r>
      <w:r w:rsidRPr="00544FE7">
        <w:rPr>
          <w:i/>
          <w:iCs/>
          <w:lang w:val="en-US"/>
        </w:rPr>
        <w:t xml:space="preserve">weight (pre- and post-), </w:t>
      </w:r>
      <w:r w:rsidR="00AB06BA">
        <w:rPr>
          <w:i/>
          <w:iCs/>
          <w:lang w:val="en-US"/>
        </w:rPr>
        <w:t>body</w:t>
      </w:r>
      <w:r w:rsidRPr="00544FE7">
        <w:rPr>
          <w:i/>
          <w:iCs/>
          <w:lang w:val="en-US"/>
        </w:rPr>
        <w:t xml:space="preserve">​​height (pre- and post-), ​​head circumference (pre- and post-), ​​total lymphocyte count (pre- and post-) and IGF-1 </w:t>
      </w:r>
      <w:r w:rsidR="00AB06BA">
        <w:rPr>
          <w:i/>
          <w:iCs/>
          <w:lang w:val="en-US"/>
        </w:rPr>
        <w:t xml:space="preserve">levels </w:t>
      </w:r>
      <w:r w:rsidRPr="00544FE7">
        <w:rPr>
          <w:i/>
          <w:iCs/>
          <w:lang w:val="en-US"/>
        </w:rPr>
        <w:t>(pre- and post-) with homogeneous criteria and normal distribution (p&gt;0.05). For variables with non-normal and non-homogeneous distributions, the Wilcoxon test was performed.</w:t>
      </w:r>
    </w:p>
    <w:p w14:paraId="6D6A0327" w14:textId="77777777" w:rsidR="00544FE7" w:rsidRPr="00544FE7" w:rsidRDefault="00544FE7" w:rsidP="00544FE7">
      <w:pPr>
        <w:pStyle w:val="ListParagraph"/>
        <w:rPr>
          <w:i/>
          <w:iCs/>
          <w:lang w:val="en-US"/>
        </w:rPr>
      </w:pPr>
    </w:p>
    <w:p w14:paraId="66681074" w14:textId="3F74C053" w:rsidR="00544FE7" w:rsidRDefault="00544FE7" w:rsidP="00544FE7">
      <w:pPr>
        <w:pStyle w:val="ListParagraph"/>
        <w:rPr>
          <w:i/>
          <w:iCs/>
          <w:lang w:val="en-US"/>
        </w:rPr>
      </w:pPr>
      <w:r w:rsidRPr="00AB06BA">
        <w:rPr>
          <w:i/>
          <w:iCs/>
          <w:highlight w:val="yellow"/>
          <w:lang w:val="en-US"/>
        </w:rPr>
        <w:t>If there is a stop when treatment is carried out, then the subject is excluded</w:t>
      </w:r>
      <w:r w:rsidR="00AB06BA" w:rsidRPr="00AB06BA">
        <w:rPr>
          <w:i/>
          <w:iCs/>
          <w:highlight w:val="yellow"/>
          <w:lang w:val="en-US"/>
        </w:rPr>
        <w:t xml:space="preserve"> from the analysis</w:t>
      </w:r>
      <w:r w:rsidR="00AB06BA">
        <w:rPr>
          <w:i/>
          <w:iCs/>
          <w:lang w:val="en-US"/>
        </w:rPr>
        <w:t>.</w:t>
      </w:r>
    </w:p>
    <w:p w14:paraId="228D7325" w14:textId="77777777" w:rsidR="00544FE7" w:rsidRPr="00732022" w:rsidRDefault="00544FE7" w:rsidP="00544FE7">
      <w:pPr>
        <w:pStyle w:val="ListParagraph"/>
        <w:rPr>
          <w:i/>
          <w:iCs/>
          <w:lang w:val="en-US"/>
        </w:rPr>
      </w:pPr>
    </w:p>
    <w:p w14:paraId="01CF633D" w14:textId="5519297D" w:rsidR="00732022" w:rsidRPr="00544FE7" w:rsidRDefault="00732022" w:rsidP="00402398">
      <w:pPr>
        <w:pStyle w:val="ListParagraph"/>
        <w:numPr>
          <w:ilvl w:val="0"/>
          <w:numId w:val="3"/>
        </w:numPr>
        <w:rPr>
          <w:b/>
          <w:bCs/>
          <w:i/>
          <w:iCs/>
          <w:lang w:val="en-US"/>
        </w:rPr>
      </w:pPr>
      <w:r w:rsidRPr="00544FE7">
        <w:rPr>
          <w:b/>
          <w:bCs/>
          <w:lang w:val="en-US"/>
        </w:rPr>
        <w:t>S</w:t>
      </w:r>
      <w:r w:rsidR="00544FE7" w:rsidRPr="00544FE7">
        <w:rPr>
          <w:b/>
          <w:bCs/>
          <w:lang w:val="en-US"/>
        </w:rPr>
        <w:t>afety Monitoring</w:t>
      </w:r>
    </w:p>
    <w:p w14:paraId="41598C62" w14:textId="236B5BA1" w:rsidR="00544FE7" w:rsidRDefault="00544FE7" w:rsidP="00544FE7">
      <w:pPr>
        <w:pStyle w:val="ListParagraph"/>
        <w:rPr>
          <w:lang w:val="en-US"/>
        </w:rPr>
      </w:pPr>
    </w:p>
    <w:p w14:paraId="68A6E2AA" w14:textId="77777777" w:rsidR="00544FE7" w:rsidRPr="00544FE7" w:rsidRDefault="00544FE7" w:rsidP="00544FE7">
      <w:pPr>
        <w:pStyle w:val="ListParagraph"/>
        <w:rPr>
          <w:i/>
          <w:iCs/>
          <w:lang w:val="en-US"/>
        </w:rPr>
      </w:pPr>
    </w:p>
    <w:p w14:paraId="7DEB5292" w14:textId="094AC999" w:rsidR="00544FE7" w:rsidRPr="00544FE7" w:rsidRDefault="00544FE7" w:rsidP="00544FE7">
      <w:pPr>
        <w:pStyle w:val="ListParagraph"/>
        <w:rPr>
          <w:i/>
          <w:iCs/>
          <w:lang w:val="en-US"/>
        </w:rPr>
      </w:pPr>
      <w:r w:rsidRPr="00544FE7">
        <w:rPr>
          <w:i/>
          <w:iCs/>
          <w:lang w:val="en-US"/>
        </w:rPr>
        <w:t>1. Plans to monitor the continued safety of drugs or other interventions carried out in research or trials, and, where necessary, the establishment of an independent committee for data and safety monitoring (Guideline 4) (B,S3,S7)</w:t>
      </w:r>
    </w:p>
    <w:p w14:paraId="47CB9D61" w14:textId="77777777" w:rsidR="00544FE7" w:rsidRPr="00544FE7" w:rsidRDefault="00544FE7" w:rsidP="00544FE7">
      <w:pPr>
        <w:pStyle w:val="ListParagraph"/>
        <w:rPr>
          <w:i/>
          <w:iCs/>
          <w:lang w:val="en-US"/>
        </w:rPr>
      </w:pPr>
    </w:p>
    <w:p w14:paraId="4E0301A4" w14:textId="1524A829" w:rsidR="00544FE7" w:rsidRDefault="00544FE7" w:rsidP="00544FE7">
      <w:pPr>
        <w:pStyle w:val="ListParagraph"/>
        <w:rPr>
          <w:i/>
          <w:iCs/>
          <w:lang w:val="en-US"/>
        </w:rPr>
      </w:pPr>
      <w:r w:rsidRPr="00544FE7">
        <w:rPr>
          <w:i/>
          <w:iCs/>
          <w:lang w:val="en-US"/>
        </w:rPr>
        <w:t>Irrelevant</w:t>
      </w:r>
    </w:p>
    <w:p w14:paraId="3A53DB80" w14:textId="77777777" w:rsidR="00544FE7" w:rsidRPr="00732022" w:rsidRDefault="00544FE7" w:rsidP="00544FE7">
      <w:pPr>
        <w:pStyle w:val="ListParagraph"/>
        <w:rPr>
          <w:i/>
          <w:iCs/>
          <w:lang w:val="en-US"/>
        </w:rPr>
      </w:pPr>
    </w:p>
    <w:p w14:paraId="7D7F94FE" w14:textId="5660F3D8" w:rsidR="00732022" w:rsidRPr="00544FE7" w:rsidRDefault="00544FE7" w:rsidP="00402398">
      <w:pPr>
        <w:pStyle w:val="ListParagraph"/>
        <w:numPr>
          <w:ilvl w:val="0"/>
          <w:numId w:val="3"/>
        </w:numPr>
        <w:rPr>
          <w:b/>
          <w:bCs/>
          <w:i/>
          <w:iCs/>
          <w:lang w:val="en-US"/>
        </w:rPr>
      </w:pPr>
      <w:r w:rsidRPr="00544FE7">
        <w:rPr>
          <w:b/>
          <w:bCs/>
          <w:lang w:val="en-US"/>
        </w:rPr>
        <w:t>Conflict of Interest</w:t>
      </w:r>
    </w:p>
    <w:p w14:paraId="6865F622" w14:textId="60779B8E" w:rsidR="00544FE7" w:rsidRDefault="00544FE7" w:rsidP="00544FE7">
      <w:pPr>
        <w:pStyle w:val="ListParagraph"/>
        <w:rPr>
          <w:i/>
          <w:iCs/>
          <w:lang w:val="en-US"/>
        </w:rPr>
      </w:pPr>
    </w:p>
    <w:p w14:paraId="2604928E" w14:textId="36814A17" w:rsidR="00544FE7" w:rsidRPr="00544FE7" w:rsidRDefault="00544FE7" w:rsidP="00544FE7">
      <w:pPr>
        <w:pStyle w:val="ListParagraph"/>
        <w:rPr>
          <w:i/>
          <w:iCs/>
          <w:lang w:val="en-US"/>
        </w:rPr>
      </w:pPr>
      <w:r w:rsidRPr="00544FE7">
        <w:rPr>
          <w:i/>
          <w:iCs/>
          <w:lang w:val="en-US"/>
        </w:rPr>
        <w:t xml:space="preserve">1. Arrangements to resolve financial or other conflicts that could influence the decisions of researchers or other personnel; inform the institutional committee about any conflict of interest; the </w:t>
      </w:r>
      <w:r>
        <w:rPr>
          <w:i/>
          <w:iCs/>
          <w:lang w:val="en-US"/>
        </w:rPr>
        <w:t xml:space="preserve">institutional </w:t>
      </w:r>
      <w:r w:rsidRPr="00544FE7">
        <w:rPr>
          <w:i/>
          <w:iCs/>
          <w:lang w:val="en-US"/>
        </w:rPr>
        <w:t xml:space="preserve">committee </w:t>
      </w:r>
      <w:r>
        <w:rPr>
          <w:i/>
          <w:iCs/>
          <w:lang w:val="en-US"/>
        </w:rPr>
        <w:t xml:space="preserve">then </w:t>
      </w:r>
      <w:r w:rsidRPr="00544FE7">
        <w:rPr>
          <w:i/>
          <w:iCs/>
          <w:lang w:val="en-US"/>
        </w:rPr>
        <w:t>communicates it to the ethics committee and then communicates to the researchers about the next steps to be taken (Guideline 25) (p42)</w:t>
      </w:r>
    </w:p>
    <w:p w14:paraId="18772762" w14:textId="77777777" w:rsidR="00544FE7" w:rsidRPr="00544FE7" w:rsidRDefault="00544FE7" w:rsidP="00544FE7">
      <w:pPr>
        <w:pStyle w:val="ListParagraph"/>
        <w:rPr>
          <w:i/>
          <w:iCs/>
          <w:lang w:val="en-US"/>
        </w:rPr>
      </w:pPr>
    </w:p>
    <w:p w14:paraId="67977A9D" w14:textId="4AEDC85C" w:rsidR="00544FE7" w:rsidRDefault="00544FE7" w:rsidP="00544FE7">
      <w:pPr>
        <w:pStyle w:val="ListParagraph"/>
        <w:rPr>
          <w:i/>
          <w:iCs/>
          <w:lang w:val="en-US"/>
        </w:rPr>
      </w:pPr>
      <w:r w:rsidRPr="00544FE7">
        <w:rPr>
          <w:i/>
          <w:iCs/>
          <w:lang w:val="en-US"/>
        </w:rPr>
        <w:t>No conflict of interest</w:t>
      </w:r>
    </w:p>
    <w:p w14:paraId="1F2C51C8" w14:textId="024A2FC4" w:rsidR="00544FE7" w:rsidRPr="00732022" w:rsidRDefault="00544FE7" w:rsidP="00544FE7">
      <w:pPr>
        <w:pStyle w:val="ListParagraph"/>
        <w:rPr>
          <w:i/>
          <w:iCs/>
          <w:lang w:val="en-US"/>
        </w:rPr>
      </w:pPr>
      <w:r>
        <w:rPr>
          <w:i/>
          <w:iCs/>
          <w:lang w:val="en-US"/>
        </w:rPr>
        <w:tab/>
      </w:r>
    </w:p>
    <w:p w14:paraId="59D22898" w14:textId="23731416" w:rsidR="00732022" w:rsidRPr="000F000D" w:rsidRDefault="00732022" w:rsidP="00402398">
      <w:pPr>
        <w:pStyle w:val="ListParagraph"/>
        <w:numPr>
          <w:ilvl w:val="0"/>
          <w:numId w:val="3"/>
        </w:numPr>
        <w:rPr>
          <w:b/>
          <w:bCs/>
          <w:i/>
          <w:iCs/>
          <w:lang w:val="en-US"/>
        </w:rPr>
      </w:pPr>
      <w:r w:rsidRPr="000F000D">
        <w:rPr>
          <w:b/>
          <w:bCs/>
          <w:lang w:val="en-US"/>
        </w:rPr>
        <w:t>S</w:t>
      </w:r>
      <w:r w:rsidR="004735C0" w:rsidRPr="000F000D">
        <w:rPr>
          <w:b/>
          <w:bCs/>
          <w:lang w:val="en-US"/>
        </w:rPr>
        <w:t>ocial Benefit</w:t>
      </w:r>
    </w:p>
    <w:p w14:paraId="10D64E8F" w14:textId="08909121" w:rsidR="004735C0" w:rsidRDefault="004735C0" w:rsidP="004735C0">
      <w:pPr>
        <w:pStyle w:val="ListParagraph"/>
        <w:rPr>
          <w:lang w:val="en-US"/>
        </w:rPr>
      </w:pPr>
    </w:p>
    <w:p w14:paraId="074715E3" w14:textId="30107D8C" w:rsidR="004735C0" w:rsidRDefault="004735C0" w:rsidP="004735C0">
      <w:pPr>
        <w:pStyle w:val="ListParagraph"/>
        <w:numPr>
          <w:ilvl w:val="0"/>
          <w:numId w:val="16"/>
        </w:numPr>
        <w:rPr>
          <w:i/>
          <w:iCs/>
          <w:lang w:val="en-US"/>
        </w:rPr>
      </w:pPr>
      <w:r w:rsidRPr="004735C0">
        <w:rPr>
          <w:i/>
          <w:iCs/>
          <w:lang w:val="en-US"/>
        </w:rPr>
        <w:t xml:space="preserve">For research conducted in </w:t>
      </w:r>
      <w:r>
        <w:rPr>
          <w:i/>
          <w:iCs/>
          <w:lang w:val="en-US"/>
        </w:rPr>
        <w:t xml:space="preserve">a poor </w:t>
      </w:r>
      <w:r w:rsidRPr="004735C0">
        <w:rPr>
          <w:i/>
          <w:iCs/>
          <w:lang w:val="en-US"/>
        </w:rPr>
        <w:t>resource setting, contributions made by sponsors for capacity building for scientific and ethical review and for health research in the country; and assurance that the purpose of capacity building is to match the values ​​</w:t>
      </w:r>
      <w:r w:rsidRPr="004735C0">
        <w:rPr>
          <w:i/>
          <w:iCs/>
          <w:lang w:val="en-US"/>
        </w:rPr>
        <w:lastRenderedPageBreak/>
        <w:t>and expectations of the participants and the community</w:t>
      </w:r>
      <w:r w:rsidR="007B1FCF">
        <w:rPr>
          <w:i/>
          <w:iCs/>
          <w:lang w:val="en-US"/>
        </w:rPr>
        <w:t xml:space="preserve"> of research site</w:t>
      </w:r>
      <w:r w:rsidRPr="004735C0">
        <w:rPr>
          <w:i/>
          <w:iCs/>
          <w:lang w:val="en-US"/>
        </w:rPr>
        <w:t xml:space="preserve"> (Guideline 8) (p43)</w:t>
      </w:r>
    </w:p>
    <w:p w14:paraId="36151F80" w14:textId="77777777" w:rsidR="004735C0" w:rsidRPr="004735C0" w:rsidRDefault="004735C0" w:rsidP="004735C0">
      <w:pPr>
        <w:pStyle w:val="ListParagraph"/>
        <w:ind w:left="1080"/>
        <w:rPr>
          <w:i/>
          <w:iCs/>
          <w:lang w:val="en-US"/>
        </w:rPr>
      </w:pPr>
    </w:p>
    <w:p w14:paraId="4D1F5558" w14:textId="647AC0B6" w:rsidR="004735C0" w:rsidRDefault="004735C0" w:rsidP="004735C0">
      <w:pPr>
        <w:pStyle w:val="ListParagraph"/>
        <w:rPr>
          <w:i/>
          <w:iCs/>
          <w:lang w:val="en-US"/>
        </w:rPr>
      </w:pPr>
      <w:r w:rsidRPr="004735C0">
        <w:rPr>
          <w:i/>
          <w:iCs/>
          <w:lang w:val="en-US"/>
        </w:rPr>
        <w:t>After this research, it is hoped that the</w:t>
      </w:r>
      <w:r w:rsidR="007B1FCF">
        <w:rPr>
          <w:i/>
          <w:iCs/>
          <w:lang w:val="en-US"/>
        </w:rPr>
        <w:t xml:space="preserve"> Indonesia</w:t>
      </w:r>
      <w:r w:rsidRPr="004735C0">
        <w:rPr>
          <w:i/>
          <w:iCs/>
          <w:lang w:val="en-US"/>
        </w:rPr>
        <w:t xml:space="preserve"> government will cooperate in dealing with stunting. High-calorie formula milk is one type of </w:t>
      </w:r>
      <w:r w:rsidR="007B1FCF">
        <w:rPr>
          <w:i/>
          <w:iCs/>
          <w:lang w:val="en-US"/>
        </w:rPr>
        <w:t>FSMPs</w:t>
      </w:r>
      <w:r w:rsidRPr="004735C0">
        <w:rPr>
          <w:i/>
          <w:iCs/>
          <w:lang w:val="en-US"/>
        </w:rPr>
        <w:t xml:space="preserve"> (Food for Special Medical </w:t>
      </w:r>
      <w:r w:rsidR="007B1FCF">
        <w:rPr>
          <w:i/>
          <w:iCs/>
          <w:lang w:val="en-US"/>
        </w:rPr>
        <w:t>Purposes</w:t>
      </w:r>
      <w:r w:rsidRPr="004735C0">
        <w:rPr>
          <w:i/>
          <w:iCs/>
          <w:lang w:val="en-US"/>
        </w:rPr>
        <w:t xml:space="preserve">) provided by the </w:t>
      </w:r>
      <w:proofErr w:type="spellStart"/>
      <w:r w:rsidRPr="004735C0">
        <w:rPr>
          <w:i/>
          <w:iCs/>
          <w:lang w:val="en-US"/>
        </w:rPr>
        <w:t>Sarihusada</w:t>
      </w:r>
      <w:proofErr w:type="spellEnd"/>
      <w:r w:rsidRPr="004735C0">
        <w:rPr>
          <w:i/>
          <w:iCs/>
          <w:lang w:val="en-US"/>
        </w:rPr>
        <w:t xml:space="preserve"> </w:t>
      </w:r>
      <w:proofErr w:type="spellStart"/>
      <w:r w:rsidRPr="004735C0">
        <w:rPr>
          <w:i/>
          <w:iCs/>
          <w:lang w:val="en-US"/>
        </w:rPr>
        <w:t>Generasi</w:t>
      </w:r>
      <w:proofErr w:type="spellEnd"/>
      <w:r w:rsidRPr="004735C0">
        <w:rPr>
          <w:i/>
          <w:iCs/>
          <w:lang w:val="en-US"/>
        </w:rPr>
        <w:t xml:space="preserve"> </w:t>
      </w:r>
      <w:proofErr w:type="spellStart"/>
      <w:r w:rsidRPr="004735C0">
        <w:rPr>
          <w:i/>
          <w:iCs/>
          <w:lang w:val="en-US"/>
        </w:rPr>
        <w:t>Mahardika</w:t>
      </w:r>
      <w:proofErr w:type="spellEnd"/>
      <w:r w:rsidRPr="004735C0">
        <w:rPr>
          <w:i/>
          <w:iCs/>
          <w:lang w:val="en-US"/>
        </w:rPr>
        <w:t xml:space="preserve"> (Danone Group) in the form of dairy products which are handed over to the </w:t>
      </w:r>
      <w:proofErr w:type="spellStart"/>
      <w:r w:rsidRPr="004735C0">
        <w:rPr>
          <w:i/>
          <w:iCs/>
          <w:lang w:val="en-US"/>
        </w:rPr>
        <w:t>Husada</w:t>
      </w:r>
      <w:proofErr w:type="spellEnd"/>
      <w:r w:rsidRPr="004735C0">
        <w:rPr>
          <w:i/>
          <w:iCs/>
          <w:lang w:val="en-US"/>
        </w:rPr>
        <w:t xml:space="preserve"> Utama Hospital (Pharmacy). </w:t>
      </w:r>
      <w:r w:rsidR="00EB522F">
        <w:rPr>
          <w:i/>
          <w:iCs/>
          <w:lang w:val="en-US"/>
        </w:rPr>
        <w:t>This type of FSMP</w:t>
      </w:r>
      <w:r w:rsidRPr="004735C0">
        <w:rPr>
          <w:i/>
          <w:iCs/>
          <w:lang w:val="en-US"/>
        </w:rPr>
        <w:t xml:space="preserve"> is a special milk which is regulated by </w:t>
      </w:r>
      <w:proofErr w:type="spellStart"/>
      <w:r w:rsidRPr="004735C0">
        <w:rPr>
          <w:i/>
          <w:iCs/>
          <w:lang w:val="en-US"/>
        </w:rPr>
        <w:t>Permenkes</w:t>
      </w:r>
      <w:proofErr w:type="spellEnd"/>
      <w:r w:rsidRPr="004735C0">
        <w:rPr>
          <w:i/>
          <w:iCs/>
          <w:lang w:val="en-US"/>
        </w:rPr>
        <w:t xml:space="preserve"> No. 29 of 2019 according to medical indications and prescrib</w:t>
      </w:r>
      <w:r w:rsidR="00EB522F">
        <w:rPr>
          <w:i/>
          <w:iCs/>
          <w:lang w:val="en-US"/>
        </w:rPr>
        <w:t>ed</w:t>
      </w:r>
      <w:r w:rsidRPr="004735C0">
        <w:rPr>
          <w:i/>
          <w:iCs/>
          <w:lang w:val="en-US"/>
        </w:rPr>
        <w:t xml:space="preserve"> by pediatricians. Funding for the blood tests imposed on the subjects (total lymphocyte count and IGF-1) was privately funded by the researcher. </w:t>
      </w:r>
      <w:r w:rsidR="00EB522F">
        <w:rPr>
          <w:i/>
          <w:iCs/>
          <w:lang w:val="en-US"/>
        </w:rPr>
        <w:t xml:space="preserve">The reason for choosing Surabaya as a study/research site </w:t>
      </w:r>
      <w:r w:rsidRPr="004735C0">
        <w:rPr>
          <w:i/>
          <w:iCs/>
          <w:lang w:val="en-US"/>
        </w:rPr>
        <w:t>was health services</w:t>
      </w:r>
      <w:r w:rsidR="00EB522F">
        <w:rPr>
          <w:i/>
          <w:iCs/>
          <w:lang w:val="en-US"/>
        </w:rPr>
        <w:t xml:space="preserve"> in Surabaya</w:t>
      </w:r>
      <w:r w:rsidRPr="004735C0">
        <w:rPr>
          <w:i/>
          <w:iCs/>
          <w:lang w:val="en-US"/>
        </w:rPr>
        <w:t>, especially regarding stunting</w:t>
      </w:r>
      <w:r w:rsidR="00EB522F">
        <w:rPr>
          <w:i/>
          <w:iCs/>
          <w:lang w:val="en-US"/>
        </w:rPr>
        <w:t xml:space="preserve"> issue </w:t>
      </w:r>
      <w:r w:rsidRPr="004735C0">
        <w:rPr>
          <w:i/>
          <w:iCs/>
          <w:lang w:val="en-US"/>
        </w:rPr>
        <w:t xml:space="preserve">and </w:t>
      </w:r>
      <w:r w:rsidR="00EB522F">
        <w:rPr>
          <w:i/>
          <w:iCs/>
          <w:lang w:val="en-US"/>
        </w:rPr>
        <w:t>FSMP</w:t>
      </w:r>
      <w:r w:rsidRPr="004735C0">
        <w:rPr>
          <w:i/>
          <w:iCs/>
          <w:lang w:val="en-US"/>
        </w:rPr>
        <w:t xml:space="preserve"> milk provision by the Surabaya City Health Office, have been running. So that the</w:t>
      </w:r>
      <w:r w:rsidR="00EB522F">
        <w:rPr>
          <w:i/>
          <w:iCs/>
          <w:lang w:val="en-US"/>
        </w:rPr>
        <w:t xml:space="preserve"> </w:t>
      </w:r>
      <w:r w:rsidRPr="004735C0">
        <w:rPr>
          <w:i/>
          <w:iCs/>
          <w:lang w:val="en-US"/>
        </w:rPr>
        <w:t>children involved in this study can later be given the same treatment,</w:t>
      </w:r>
      <w:r w:rsidR="00EB522F">
        <w:rPr>
          <w:i/>
          <w:iCs/>
          <w:lang w:val="en-US"/>
        </w:rPr>
        <w:t xml:space="preserve"> i.e.</w:t>
      </w:r>
      <w:r w:rsidRPr="004735C0">
        <w:rPr>
          <w:i/>
          <w:iCs/>
          <w:lang w:val="en-US"/>
        </w:rPr>
        <w:t xml:space="preserve"> given </w:t>
      </w:r>
      <w:r w:rsidR="00EB522F">
        <w:rPr>
          <w:i/>
          <w:iCs/>
          <w:lang w:val="en-US"/>
        </w:rPr>
        <w:t xml:space="preserve">the FSMP </w:t>
      </w:r>
      <w:r w:rsidRPr="004735C0">
        <w:rPr>
          <w:i/>
          <w:iCs/>
          <w:lang w:val="en-US"/>
        </w:rPr>
        <w:t>milk by the city health office.</w:t>
      </w:r>
    </w:p>
    <w:p w14:paraId="2F4BF86A" w14:textId="77777777" w:rsidR="00EB522F" w:rsidRPr="004735C0" w:rsidRDefault="00EB522F" w:rsidP="004735C0">
      <w:pPr>
        <w:pStyle w:val="ListParagraph"/>
        <w:rPr>
          <w:i/>
          <w:iCs/>
          <w:lang w:val="en-US"/>
        </w:rPr>
      </w:pPr>
    </w:p>
    <w:p w14:paraId="2D1C55EA" w14:textId="30440846" w:rsidR="004735C0" w:rsidRDefault="004735C0" w:rsidP="001F3860">
      <w:pPr>
        <w:pStyle w:val="ListParagraph"/>
        <w:numPr>
          <w:ilvl w:val="0"/>
          <w:numId w:val="16"/>
        </w:numPr>
        <w:rPr>
          <w:i/>
          <w:iCs/>
          <w:lang w:val="en-US"/>
        </w:rPr>
      </w:pPr>
      <w:r w:rsidRPr="004735C0">
        <w:rPr>
          <w:i/>
          <w:iCs/>
          <w:lang w:val="en-US"/>
        </w:rPr>
        <w:t>The research protocol or document sent to the ethics committee should include a description of the community engagement plan, and indicate the resources allocated to these engagement activities. This document describes what has been and will be done, when and by whom, to ensure that the community is clearly mapped to facilitate their involvement during the research, to ensure that the research objectives meet the needs of the community and are accepted by them. If necessary the community should be involved in the preparation of this protocol or document (Guideline 7) (p44)</w:t>
      </w:r>
    </w:p>
    <w:p w14:paraId="381F9FD9" w14:textId="3CFE2100" w:rsidR="001F3860" w:rsidRDefault="001F3860" w:rsidP="001F3860">
      <w:pPr>
        <w:pStyle w:val="ListParagraph"/>
        <w:ind w:left="1080"/>
        <w:rPr>
          <w:i/>
          <w:iCs/>
          <w:lang w:val="en-US"/>
        </w:rPr>
      </w:pPr>
    </w:p>
    <w:p w14:paraId="7C44BFFC" w14:textId="43AD2A82" w:rsidR="001F3860" w:rsidRPr="000F000D" w:rsidRDefault="001F3860" w:rsidP="001F3860">
      <w:pPr>
        <w:pStyle w:val="ListParagraph"/>
        <w:numPr>
          <w:ilvl w:val="0"/>
          <w:numId w:val="17"/>
        </w:numPr>
        <w:rPr>
          <w:i/>
          <w:iCs/>
          <w:highlight w:val="yellow"/>
          <w:lang w:val="en-US"/>
        </w:rPr>
      </w:pPr>
      <w:r w:rsidRPr="000F000D">
        <w:rPr>
          <w:i/>
          <w:iCs/>
          <w:highlight w:val="yellow"/>
          <w:lang w:val="en-US"/>
        </w:rPr>
        <w:t>Proposed answers</w:t>
      </w:r>
      <w:r w:rsidR="000F000D" w:rsidRPr="000F000D">
        <w:rPr>
          <w:i/>
          <w:iCs/>
          <w:highlight w:val="yellow"/>
          <w:lang w:val="en-US"/>
        </w:rPr>
        <w:t xml:space="preserve">: Aligned and this is stated in the study protocol (TBC by dr. </w:t>
      </w:r>
      <w:proofErr w:type="spellStart"/>
      <w:r w:rsidR="000F000D" w:rsidRPr="000F000D">
        <w:rPr>
          <w:i/>
          <w:iCs/>
          <w:highlight w:val="yellow"/>
          <w:lang w:val="en-US"/>
        </w:rPr>
        <w:t>Nuril</w:t>
      </w:r>
      <w:proofErr w:type="spellEnd"/>
      <w:r w:rsidR="000F000D" w:rsidRPr="000F000D">
        <w:rPr>
          <w:i/>
          <w:iCs/>
          <w:highlight w:val="yellow"/>
          <w:lang w:val="en-US"/>
        </w:rPr>
        <w:t>)</w:t>
      </w:r>
    </w:p>
    <w:p w14:paraId="6FE54021" w14:textId="77777777" w:rsidR="004735C0" w:rsidRPr="00732022" w:rsidRDefault="004735C0" w:rsidP="004735C0">
      <w:pPr>
        <w:pStyle w:val="ListParagraph"/>
        <w:rPr>
          <w:i/>
          <w:iCs/>
          <w:lang w:val="en-US"/>
        </w:rPr>
      </w:pPr>
    </w:p>
    <w:p w14:paraId="55F0FCA4" w14:textId="6B8B8C45" w:rsidR="00732022" w:rsidRPr="004735C0" w:rsidRDefault="00991728" w:rsidP="00402398">
      <w:pPr>
        <w:pStyle w:val="ListParagraph"/>
        <w:numPr>
          <w:ilvl w:val="0"/>
          <w:numId w:val="3"/>
        </w:numPr>
        <w:rPr>
          <w:b/>
          <w:bCs/>
          <w:i/>
          <w:iCs/>
          <w:lang w:val="en-US"/>
        </w:rPr>
      </w:pPr>
      <w:r w:rsidRPr="004735C0">
        <w:rPr>
          <w:b/>
          <w:bCs/>
          <w:lang w:val="en-US"/>
        </w:rPr>
        <w:t>Data Rights</w:t>
      </w:r>
    </w:p>
    <w:p w14:paraId="40FF3F93" w14:textId="77777777" w:rsidR="004735C0" w:rsidRPr="004735C0" w:rsidRDefault="004735C0" w:rsidP="004735C0">
      <w:pPr>
        <w:pStyle w:val="ListParagraph"/>
        <w:rPr>
          <w:i/>
          <w:iCs/>
          <w:lang w:val="en-US"/>
        </w:rPr>
      </w:pPr>
      <w:r w:rsidRPr="004735C0">
        <w:rPr>
          <w:i/>
          <w:iCs/>
          <w:lang w:val="en-US"/>
        </w:rPr>
        <w:t>1. Especially if the sponsor is an industry, a contract that states who owns the rights to publish research results, and the obligation to jointly prepare and give to the PIs a draft research report (Guideline 24) (B and H, S1, S7)</w:t>
      </w:r>
    </w:p>
    <w:p w14:paraId="1B36C8F7" w14:textId="77777777" w:rsidR="004735C0" w:rsidRPr="004735C0" w:rsidRDefault="004735C0" w:rsidP="004735C0">
      <w:pPr>
        <w:pStyle w:val="ListParagraph"/>
        <w:rPr>
          <w:i/>
          <w:iCs/>
          <w:lang w:val="en-US"/>
        </w:rPr>
      </w:pPr>
    </w:p>
    <w:p w14:paraId="63911166" w14:textId="4B84782B" w:rsidR="00991728" w:rsidRDefault="004735C0" w:rsidP="004735C0">
      <w:pPr>
        <w:pStyle w:val="ListParagraph"/>
        <w:rPr>
          <w:i/>
          <w:iCs/>
          <w:lang w:val="en-US"/>
        </w:rPr>
      </w:pPr>
      <w:r w:rsidRPr="004735C0">
        <w:rPr>
          <w:i/>
          <w:iCs/>
          <w:lang w:val="en-US"/>
        </w:rPr>
        <w:t xml:space="preserve">If the PKMK product provider requests the results of the research, they are given processed data that includes the increase in </w:t>
      </w:r>
      <w:r>
        <w:rPr>
          <w:i/>
          <w:iCs/>
          <w:lang w:val="en-US"/>
        </w:rPr>
        <w:t>body w</w:t>
      </w:r>
      <w:r w:rsidRPr="004735C0">
        <w:rPr>
          <w:i/>
          <w:iCs/>
          <w:lang w:val="en-US"/>
        </w:rPr>
        <w:t xml:space="preserve">eight, </w:t>
      </w:r>
      <w:r>
        <w:rPr>
          <w:i/>
          <w:iCs/>
          <w:lang w:val="en-US"/>
        </w:rPr>
        <w:t>body height</w:t>
      </w:r>
      <w:r w:rsidRPr="004735C0">
        <w:rPr>
          <w:i/>
          <w:iCs/>
          <w:lang w:val="en-US"/>
        </w:rPr>
        <w:t xml:space="preserve"> and </w:t>
      </w:r>
      <w:r>
        <w:rPr>
          <w:i/>
          <w:iCs/>
          <w:lang w:val="en-US"/>
        </w:rPr>
        <w:t>head circumference</w:t>
      </w:r>
      <w:r w:rsidRPr="004735C0">
        <w:rPr>
          <w:i/>
          <w:iCs/>
          <w:lang w:val="en-US"/>
        </w:rPr>
        <w:t xml:space="preserve"> and is presented in mean </w:t>
      </w:r>
      <w:r w:rsidRPr="004735C0">
        <w:rPr>
          <w:i/>
          <w:iCs/>
          <w:u w:val="single"/>
          <w:lang w:val="en-US"/>
        </w:rPr>
        <w:t>+</w:t>
      </w:r>
      <w:r w:rsidRPr="004735C0">
        <w:rPr>
          <w:i/>
          <w:iCs/>
          <w:lang w:val="en-US"/>
        </w:rPr>
        <w:t xml:space="preserve"> SD, as well as the overall characteristics of the subject [n(%)]</w:t>
      </w:r>
    </w:p>
    <w:p w14:paraId="1E713D96" w14:textId="77777777" w:rsidR="004735C0" w:rsidRPr="00732022" w:rsidRDefault="004735C0" w:rsidP="004735C0">
      <w:pPr>
        <w:pStyle w:val="ListParagraph"/>
        <w:rPr>
          <w:i/>
          <w:iCs/>
          <w:lang w:val="en-US"/>
        </w:rPr>
      </w:pPr>
    </w:p>
    <w:p w14:paraId="6698AA9A" w14:textId="65A40035" w:rsidR="00732022" w:rsidRPr="00991728" w:rsidRDefault="00991728" w:rsidP="00402398">
      <w:pPr>
        <w:pStyle w:val="ListParagraph"/>
        <w:numPr>
          <w:ilvl w:val="0"/>
          <w:numId w:val="3"/>
        </w:numPr>
        <w:rPr>
          <w:b/>
          <w:bCs/>
          <w:i/>
          <w:iCs/>
          <w:lang w:val="en-US"/>
        </w:rPr>
      </w:pPr>
      <w:r w:rsidRPr="00991728">
        <w:rPr>
          <w:b/>
          <w:bCs/>
          <w:lang w:val="en-US"/>
        </w:rPr>
        <w:t>Publication</w:t>
      </w:r>
    </w:p>
    <w:p w14:paraId="6A451A12" w14:textId="43F8D0DC" w:rsidR="00991728" w:rsidRDefault="00991728" w:rsidP="00991728">
      <w:pPr>
        <w:rPr>
          <w:i/>
          <w:iCs/>
          <w:lang w:val="en-US"/>
        </w:rPr>
      </w:pPr>
    </w:p>
    <w:p w14:paraId="42519CD2" w14:textId="2E57842A" w:rsidR="00991728" w:rsidRDefault="00991728" w:rsidP="00991728">
      <w:pPr>
        <w:pStyle w:val="ListParagraph"/>
        <w:numPr>
          <w:ilvl w:val="0"/>
          <w:numId w:val="15"/>
        </w:numPr>
        <w:rPr>
          <w:i/>
          <w:iCs/>
          <w:lang w:val="en-US"/>
        </w:rPr>
      </w:pPr>
      <w:r w:rsidRPr="00991728">
        <w:rPr>
          <w:i/>
          <w:iCs/>
          <w:lang w:val="en-US"/>
        </w:rPr>
        <w:t xml:space="preserve">Plans for publication of results in certain fields (such as epidemiology, generics, sociology) that may risk being against the benefit of the community, society, family, ethnic group, and minimize the risk of harm to this group by always maintaining the </w:t>
      </w:r>
      <w:r w:rsidRPr="00991728">
        <w:rPr>
          <w:i/>
          <w:iCs/>
          <w:lang w:val="en-US"/>
        </w:rPr>
        <w:lastRenderedPageBreak/>
        <w:t>confidentiality of data during and after the study, and publishing research results in such a way while always considering their dignity and nobility (Guideline 4) (p47)</w:t>
      </w:r>
    </w:p>
    <w:p w14:paraId="75DD29CD" w14:textId="77777777" w:rsidR="00991728" w:rsidRDefault="00991728" w:rsidP="00991728">
      <w:pPr>
        <w:ind w:left="360"/>
        <w:rPr>
          <w:i/>
          <w:iCs/>
          <w:lang w:val="en-US"/>
        </w:rPr>
      </w:pPr>
    </w:p>
    <w:p w14:paraId="4682938C" w14:textId="51DFA729" w:rsidR="00991728" w:rsidRPr="00991728" w:rsidRDefault="00991728" w:rsidP="00991728">
      <w:pPr>
        <w:ind w:left="360"/>
        <w:rPr>
          <w:i/>
          <w:iCs/>
          <w:lang w:val="en-US"/>
        </w:rPr>
      </w:pPr>
      <w:r w:rsidRPr="00991728">
        <w:rPr>
          <w:i/>
          <w:iCs/>
          <w:lang w:val="en-US"/>
        </w:rPr>
        <w:t xml:space="preserve">Planned </w:t>
      </w:r>
      <w:r>
        <w:rPr>
          <w:i/>
          <w:iCs/>
          <w:lang w:val="en-US"/>
        </w:rPr>
        <w:t xml:space="preserve">to be published </w:t>
      </w:r>
      <w:proofErr w:type="gramStart"/>
      <w:r>
        <w:rPr>
          <w:i/>
          <w:iCs/>
          <w:lang w:val="en-US"/>
        </w:rPr>
        <w:t>on  a</w:t>
      </w:r>
      <w:proofErr w:type="gramEnd"/>
      <w:r>
        <w:rPr>
          <w:i/>
          <w:iCs/>
          <w:lang w:val="en-US"/>
        </w:rPr>
        <w:t xml:space="preserve"> Q2 </w:t>
      </w:r>
      <w:r w:rsidRPr="00991728">
        <w:rPr>
          <w:i/>
          <w:iCs/>
          <w:lang w:val="en-US"/>
        </w:rPr>
        <w:t xml:space="preserve">international journal. The data is listed in the form of mean </w:t>
      </w:r>
      <w:r w:rsidRPr="00991728">
        <w:rPr>
          <w:i/>
          <w:iCs/>
          <w:u w:val="single"/>
          <w:lang w:val="en-US"/>
        </w:rPr>
        <w:t>+</w:t>
      </w:r>
      <w:r w:rsidRPr="00991728">
        <w:rPr>
          <w:i/>
          <w:iCs/>
          <w:lang w:val="en-US"/>
        </w:rPr>
        <w:t xml:space="preserve"> SD, and does not include the name of the subject. Even when the subject's results are not as expected.</w:t>
      </w:r>
    </w:p>
    <w:p w14:paraId="1A632D17" w14:textId="77777777" w:rsidR="00991728" w:rsidRPr="00991728" w:rsidRDefault="00991728" w:rsidP="00991728">
      <w:pPr>
        <w:rPr>
          <w:i/>
          <w:iCs/>
          <w:lang w:val="en-US"/>
        </w:rPr>
      </w:pPr>
    </w:p>
    <w:p w14:paraId="69C58CEA" w14:textId="77777777" w:rsidR="00991728" w:rsidRPr="00991728" w:rsidRDefault="00991728" w:rsidP="00991728">
      <w:pPr>
        <w:rPr>
          <w:i/>
          <w:iCs/>
          <w:lang w:val="en-US"/>
        </w:rPr>
      </w:pPr>
    </w:p>
    <w:p w14:paraId="5ABBEABC" w14:textId="64F13B48" w:rsidR="00991728" w:rsidRPr="00991728" w:rsidRDefault="00991728" w:rsidP="00991728">
      <w:pPr>
        <w:pStyle w:val="ListParagraph"/>
        <w:numPr>
          <w:ilvl w:val="0"/>
          <w:numId w:val="15"/>
        </w:numPr>
        <w:rPr>
          <w:i/>
          <w:iCs/>
          <w:lang w:val="en-US"/>
        </w:rPr>
      </w:pPr>
      <w:r w:rsidRPr="00991728">
        <w:rPr>
          <w:i/>
          <w:iCs/>
          <w:lang w:val="en-US"/>
        </w:rPr>
        <w:t>If the research results are negative, ensure that the results are available through publication or by reporting to the drug registration authority (Guideline 24) (p46)</w:t>
      </w:r>
    </w:p>
    <w:p w14:paraId="7629268E" w14:textId="77777777" w:rsidR="00991728" w:rsidRPr="00991728" w:rsidRDefault="00991728" w:rsidP="00991728">
      <w:pPr>
        <w:rPr>
          <w:i/>
          <w:iCs/>
          <w:lang w:val="en-US"/>
        </w:rPr>
      </w:pPr>
    </w:p>
    <w:p w14:paraId="3B7172D8" w14:textId="499BA2D6" w:rsidR="00991728" w:rsidRPr="00991728" w:rsidRDefault="00991728" w:rsidP="00991728">
      <w:pPr>
        <w:rPr>
          <w:i/>
          <w:iCs/>
          <w:lang w:val="en-US"/>
        </w:rPr>
      </w:pPr>
      <w:r w:rsidRPr="00991728">
        <w:rPr>
          <w:i/>
          <w:iCs/>
          <w:lang w:val="en-US"/>
        </w:rPr>
        <w:t xml:space="preserve">The publication </w:t>
      </w:r>
      <w:r>
        <w:rPr>
          <w:i/>
          <w:iCs/>
          <w:lang w:val="en-US"/>
        </w:rPr>
        <w:t xml:space="preserve">will still be done with additional </w:t>
      </w:r>
      <w:r w:rsidRPr="00991728">
        <w:rPr>
          <w:i/>
          <w:iCs/>
          <w:lang w:val="en-US"/>
        </w:rPr>
        <w:t>search for the causes of negative results based on the literature.</w:t>
      </w:r>
    </w:p>
    <w:p w14:paraId="4CA952B5" w14:textId="77777777" w:rsidR="00991728" w:rsidRPr="00732022" w:rsidRDefault="00991728" w:rsidP="00991728">
      <w:pPr>
        <w:pStyle w:val="ListParagraph"/>
        <w:rPr>
          <w:i/>
          <w:iCs/>
          <w:lang w:val="en-US"/>
        </w:rPr>
      </w:pPr>
    </w:p>
    <w:p w14:paraId="015BEBF3" w14:textId="410A741B" w:rsidR="00732022" w:rsidRPr="00991728" w:rsidRDefault="00991728" w:rsidP="00402398">
      <w:pPr>
        <w:pStyle w:val="ListParagraph"/>
        <w:numPr>
          <w:ilvl w:val="0"/>
          <w:numId w:val="3"/>
        </w:numPr>
        <w:rPr>
          <w:b/>
          <w:bCs/>
          <w:i/>
          <w:iCs/>
          <w:lang w:val="en-US"/>
        </w:rPr>
      </w:pPr>
      <w:r w:rsidRPr="00991728">
        <w:rPr>
          <w:b/>
          <w:bCs/>
          <w:highlight w:val="yellow"/>
          <w:lang w:val="en-US"/>
        </w:rPr>
        <w:t>Source of Funding</w:t>
      </w:r>
    </w:p>
    <w:p w14:paraId="4915133D" w14:textId="77777777" w:rsidR="00991728" w:rsidRPr="00991728" w:rsidRDefault="00991728" w:rsidP="00991728">
      <w:pPr>
        <w:pStyle w:val="ListParagraph"/>
        <w:rPr>
          <w:i/>
          <w:iCs/>
          <w:lang w:val="en-US"/>
        </w:rPr>
      </w:pPr>
    </w:p>
    <w:p w14:paraId="75F0A9D4" w14:textId="77777777" w:rsidR="00991728" w:rsidRPr="00991728" w:rsidRDefault="00991728" w:rsidP="00991728">
      <w:pPr>
        <w:rPr>
          <w:i/>
          <w:iCs/>
          <w:lang w:val="en-US"/>
        </w:rPr>
      </w:pPr>
      <w:r w:rsidRPr="00991728">
        <w:rPr>
          <w:i/>
          <w:iCs/>
          <w:lang w:val="en-US"/>
        </w:rPr>
        <w:t>Source and amount of research funding; funding institutions, and a description of the sponsor's financial commitments to research institutions, to researchers, research subjects, and, if applicable, to the community (Guideline 25) (B, S2); (p41)</w:t>
      </w:r>
    </w:p>
    <w:p w14:paraId="2CB01098" w14:textId="77777777" w:rsidR="00991728" w:rsidRPr="00991728" w:rsidRDefault="00991728" w:rsidP="00991728">
      <w:pPr>
        <w:rPr>
          <w:i/>
          <w:iCs/>
          <w:lang w:val="en-US"/>
        </w:rPr>
      </w:pPr>
    </w:p>
    <w:p w14:paraId="72B0463B" w14:textId="1A91707E" w:rsidR="00991728" w:rsidRDefault="00991728" w:rsidP="00991728">
      <w:pPr>
        <w:rPr>
          <w:i/>
          <w:iCs/>
          <w:lang w:val="en-US"/>
        </w:rPr>
      </w:pPr>
      <w:r w:rsidRPr="00991728">
        <w:rPr>
          <w:i/>
          <w:iCs/>
          <w:lang w:val="en-US"/>
        </w:rPr>
        <w:t>Personal</w:t>
      </w:r>
      <w:r w:rsidR="0040497E">
        <w:rPr>
          <w:i/>
          <w:iCs/>
          <w:lang w:val="en-US"/>
        </w:rPr>
        <w:t>/private</w:t>
      </w:r>
      <w:r w:rsidRPr="00991728">
        <w:rPr>
          <w:i/>
          <w:iCs/>
          <w:lang w:val="en-US"/>
        </w:rPr>
        <w:t xml:space="preserve"> </w:t>
      </w:r>
      <w:r>
        <w:rPr>
          <w:i/>
          <w:iCs/>
          <w:lang w:val="en-US"/>
        </w:rPr>
        <w:t xml:space="preserve">fund of </w:t>
      </w:r>
      <w:r w:rsidRPr="00991728">
        <w:rPr>
          <w:i/>
          <w:iCs/>
          <w:lang w:val="en-US"/>
        </w:rPr>
        <w:t>researcher</w:t>
      </w:r>
    </w:p>
    <w:p w14:paraId="383093A0" w14:textId="77777777" w:rsidR="00991728" w:rsidRPr="00991728" w:rsidRDefault="00991728" w:rsidP="00991728">
      <w:pPr>
        <w:rPr>
          <w:i/>
          <w:iCs/>
          <w:lang w:val="en-US"/>
        </w:rPr>
      </w:pPr>
    </w:p>
    <w:p w14:paraId="15A6D629" w14:textId="11EAC165" w:rsidR="00732022" w:rsidRPr="00991728" w:rsidRDefault="00732022" w:rsidP="00402398">
      <w:pPr>
        <w:pStyle w:val="ListParagraph"/>
        <w:numPr>
          <w:ilvl w:val="0"/>
          <w:numId w:val="3"/>
        </w:numPr>
        <w:rPr>
          <w:b/>
          <w:bCs/>
          <w:i/>
          <w:iCs/>
          <w:lang w:val="en-US"/>
        </w:rPr>
      </w:pPr>
      <w:r w:rsidRPr="00991728">
        <w:rPr>
          <w:b/>
          <w:bCs/>
          <w:lang w:val="en-US"/>
        </w:rPr>
        <w:t>Ethical commitment</w:t>
      </w:r>
    </w:p>
    <w:p w14:paraId="7609F99C" w14:textId="77777777" w:rsidR="00732022" w:rsidRPr="00732022" w:rsidRDefault="00732022" w:rsidP="00732022">
      <w:pPr>
        <w:ind w:left="360"/>
        <w:rPr>
          <w:i/>
          <w:iCs/>
          <w:lang w:val="en-US"/>
        </w:rPr>
      </w:pPr>
    </w:p>
    <w:p w14:paraId="7C1BD7F6" w14:textId="05558AD8" w:rsidR="00732022" w:rsidRPr="00732022" w:rsidRDefault="00732022" w:rsidP="00732022">
      <w:pPr>
        <w:rPr>
          <w:i/>
          <w:iCs/>
          <w:lang w:val="en-US"/>
        </w:rPr>
      </w:pPr>
      <w:r w:rsidRPr="00732022">
        <w:rPr>
          <w:i/>
          <w:iCs/>
          <w:lang w:val="en-US"/>
        </w:rPr>
        <w:t xml:space="preserve">1. Principal investigator's statement </w:t>
      </w:r>
      <w:r w:rsidR="00A15E2D">
        <w:rPr>
          <w:i/>
          <w:iCs/>
          <w:lang w:val="en-US"/>
        </w:rPr>
        <w:t>on</w:t>
      </w:r>
      <w:r w:rsidRPr="00732022">
        <w:rPr>
          <w:i/>
          <w:iCs/>
          <w:lang w:val="en-US"/>
        </w:rPr>
        <w:t xml:space="preserve"> the principles set out in this guide will be followed (p6).</w:t>
      </w:r>
    </w:p>
    <w:p w14:paraId="5338FAF7" w14:textId="77777777" w:rsidR="00732022" w:rsidRPr="00732022" w:rsidRDefault="00732022" w:rsidP="00732022">
      <w:pPr>
        <w:rPr>
          <w:i/>
          <w:iCs/>
          <w:lang w:val="en-US"/>
        </w:rPr>
      </w:pPr>
    </w:p>
    <w:p w14:paraId="4C00C6A6" w14:textId="77777777" w:rsidR="00732022" w:rsidRPr="00732022" w:rsidRDefault="00732022" w:rsidP="00732022">
      <w:pPr>
        <w:rPr>
          <w:i/>
          <w:iCs/>
          <w:lang w:val="en-US"/>
        </w:rPr>
      </w:pPr>
      <w:r w:rsidRPr="00732022">
        <w:rPr>
          <w:i/>
          <w:iCs/>
          <w:lang w:val="en-US"/>
        </w:rPr>
        <w:t>2. (Track Record) History of previous ethical protocol review proposals and their results (fill in with the title and date of the study, and the results of the Ethics Committee review (p7)</w:t>
      </w:r>
    </w:p>
    <w:p w14:paraId="54D19DE1" w14:textId="77777777" w:rsidR="00732022" w:rsidRPr="00732022" w:rsidRDefault="00732022" w:rsidP="00732022">
      <w:pPr>
        <w:rPr>
          <w:i/>
          <w:iCs/>
          <w:lang w:val="en-US"/>
        </w:rPr>
      </w:pPr>
    </w:p>
    <w:p w14:paraId="08A296D6" w14:textId="31DC3A86" w:rsidR="00732022" w:rsidRPr="00732022" w:rsidRDefault="00732022" w:rsidP="00732022">
      <w:pPr>
        <w:rPr>
          <w:i/>
          <w:iCs/>
          <w:lang w:val="en-US"/>
        </w:rPr>
      </w:pPr>
      <w:r w:rsidRPr="00732022">
        <w:rPr>
          <w:i/>
          <w:iCs/>
          <w:lang w:val="en-US"/>
        </w:rPr>
        <w:t>ANALYSIS OF ADIPOQ +45 T&gt;G, ADIPOQ -11377 C&gt;G GENE</w:t>
      </w:r>
      <w:r w:rsidR="00C55715">
        <w:rPr>
          <w:i/>
          <w:iCs/>
          <w:lang w:val="en-US"/>
        </w:rPr>
        <w:t>S’</w:t>
      </w:r>
      <w:r w:rsidRPr="00732022">
        <w:rPr>
          <w:i/>
          <w:iCs/>
          <w:lang w:val="en-US"/>
        </w:rPr>
        <w:t xml:space="preserve"> POLYMORPHISM AND ADIPONECTIN LEVELS OF OBESITY ADOLESCENT WITH METABOLIC SYNDROME</w:t>
      </w:r>
    </w:p>
    <w:p w14:paraId="608137E7" w14:textId="77777777" w:rsidR="00732022" w:rsidRPr="00732022" w:rsidRDefault="00732022" w:rsidP="00732022">
      <w:pPr>
        <w:rPr>
          <w:i/>
          <w:iCs/>
          <w:lang w:val="en-US"/>
        </w:rPr>
      </w:pPr>
    </w:p>
    <w:p w14:paraId="584A808B" w14:textId="7E6AAAF7" w:rsidR="00732022" w:rsidRPr="00732022" w:rsidRDefault="00732022" w:rsidP="00732022">
      <w:pPr>
        <w:rPr>
          <w:i/>
          <w:iCs/>
          <w:lang w:val="en-US"/>
        </w:rPr>
      </w:pPr>
      <w:r w:rsidRPr="00732022">
        <w:rPr>
          <w:i/>
          <w:iCs/>
          <w:lang w:val="en-US"/>
        </w:rPr>
        <w:t xml:space="preserve">THE EFFECT OF LACTOFERIN IN HIGH CALORIE MILK FORMULA ON THE </w:t>
      </w:r>
      <w:r w:rsidR="00C55715" w:rsidRPr="00732022">
        <w:rPr>
          <w:i/>
          <w:iCs/>
          <w:lang w:val="en-US"/>
        </w:rPr>
        <w:t>IMMUNE</w:t>
      </w:r>
      <w:r w:rsidRPr="00732022">
        <w:rPr>
          <w:i/>
          <w:iCs/>
          <w:lang w:val="en-US"/>
        </w:rPr>
        <w:t xml:space="preserve"> RESPONSE OF IL-6 AND IL-10 IN </w:t>
      </w:r>
      <w:r w:rsidR="00C55715">
        <w:rPr>
          <w:i/>
          <w:iCs/>
          <w:lang w:val="en-US"/>
        </w:rPr>
        <w:t xml:space="preserve">GROWTH FAILUR </w:t>
      </w:r>
      <w:r w:rsidRPr="00732022">
        <w:rPr>
          <w:i/>
          <w:iCs/>
          <w:lang w:val="en-US"/>
        </w:rPr>
        <w:t>CHILDREN WITH INFECTION</w:t>
      </w:r>
    </w:p>
    <w:p w14:paraId="3D32365A" w14:textId="77777777" w:rsidR="00732022" w:rsidRPr="00732022" w:rsidRDefault="00732022" w:rsidP="00732022">
      <w:pPr>
        <w:rPr>
          <w:i/>
          <w:iCs/>
          <w:lang w:val="en-US"/>
        </w:rPr>
      </w:pPr>
    </w:p>
    <w:p w14:paraId="4A5BFD13" w14:textId="35488563" w:rsidR="00732022" w:rsidRPr="00732022" w:rsidRDefault="00732022" w:rsidP="00732022">
      <w:pPr>
        <w:rPr>
          <w:i/>
          <w:iCs/>
          <w:lang w:val="en-US"/>
        </w:rPr>
      </w:pPr>
      <w:r w:rsidRPr="00732022">
        <w:rPr>
          <w:i/>
          <w:iCs/>
          <w:lang w:val="en-US"/>
        </w:rPr>
        <w:t xml:space="preserve">3. A statement that if there is </w:t>
      </w:r>
      <w:r w:rsidR="008D76B0">
        <w:rPr>
          <w:i/>
          <w:iCs/>
          <w:lang w:val="en-US"/>
        </w:rPr>
        <w:t xml:space="preserve">any </w:t>
      </w:r>
      <w:r w:rsidRPr="00732022">
        <w:rPr>
          <w:i/>
          <w:iCs/>
          <w:lang w:val="en-US"/>
        </w:rPr>
        <w:t>evidence of data falsification, it will be handled according to the sponsor's policy to take the necessary steps (p48)</w:t>
      </w:r>
    </w:p>
    <w:p w14:paraId="4608AEB3" w14:textId="77777777" w:rsidR="00732022" w:rsidRPr="00732022" w:rsidRDefault="00732022" w:rsidP="00732022">
      <w:pPr>
        <w:rPr>
          <w:i/>
          <w:iCs/>
          <w:lang w:val="en-US"/>
        </w:rPr>
      </w:pPr>
    </w:p>
    <w:p w14:paraId="4D9B61DB" w14:textId="0AD35ED1" w:rsidR="00732022" w:rsidRDefault="00732022" w:rsidP="00732022">
      <w:pPr>
        <w:rPr>
          <w:i/>
          <w:iCs/>
          <w:lang w:val="en-US"/>
        </w:rPr>
      </w:pPr>
      <w:r w:rsidRPr="00732022">
        <w:rPr>
          <w:i/>
          <w:iCs/>
          <w:lang w:val="en-US"/>
        </w:rPr>
        <w:t>If in the future evidence of data falsification is found, I will accept the sanctions that have been determined.</w:t>
      </w:r>
    </w:p>
    <w:p w14:paraId="69E939EF" w14:textId="33608700" w:rsidR="00991728" w:rsidRDefault="00991728" w:rsidP="00732022">
      <w:pPr>
        <w:rPr>
          <w:i/>
          <w:iCs/>
          <w:lang w:val="en-US"/>
        </w:rPr>
      </w:pPr>
    </w:p>
    <w:p w14:paraId="1927EA89" w14:textId="2B5D53F3" w:rsidR="00991728" w:rsidRDefault="00991728" w:rsidP="00732022">
      <w:pPr>
        <w:rPr>
          <w:i/>
          <w:iCs/>
          <w:lang w:val="en-US"/>
        </w:rPr>
      </w:pPr>
    </w:p>
    <w:p w14:paraId="366A6460" w14:textId="2A997B36" w:rsidR="00991728" w:rsidRDefault="00991728" w:rsidP="00732022">
      <w:pPr>
        <w:rPr>
          <w:i/>
          <w:iCs/>
          <w:lang w:val="en-US"/>
        </w:rPr>
      </w:pPr>
    </w:p>
    <w:p w14:paraId="5D189344" w14:textId="12D690F1" w:rsidR="00991728" w:rsidRDefault="00991728" w:rsidP="00732022">
      <w:pPr>
        <w:rPr>
          <w:i/>
          <w:iCs/>
          <w:lang w:val="en-US"/>
        </w:rPr>
      </w:pPr>
    </w:p>
    <w:p w14:paraId="4C831CFB" w14:textId="5CFBA232" w:rsidR="00991728" w:rsidRDefault="00991728" w:rsidP="00732022">
      <w:pPr>
        <w:rPr>
          <w:i/>
          <w:iCs/>
          <w:lang w:val="en-US"/>
        </w:rPr>
      </w:pPr>
    </w:p>
    <w:p w14:paraId="3C8A5046" w14:textId="21366DCA" w:rsidR="00991728" w:rsidRDefault="00991728" w:rsidP="00732022">
      <w:pPr>
        <w:rPr>
          <w:i/>
          <w:iCs/>
          <w:lang w:val="en-US"/>
        </w:rPr>
      </w:pPr>
    </w:p>
    <w:p w14:paraId="73328F89" w14:textId="5B17BFCB" w:rsidR="00991728" w:rsidRPr="004B2F2C" w:rsidRDefault="00991728" w:rsidP="00991728">
      <w:pPr>
        <w:jc w:val="right"/>
        <w:rPr>
          <w:sz w:val="22"/>
          <w:szCs w:val="22"/>
          <w:lang w:val="id-ID"/>
        </w:rPr>
      </w:pPr>
      <w:r>
        <w:rPr>
          <w:sz w:val="22"/>
          <w:szCs w:val="22"/>
          <w:lang w:val="en-US"/>
        </w:rPr>
        <w:t>Signature of Principle Investigator</w:t>
      </w:r>
    </w:p>
    <w:p w14:paraId="75B96996" w14:textId="2165CFEC" w:rsidR="00991728" w:rsidRDefault="00991728" w:rsidP="00991728">
      <w:pPr>
        <w:jc w:val="right"/>
        <w:rPr>
          <w:sz w:val="22"/>
          <w:szCs w:val="22"/>
        </w:rPr>
      </w:pPr>
      <w:r>
        <w:rPr>
          <w:sz w:val="22"/>
          <w:szCs w:val="22"/>
        </w:rPr>
        <w:t>Surabaya, Oc</w:t>
      </w:r>
      <w:r w:rsidR="00E31F36">
        <w:rPr>
          <w:sz w:val="22"/>
          <w:szCs w:val="22"/>
        </w:rPr>
        <w:t>t</w:t>
      </w:r>
      <w:r>
        <w:rPr>
          <w:sz w:val="22"/>
          <w:szCs w:val="22"/>
        </w:rPr>
        <w:t>ober</w:t>
      </w:r>
      <w:r w:rsidR="00E31F36">
        <w:rPr>
          <w:sz w:val="22"/>
          <w:szCs w:val="22"/>
        </w:rPr>
        <w:t xml:space="preserve">19th, </w:t>
      </w:r>
      <w:r>
        <w:rPr>
          <w:sz w:val="22"/>
          <w:szCs w:val="22"/>
        </w:rPr>
        <w:t xml:space="preserve">2021 </w:t>
      </w:r>
    </w:p>
    <w:p w14:paraId="00874A52" w14:textId="0E4C54EC" w:rsidR="00846320" w:rsidRDefault="00E31F36" w:rsidP="00991728">
      <w:pPr>
        <w:jc w:val="right"/>
        <w:rPr>
          <w:sz w:val="22"/>
          <w:szCs w:val="22"/>
        </w:rPr>
      </w:pPr>
      <w:r>
        <w:rPr>
          <w:noProof/>
          <w:sz w:val="22"/>
          <w:szCs w:val="22"/>
        </w:rPr>
        <w:drawing>
          <wp:inline distT="0" distB="0" distL="0" distR="0" wp14:anchorId="2162A4A6" wp14:editId="09605573">
            <wp:extent cx="2080260" cy="1400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2084292" cy="1402889"/>
                    </a:xfrm>
                    <a:prstGeom prst="rect">
                      <a:avLst/>
                    </a:prstGeom>
                  </pic:spPr>
                </pic:pic>
              </a:graphicData>
            </a:graphic>
          </wp:inline>
        </w:drawing>
      </w:r>
    </w:p>
    <w:p w14:paraId="2A438900" w14:textId="7BEB83C9" w:rsidR="00846320" w:rsidRDefault="00846320" w:rsidP="00991728">
      <w:pPr>
        <w:jc w:val="right"/>
        <w:rPr>
          <w:sz w:val="22"/>
          <w:szCs w:val="22"/>
        </w:rPr>
      </w:pPr>
    </w:p>
    <w:p w14:paraId="152BBE78" w14:textId="4A36AC3A" w:rsidR="00846320" w:rsidRDefault="00846320" w:rsidP="00991728">
      <w:pPr>
        <w:jc w:val="right"/>
        <w:rPr>
          <w:sz w:val="22"/>
          <w:szCs w:val="22"/>
        </w:rPr>
      </w:pPr>
    </w:p>
    <w:p w14:paraId="2E7A1479" w14:textId="1C7032E9" w:rsidR="00846320" w:rsidRDefault="00846320" w:rsidP="00991728">
      <w:pPr>
        <w:jc w:val="right"/>
        <w:rPr>
          <w:sz w:val="22"/>
          <w:szCs w:val="22"/>
        </w:rPr>
      </w:pPr>
    </w:p>
    <w:p w14:paraId="175DDD07" w14:textId="06F51ADB" w:rsidR="00846320" w:rsidRDefault="00846320" w:rsidP="00991728">
      <w:pPr>
        <w:jc w:val="right"/>
        <w:rPr>
          <w:sz w:val="22"/>
          <w:szCs w:val="22"/>
        </w:rPr>
      </w:pPr>
    </w:p>
    <w:p w14:paraId="0413F7B6" w14:textId="0D12C4C8" w:rsidR="00846320" w:rsidRDefault="00846320" w:rsidP="00991728">
      <w:pPr>
        <w:jc w:val="right"/>
        <w:rPr>
          <w:sz w:val="22"/>
          <w:szCs w:val="22"/>
        </w:rPr>
      </w:pPr>
    </w:p>
    <w:p w14:paraId="29A9E89A" w14:textId="0F3B6F31" w:rsidR="00846320" w:rsidRPr="004B2F2C" w:rsidRDefault="00846320" w:rsidP="00846320">
      <w:pPr>
        <w:pStyle w:val="Heading2"/>
        <w:rPr>
          <w:rFonts w:asciiTheme="minorHAnsi" w:hAnsiTheme="minorHAnsi"/>
          <w:szCs w:val="22"/>
        </w:rPr>
      </w:pPr>
      <w:r>
        <w:rPr>
          <w:rFonts w:asciiTheme="minorHAnsi" w:hAnsiTheme="minorHAnsi"/>
          <w:szCs w:val="22"/>
        </w:rPr>
        <w:t>References</w:t>
      </w:r>
    </w:p>
    <w:p w14:paraId="764D2E5D" w14:textId="77777777" w:rsidR="00846320" w:rsidRPr="00DD56F5" w:rsidRDefault="00846320" w:rsidP="00846320">
      <w:pPr>
        <w:widowControl w:val="0"/>
        <w:autoSpaceDE w:val="0"/>
        <w:autoSpaceDN w:val="0"/>
        <w:adjustRightInd w:val="0"/>
        <w:ind w:left="640" w:hanging="640"/>
        <w:rPr>
          <w:noProof/>
          <w:sz w:val="22"/>
        </w:rPr>
      </w:pPr>
      <w:r>
        <w:rPr>
          <w:rFonts w:eastAsia="MS Mincho" w:cs="MS Mincho"/>
          <w:sz w:val="22"/>
          <w:szCs w:val="22"/>
        </w:rPr>
        <w:fldChar w:fldCharType="begin" w:fldLock="1"/>
      </w:r>
      <w:r>
        <w:rPr>
          <w:rFonts w:eastAsia="MS Mincho" w:cs="MS Mincho"/>
          <w:sz w:val="22"/>
          <w:szCs w:val="22"/>
        </w:rPr>
        <w:instrText xml:space="preserve">ADDIN Mendeley Bibliography CSL_BIBLIOGRAPHY </w:instrText>
      </w:r>
      <w:r>
        <w:rPr>
          <w:rFonts w:eastAsia="MS Mincho" w:cs="MS Mincho"/>
          <w:sz w:val="22"/>
          <w:szCs w:val="22"/>
        </w:rPr>
        <w:fldChar w:fldCharType="separate"/>
      </w:r>
      <w:r w:rsidRPr="00DD56F5">
        <w:rPr>
          <w:noProof/>
          <w:sz w:val="22"/>
        </w:rPr>
        <w:t xml:space="preserve">1. </w:t>
      </w:r>
      <w:r w:rsidRPr="00DD56F5">
        <w:rPr>
          <w:noProof/>
          <w:sz w:val="22"/>
        </w:rPr>
        <w:tab/>
        <w:t xml:space="preserve">Wrighting DM, Andrews NC. Interleukin-6 induces hepcidin expression through STAT3. </w:t>
      </w:r>
      <w:r w:rsidRPr="00DD56F5">
        <w:rPr>
          <w:i/>
          <w:iCs/>
          <w:noProof/>
          <w:sz w:val="22"/>
        </w:rPr>
        <w:t>Blood</w:t>
      </w:r>
      <w:r w:rsidRPr="00DD56F5">
        <w:rPr>
          <w:noProof/>
          <w:sz w:val="22"/>
        </w:rPr>
        <w:t>. 2006;108(9):3204-3209.</w:t>
      </w:r>
    </w:p>
    <w:p w14:paraId="09F89E80"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2. </w:t>
      </w:r>
      <w:r w:rsidRPr="00DD56F5">
        <w:rPr>
          <w:noProof/>
          <w:sz w:val="22"/>
        </w:rPr>
        <w:tab/>
        <w:t xml:space="preserve">Shim JO, Kim S, Choe BH, Seo JH, Yang HR. Effect of nutritional supplement formula on catch-up growth in young children with nonorganic faltering growth: A prospective multicenter study. </w:t>
      </w:r>
      <w:r w:rsidRPr="00DD56F5">
        <w:rPr>
          <w:i/>
          <w:iCs/>
          <w:noProof/>
          <w:sz w:val="22"/>
        </w:rPr>
        <w:t>Nutr Res Pract</w:t>
      </w:r>
      <w:r w:rsidRPr="00DD56F5">
        <w:rPr>
          <w:noProof/>
          <w:sz w:val="22"/>
        </w:rPr>
        <w:t>. 2020;14(3):230-241.</w:t>
      </w:r>
    </w:p>
    <w:p w14:paraId="21E53997"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3. </w:t>
      </w:r>
      <w:r w:rsidRPr="00DD56F5">
        <w:rPr>
          <w:noProof/>
          <w:sz w:val="22"/>
        </w:rPr>
        <w:tab/>
        <w:t xml:space="preserve">Pencharz PB. Protein and energy requirements for ‘optimal’ catch-up growth. </w:t>
      </w:r>
      <w:r w:rsidRPr="00DD56F5">
        <w:rPr>
          <w:i/>
          <w:iCs/>
          <w:noProof/>
          <w:sz w:val="22"/>
        </w:rPr>
        <w:t>Eur J Clin Nutr</w:t>
      </w:r>
      <w:r w:rsidRPr="00DD56F5">
        <w:rPr>
          <w:noProof/>
          <w:sz w:val="22"/>
        </w:rPr>
        <w:t>. 2010;64:S5-S7.</w:t>
      </w:r>
    </w:p>
    <w:p w14:paraId="71DF2C52"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4. </w:t>
      </w:r>
      <w:r w:rsidRPr="00DD56F5">
        <w:rPr>
          <w:noProof/>
          <w:sz w:val="22"/>
        </w:rPr>
        <w:tab/>
        <w:t xml:space="preserve">Kareem ZU, Panuganti SK, Bhatia S. Case Report: Energy- and Nutrient-Dense Formula for Growth Faltering: A Report of Two Cases From India. </w:t>
      </w:r>
      <w:r w:rsidRPr="00DD56F5">
        <w:rPr>
          <w:i/>
          <w:iCs/>
          <w:noProof/>
          <w:sz w:val="22"/>
        </w:rPr>
        <w:t>Front Nutr</w:t>
      </w:r>
      <w:r w:rsidRPr="00DD56F5">
        <w:rPr>
          <w:noProof/>
          <w:sz w:val="22"/>
        </w:rPr>
        <w:t xml:space="preserve">. 2021;8(February):1-8. </w:t>
      </w:r>
    </w:p>
    <w:p w14:paraId="19B43729"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5. </w:t>
      </w:r>
      <w:r w:rsidRPr="00DD56F5">
        <w:rPr>
          <w:noProof/>
          <w:sz w:val="22"/>
        </w:rPr>
        <w:tab/>
        <w:t xml:space="preserve">Cooper CA, Nelson KM, Maga EA, Murray JD. Consumption of transgenic cows’ milk containing human lactoferrin results in beneficial changes in the gastrointestinal tract and systemic health of young pigs. </w:t>
      </w:r>
      <w:r w:rsidRPr="00DD56F5">
        <w:rPr>
          <w:i/>
          <w:iCs/>
          <w:noProof/>
          <w:sz w:val="22"/>
        </w:rPr>
        <w:t>Transgenic Res</w:t>
      </w:r>
      <w:r w:rsidRPr="00DD56F5">
        <w:rPr>
          <w:noProof/>
          <w:sz w:val="22"/>
        </w:rPr>
        <w:t>. 2013;22(3):571-578.</w:t>
      </w:r>
    </w:p>
    <w:p w14:paraId="31B4CCA1"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6. </w:t>
      </w:r>
      <w:r w:rsidRPr="00DD56F5">
        <w:rPr>
          <w:noProof/>
          <w:sz w:val="22"/>
        </w:rPr>
        <w:tab/>
        <w:t xml:space="preserve">Yang C, Zhu X, Liu N, et al. Lactoferrin up-regulates intestinal gene expression of brain-derived neurotrophic factors BDNF, UCHL1 and alkaline phosphatase activity to alleviate early weaning diarrhea in postnatal piglets. </w:t>
      </w:r>
      <w:r w:rsidRPr="00DD56F5">
        <w:rPr>
          <w:i/>
          <w:iCs/>
          <w:noProof/>
          <w:sz w:val="22"/>
        </w:rPr>
        <w:t>J Nutr Biochem</w:t>
      </w:r>
      <w:r w:rsidRPr="00DD56F5">
        <w:rPr>
          <w:noProof/>
          <w:sz w:val="22"/>
        </w:rPr>
        <w:t xml:space="preserve">. 2014;25(8):834-842. </w:t>
      </w:r>
    </w:p>
    <w:p w14:paraId="001B00D4"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7. </w:t>
      </w:r>
      <w:r w:rsidRPr="00DD56F5">
        <w:rPr>
          <w:noProof/>
          <w:sz w:val="22"/>
        </w:rPr>
        <w:tab/>
        <w:t xml:space="preserve">Wu J, Chen J, Wu W, et al. Enteral supplementation of bovine lactoferrin improves gut barrier function in rats after massive bowel resection. </w:t>
      </w:r>
      <w:r w:rsidRPr="00DD56F5">
        <w:rPr>
          <w:i/>
          <w:iCs/>
          <w:noProof/>
          <w:sz w:val="22"/>
        </w:rPr>
        <w:t>Br J Nutr</w:t>
      </w:r>
      <w:r w:rsidRPr="00DD56F5">
        <w:rPr>
          <w:noProof/>
          <w:sz w:val="22"/>
        </w:rPr>
        <w:t xml:space="preserve">. 2014;112(4):486-492. </w:t>
      </w:r>
    </w:p>
    <w:p w14:paraId="26FB6B4E"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8. </w:t>
      </w:r>
      <w:r w:rsidRPr="00DD56F5">
        <w:rPr>
          <w:noProof/>
          <w:sz w:val="22"/>
        </w:rPr>
        <w:tab/>
        <w:t xml:space="preserve">Arciniega-Martínez IM, Campos-Rodríguez R, Drago-Serrano ME, Sánchez-Torres LE, Cruz-Hernández TR, Reséndiz-Albor AA. Modulatory Effects of Oral Bovine Lactoferrin on the IgA Response at Inductor and Effector Sites of Distal Small Intestine from BALB/c Mice. </w:t>
      </w:r>
      <w:r w:rsidRPr="00DD56F5">
        <w:rPr>
          <w:i/>
          <w:iCs/>
          <w:noProof/>
          <w:sz w:val="22"/>
        </w:rPr>
        <w:t>Arch Immunol Ther Exp (Warsz)</w:t>
      </w:r>
      <w:r w:rsidRPr="00DD56F5">
        <w:rPr>
          <w:noProof/>
          <w:sz w:val="22"/>
        </w:rPr>
        <w:t>. 2016;64(1):57-63.</w:t>
      </w:r>
    </w:p>
    <w:p w14:paraId="16506236"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9. </w:t>
      </w:r>
      <w:r w:rsidRPr="00DD56F5">
        <w:rPr>
          <w:noProof/>
          <w:sz w:val="22"/>
        </w:rPr>
        <w:tab/>
        <w:t xml:space="preserve">Mayeur S, Spahis S, Pouliot Y, Levy E. Lactoferrin, a Pleiotropic Protein in Health and Disease. </w:t>
      </w:r>
      <w:r w:rsidRPr="00DD56F5">
        <w:rPr>
          <w:i/>
          <w:iCs/>
          <w:noProof/>
          <w:sz w:val="22"/>
        </w:rPr>
        <w:t>Antioxidants Redox Signal</w:t>
      </w:r>
      <w:r w:rsidRPr="00DD56F5">
        <w:rPr>
          <w:noProof/>
          <w:sz w:val="22"/>
        </w:rPr>
        <w:t>. 2016;24(14):813-836. doi:10.1089/ars.2015.6458</w:t>
      </w:r>
    </w:p>
    <w:p w14:paraId="24D46F6F"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10. </w:t>
      </w:r>
      <w:r w:rsidRPr="00DD56F5">
        <w:rPr>
          <w:noProof/>
          <w:sz w:val="22"/>
        </w:rPr>
        <w:tab/>
        <w:t xml:space="preserve">Saraiva M, O’Garra A. The regulation of IL-10 production by immune cells. </w:t>
      </w:r>
      <w:r w:rsidRPr="00DD56F5">
        <w:rPr>
          <w:i/>
          <w:iCs/>
          <w:noProof/>
          <w:sz w:val="22"/>
        </w:rPr>
        <w:t>Nat Rev Immunol</w:t>
      </w:r>
      <w:r w:rsidRPr="00DD56F5">
        <w:rPr>
          <w:noProof/>
          <w:sz w:val="22"/>
        </w:rPr>
        <w:t xml:space="preserve">. 2010;10(3):170-181. </w:t>
      </w:r>
    </w:p>
    <w:p w14:paraId="04C3C98C"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11. </w:t>
      </w:r>
      <w:r w:rsidRPr="00DD56F5">
        <w:rPr>
          <w:noProof/>
          <w:sz w:val="22"/>
        </w:rPr>
        <w:tab/>
        <w:t xml:space="preserve">Kell DB, Heyden EL, Pretorius E. The Biology of Lactoferrin, an Iron-Binding Protein That Can Help Defend Against Viruses and Bacteria. </w:t>
      </w:r>
      <w:r w:rsidRPr="00DD56F5">
        <w:rPr>
          <w:i/>
          <w:iCs/>
          <w:noProof/>
          <w:sz w:val="22"/>
        </w:rPr>
        <w:t>Front Immunol</w:t>
      </w:r>
      <w:r w:rsidRPr="00DD56F5">
        <w:rPr>
          <w:noProof/>
          <w:sz w:val="22"/>
        </w:rPr>
        <w:t xml:space="preserve">. 2020;11:0-2. </w:t>
      </w:r>
    </w:p>
    <w:p w14:paraId="6617B9A1" w14:textId="77777777" w:rsidR="00846320" w:rsidRPr="00DD56F5" w:rsidRDefault="00846320" w:rsidP="00846320">
      <w:pPr>
        <w:widowControl w:val="0"/>
        <w:autoSpaceDE w:val="0"/>
        <w:autoSpaceDN w:val="0"/>
        <w:adjustRightInd w:val="0"/>
        <w:ind w:left="640" w:hanging="640"/>
        <w:rPr>
          <w:noProof/>
          <w:sz w:val="22"/>
        </w:rPr>
      </w:pPr>
      <w:r w:rsidRPr="00DD56F5">
        <w:rPr>
          <w:noProof/>
          <w:sz w:val="22"/>
        </w:rPr>
        <w:t xml:space="preserve">12. </w:t>
      </w:r>
      <w:r w:rsidRPr="00DD56F5">
        <w:rPr>
          <w:noProof/>
          <w:sz w:val="22"/>
        </w:rPr>
        <w:tab/>
        <w:t xml:space="preserve">Reznikov EA, Comstock SS, Hoeflinger JL, Wang M, Miller MJ, Donovan SM. Dietary bovine Lactoferrin reduces Staphylococcus aureus in the tissues and modulates the immune response in </w:t>
      </w:r>
      <w:r w:rsidRPr="00DD56F5">
        <w:rPr>
          <w:noProof/>
          <w:sz w:val="22"/>
        </w:rPr>
        <w:lastRenderedPageBreak/>
        <w:t xml:space="preserve">piglets systemically infected with S. aureus. </w:t>
      </w:r>
      <w:r w:rsidRPr="00DD56F5">
        <w:rPr>
          <w:i/>
          <w:iCs/>
          <w:noProof/>
          <w:sz w:val="22"/>
        </w:rPr>
        <w:t>Curr Dev Nutr</w:t>
      </w:r>
      <w:r w:rsidRPr="00DD56F5">
        <w:rPr>
          <w:noProof/>
          <w:sz w:val="22"/>
        </w:rPr>
        <w:t xml:space="preserve">. 2018;2(4):1-10. </w:t>
      </w:r>
    </w:p>
    <w:p w14:paraId="3739310D" w14:textId="77777777" w:rsidR="00846320" w:rsidRPr="004B2F2C" w:rsidRDefault="00846320" w:rsidP="00846320">
      <w:pPr>
        <w:rPr>
          <w:rFonts w:eastAsia="MS Mincho" w:cs="MS Mincho"/>
          <w:sz w:val="22"/>
          <w:szCs w:val="22"/>
        </w:rPr>
      </w:pPr>
      <w:r>
        <w:rPr>
          <w:rFonts w:eastAsia="MS Mincho" w:cs="MS Mincho"/>
          <w:sz w:val="22"/>
          <w:szCs w:val="22"/>
        </w:rPr>
        <w:fldChar w:fldCharType="end"/>
      </w:r>
    </w:p>
    <w:p w14:paraId="281B9837" w14:textId="7B21A9B8" w:rsidR="00846320" w:rsidRPr="004B2F2C" w:rsidRDefault="00846320" w:rsidP="00846320">
      <w:pPr>
        <w:pStyle w:val="Heading2"/>
        <w:numPr>
          <w:ilvl w:val="0"/>
          <w:numId w:val="0"/>
        </w:numPr>
        <w:ind w:left="720"/>
        <w:rPr>
          <w:rFonts w:asciiTheme="minorHAnsi" w:eastAsia="MS Mincho" w:hAnsiTheme="minorHAnsi"/>
          <w:szCs w:val="22"/>
        </w:rPr>
      </w:pPr>
      <w:r w:rsidRPr="004B2F2C">
        <w:rPr>
          <w:rFonts w:asciiTheme="minorHAnsi" w:eastAsia="MS Mincho" w:hAnsiTheme="minorHAnsi"/>
          <w:szCs w:val="22"/>
        </w:rPr>
        <w:t>AB.</w:t>
      </w:r>
      <w:r w:rsidRPr="004B2F2C">
        <w:rPr>
          <w:rFonts w:asciiTheme="minorHAnsi" w:eastAsia="MS Mincho" w:hAnsiTheme="minorHAnsi"/>
          <w:szCs w:val="22"/>
        </w:rPr>
        <w:tab/>
      </w:r>
      <w:r>
        <w:rPr>
          <w:rFonts w:asciiTheme="minorHAnsi" w:eastAsia="MS Mincho" w:hAnsiTheme="minorHAnsi"/>
          <w:szCs w:val="22"/>
        </w:rPr>
        <w:t>Appendix</w:t>
      </w:r>
    </w:p>
    <w:p w14:paraId="45AB3D50" w14:textId="77777777" w:rsidR="00846320" w:rsidRPr="004B2F2C" w:rsidRDefault="00846320" w:rsidP="00846320">
      <w:pPr>
        <w:rPr>
          <w:sz w:val="22"/>
          <w:szCs w:val="22"/>
          <w:lang w:val="id-ID"/>
        </w:rPr>
      </w:pPr>
    </w:p>
    <w:p w14:paraId="555BFCE7" w14:textId="77777777" w:rsidR="00846320" w:rsidRPr="004B2F2C" w:rsidRDefault="00846320" w:rsidP="00846320">
      <w:pPr>
        <w:rPr>
          <w:sz w:val="22"/>
          <w:szCs w:val="22"/>
          <w:lang w:val="id-ID"/>
        </w:rPr>
      </w:pPr>
    </w:p>
    <w:p w14:paraId="450217C3" w14:textId="77777777" w:rsidR="00846320" w:rsidRPr="004B2F2C" w:rsidRDefault="00846320" w:rsidP="00846320">
      <w:pPr>
        <w:rPr>
          <w:i/>
          <w:sz w:val="22"/>
          <w:szCs w:val="22"/>
          <w:lang w:val="id-ID"/>
        </w:rPr>
      </w:pPr>
      <w:r w:rsidRPr="004B2F2C">
        <w:rPr>
          <w:i/>
          <w:sz w:val="22"/>
          <w:szCs w:val="22"/>
          <w:lang w:val="id-ID"/>
        </w:rPr>
        <w:t>* Urutan nomor pada Protokol Asli CIOMS 2016</w:t>
      </w:r>
    </w:p>
    <w:p w14:paraId="7C56789D" w14:textId="77777777" w:rsidR="00846320" w:rsidRPr="004B2F2C" w:rsidRDefault="00846320" w:rsidP="00846320">
      <w:pPr>
        <w:rPr>
          <w:i/>
          <w:sz w:val="22"/>
          <w:szCs w:val="22"/>
          <w:lang w:val="id-ID"/>
        </w:rPr>
      </w:pPr>
    </w:p>
    <w:p w14:paraId="2413E0F5" w14:textId="77777777" w:rsidR="00846320" w:rsidRPr="00846320" w:rsidRDefault="00846320" w:rsidP="00991728">
      <w:pPr>
        <w:jc w:val="right"/>
        <w:rPr>
          <w:sz w:val="22"/>
          <w:szCs w:val="22"/>
          <w:lang w:val="id-ID"/>
        </w:rPr>
      </w:pPr>
    </w:p>
    <w:p w14:paraId="401EA87D" w14:textId="77777777" w:rsidR="00991728" w:rsidRPr="00991728" w:rsidRDefault="00991728" w:rsidP="00732022">
      <w:pPr>
        <w:rPr>
          <w:i/>
          <w:iCs/>
        </w:rPr>
      </w:pPr>
    </w:p>
    <w:p w14:paraId="613D4B36" w14:textId="077B34E2" w:rsidR="00732022" w:rsidRDefault="00732022" w:rsidP="00732022">
      <w:pPr>
        <w:pStyle w:val="ListParagraph"/>
        <w:rPr>
          <w:lang w:val="en-US"/>
        </w:rPr>
      </w:pPr>
    </w:p>
    <w:p w14:paraId="1CA8798D" w14:textId="77777777" w:rsidR="00732022" w:rsidRPr="00402398" w:rsidRDefault="00732022" w:rsidP="00732022">
      <w:pPr>
        <w:pStyle w:val="ListParagraph"/>
        <w:rPr>
          <w:i/>
          <w:iCs/>
          <w:lang w:val="en-US"/>
        </w:rPr>
      </w:pPr>
    </w:p>
    <w:p w14:paraId="76EBF751" w14:textId="07EA8F43" w:rsidR="00402398" w:rsidRDefault="00402398" w:rsidP="00402398">
      <w:pPr>
        <w:pStyle w:val="ListParagraph"/>
        <w:ind w:left="360"/>
        <w:rPr>
          <w:i/>
          <w:iCs/>
          <w:lang w:val="en-US"/>
        </w:rPr>
      </w:pPr>
    </w:p>
    <w:p w14:paraId="37B623C7" w14:textId="77777777" w:rsidR="00402398" w:rsidRPr="00402398" w:rsidRDefault="00402398" w:rsidP="00402398">
      <w:pPr>
        <w:rPr>
          <w:lang w:val="en-US"/>
        </w:rPr>
      </w:pPr>
    </w:p>
    <w:sectPr w:rsidR="00402398" w:rsidRPr="0040239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B1C6E" w14:textId="77777777" w:rsidR="00BB1C3E" w:rsidRDefault="00BB1C3E" w:rsidP="004735C0">
      <w:r>
        <w:separator/>
      </w:r>
    </w:p>
  </w:endnote>
  <w:endnote w:type="continuationSeparator" w:id="0">
    <w:p w14:paraId="66C222B0" w14:textId="77777777" w:rsidR="00BB1C3E" w:rsidRDefault="00BB1C3E" w:rsidP="0047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85D5B" w14:textId="77777777" w:rsidR="00BB1C3E" w:rsidRDefault="00BB1C3E" w:rsidP="004735C0">
      <w:r>
        <w:separator/>
      </w:r>
    </w:p>
  </w:footnote>
  <w:footnote w:type="continuationSeparator" w:id="0">
    <w:p w14:paraId="384EB554" w14:textId="77777777" w:rsidR="00BB1C3E" w:rsidRDefault="00BB1C3E" w:rsidP="00473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C27"/>
    <w:multiLevelType w:val="hybridMultilevel"/>
    <w:tmpl w:val="9490FC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BC3F10"/>
    <w:multiLevelType w:val="hybridMultilevel"/>
    <w:tmpl w:val="FB6269F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8635A"/>
    <w:multiLevelType w:val="hybridMultilevel"/>
    <w:tmpl w:val="A394EB60"/>
    <w:lvl w:ilvl="0" w:tplc="9ECCA3E8">
      <w:start w:val="2"/>
      <w:numFmt w:val="bullet"/>
      <w:lvlText w:val=""/>
      <w:lvlJc w:val="left"/>
      <w:pPr>
        <w:ind w:left="1440" w:hanging="360"/>
      </w:pPr>
      <w:rPr>
        <w:rFonts w:ascii="Wingdings" w:eastAsiaTheme="minorEastAsia"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847680"/>
    <w:multiLevelType w:val="hybridMultilevel"/>
    <w:tmpl w:val="2968F832"/>
    <w:lvl w:ilvl="0" w:tplc="E6C0FB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052B94"/>
    <w:multiLevelType w:val="hybridMultilevel"/>
    <w:tmpl w:val="FE90A5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2472D2E"/>
    <w:multiLevelType w:val="hybridMultilevel"/>
    <w:tmpl w:val="8C225812"/>
    <w:lvl w:ilvl="0" w:tplc="40FA4B96">
      <w:start w:val="1"/>
      <w:numFmt w:val="upp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5A184A"/>
    <w:multiLevelType w:val="hybridMultilevel"/>
    <w:tmpl w:val="695A400A"/>
    <w:lvl w:ilvl="0" w:tplc="EA52D2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394755"/>
    <w:multiLevelType w:val="hybridMultilevel"/>
    <w:tmpl w:val="A20C39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3B0105"/>
    <w:multiLevelType w:val="hybridMultilevel"/>
    <w:tmpl w:val="0A2CB7E8"/>
    <w:lvl w:ilvl="0" w:tplc="5DB44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E77FD8"/>
    <w:multiLevelType w:val="multilevel"/>
    <w:tmpl w:val="337CA906"/>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i w:val="0"/>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0" w15:restartNumberingAfterBreak="0">
    <w:nsid w:val="41E831BE"/>
    <w:multiLevelType w:val="hybridMultilevel"/>
    <w:tmpl w:val="653AE0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2CC11FB"/>
    <w:multiLevelType w:val="hybridMultilevel"/>
    <w:tmpl w:val="1E0E4C7A"/>
    <w:lvl w:ilvl="0" w:tplc="33BC30D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6428D6"/>
    <w:multiLevelType w:val="hybridMultilevel"/>
    <w:tmpl w:val="510A4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886C2C"/>
    <w:multiLevelType w:val="hybridMultilevel"/>
    <w:tmpl w:val="96D4B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865175"/>
    <w:multiLevelType w:val="hybridMultilevel"/>
    <w:tmpl w:val="94842FAE"/>
    <w:lvl w:ilvl="0" w:tplc="BDBA0A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CA1BA7"/>
    <w:multiLevelType w:val="hybridMultilevel"/>
    <w:tmpl w:val="89CE2B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347854"/>
    <w:multiLevelType w:val="hybridMultilevel"/>
    <w:tmpl w:val="268871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3B128BA"/>
    <w:multiLevelType w:val="hybridMultilevel"/>
    <w:tmpl w:val="799CCE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0E3205"/>
    <w:multiLevelType w:val="hybridMultilevel"/>
    <w:tmpl w:val="A2CC1C9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7F26367A"/>
    <w:multiLevelType w:val="hybridMultilevel"/>
    <w:tmpl w:val="26887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9209507">
    <w:abstractNumId w:val="7"/>
  </w:num>
  <w:num w:numId="2" w16cid:durableId="106200008">
    <w:abstractNumId w:val="4"/>
  </w:num>
  <w:num w:numId="3" w16cid:durableId="2060201942">
    <w:abstractNumId w:val="5"/>
  </w:num>
  <w:num w:numId="4" w16cid:durableId="1357733736">
    <w:abstractNumId w:val="19"/>
  </w:num>
  <w:num w:numId="5" w16cid:durableId="427118702">
    <w:abstractNumId w:val="12"/>
  </w:num>
  <w:num w:numId="6" w16cid:durableId="1227256041">
    <w:abstractNumId w:val="15"/>
  </w:num>
  <w:num w:numId="7" w16cid:durableId="278147874">
    <w:abstractNumId w:val="3"/>
  </w:num>
  <w:num w:numId="8" w16cid:durableId="1806509982">
    <w:abstractNumId w:val="1"/>
  </w:num>
  <w:num w:numId="9" w16cid:durableId="901065556">
    <w:abstractNumId w:val="10"/>
  </w:num>
  <w:num w:numId="10" w16cid:durableId="524633723">
    <w:abstractNumId w:val="0"/>
  </w:num>
  <w:num w:numId="11" w16cid:durableId="1662582978">
    <w:abstractNumId w:val="17"/>
  </w:num>
  <w:num w:numId="12" w16cid:durableId="345061858">
    <w:abstractNumId w:val="11"/>
  </w:num>
  <w:num w:numId="13" w16cid:durableId="1154100425">
    <w:abstractNumId w:val="18"/>
  </w:num>
  <w:num w:numId="14" w16cid:durableId="29458347">
    <w:abstractNumId w:val="16"/>
  </w:num>
  <w:num w:numId="15" w16cid:durableId="1487165569">
    <w:abstractNumId w:val="13"/>
  </w:num>
  <w:num w:numId="16" w16cid:durableId="1007251472">
    <w:abstractNumId w:val="14"/>
  </w:num>
  <w:num w:numId="17" w16cid:durableId="289289407">
    <w:abstractNumId w:val="2"/>
  </w:num>
  <w:num w:numId="18" w16cid:durableId="1112017891">
    <w:abstractNumId w:val="8"/>
  </w:num>
  <w:num w:numId="19" w16cid:durableId="37241455">
    <w:abstractNumId w:val="9"/>
  </w:num>
  <w:num w:numId="20" w16cid:durableId="999582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5EB"/>
    <w:rsid w:val="00034627"/>
    <w:rsid w:val="000427EE"/>
    <w:rsid w:val="000D77EF"/>
    <w:rsid w:val="000F000D"/>
    <w:rsid w:val="0017163C"/>
    <w:rsid w:val="001F3860"/>
    <w:rsid w:val="002129A3"/>
    <w:rsid w:val="00256D78"/>
    <w:rsid w:val="002D7897"/>
    <w:rsid w:val="0035306E"/>
    <w:rsid w:val="0036159A"/>
    <w:rsid w:val="003B41DA"/>
    <w:rsid w:val="003E5D77"/>
    <w:rsid w:val="00402398"/>
    <w:rsid w:val="0040497E"/>
    <w:rsid w:val="004735C0"/>
    <w:rsid w:val="004C776E"/>
    <w:rsid w:val="00544FE7"/>
    <w:rsid w:val="00566F83"/>
    <w:rsid w:val="005E0DDC"/>
    <w:rsid w:val="006D533A"/>
    <w:rsid w:val="00732022"/>
    <w:rsid w:val="00751DF0"/>
    <w:rsid w:val="007A16FF"/>
    <w:rsid w:val="007B1FCF"/>
    <w:rsid w:val="007E5530"/>
    <w:rsid w:val="0082147E"/>
    <w:rsid w:val="00846320"/>
    <w:rsid w:val="008D76B0"/>
    <w:rsid w:val="00934E79"/>
    <w:rsid w:val="00972DAF"/>
    <w:rsid w:val="00991728"/>
    <w:rsid w:val="009A5616"/>
    <w:rsid w:val="00A15E2D"/>
    <w:rsid w:val="00AB06BA"/>
    <w:rsid w:val="00AD4BAC"/>
    <w:rsid w:val="00B3339B"/>
    <w:rsid w:val="00BA5B7B"/>
    <w:rsid w:val="00BB1C3E"/>
    <w:rsid w:val="00BB6663"/>
    <w:rsid w:val="00C17A41"/>
    <w:rsid w:val="00C55715"/>
    <w:rsid w:val="00C6530C"/>
    <w:rsid w:val="00C71425"/>
    <w:rsid w:val="00C75D3F"/>
    <w:rsid w:val="00D81FD2"/>
    <w:rsid w:val="00DB6EFA"/>
    <w:rsid w:val="00DE75EB"/>
    <w:rsid w:val="00DF35D9"/>
    <w:rsid w:val="00E07EB9"/>
    <w:rsid w:val="00E31F36"/>
    <w:rsid w:val="00E44DEC"/>
    <w:rsid w:val="00E74A87"/>
    <w:rsid w:val="00EB522F"/>
    <w:rsid w:val="00F714CF"/>
    <w:rsid w:val="00FC71CF"/>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3762D"/>
  <w15:chartTrackingRefBased/>
  <w15:docId w15:val="{C525EECA-2D2C-7342-881D-991E96DD6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D"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6320"/>
    <w:pPr>
      <w:keepNext/>
      <w:numPr>
        <w:numId w:val="19"/>
      </w:numPr>
      <w:spacing w:before="240" w:after="60"/>
      <w:outlineLvl w:val="0"/>
    </w:pPr>
    <w:rPr>
      <w:rFonts w:ascii="Calibri Light" w:eastAsia="Times New Roman" w:hAnsi="Calibri Light" w:cs="Times New Roman"/>
      <w:b/>
      <w:bCs/>
      <w:kern w:val="32"/>
      <w:sz w:val="32"/>
      <w:szCs w:val="32"/>
      <w:lang w:val="en-US" w:eastAsia="en-US"/>
    </w:rPr>
  </w:style>
  <w:style w:type="paragraph" w:styleId="Heading2">
    <w:name w:val="heading 2"/>
    <w:basedOn w:val="Normal"/>
    <w:next w:val="Normal"/>
    <w:link w:val="Heading2Char"/>
    <w:qFormat/>
    <w:rsid w:val="00846320"/>
    <w:pPr>
      <w:keepNext/>
      <w:numPr>
        <w:ilvl w:val="1"/>
        <w:numId w:val="19"/>
      </w:numPr>
      <w:spacing w:line="360" w:lineRule="auto"/>
      <w:jc w:val="both"/>
      <w:outlineLvl w:val="1"/>
    </w:pPr>
    <w:rPr>
      <w:rFonts w:ascii="Tahoma" w:eastAsia="Times New Roman" w:hAnsi="Tahoma" w:cs="Times New Roman"/>
      <w:b/>
      <w:bCs/>
      <w:noProof/>
      <w:sz w:val="22"/>
      <w:lang w:val="en-US" w:eastAsia="en-US"/>
    </w:rPr>
  </w:style>
  <w:style w:type="paragraph" w:styleId="Heading3">
    <w:name w:val="heading 3"/>
    <w:basedOn w:val="Normal"/>
    <w:next w:val="Normal"/>
    <w:link w:val="Heading3Char"/>
    <w:qFormat/>
    <w:rsid w:val="00846320"/>
    <w:pPr>
      <w:keepNext/>
      <w:numPr>
        <w:ilvl w:val="2"/>
        <w:numId w:val="19"/>
      </w:numPr>
      <w:outlineLvl w:val="2"/>
    </w:pPr>
    <w:rPr>
      <w:rFonts w:ascii="Tahoma" w:eastAsia="Times New Roman" w:hAnsi="Tahoma" w:cs="Times New Roman"/>
      <w:b/>
      <w:bCs/>
      <w:noProof/>
      <w:sz w:val="22"/>
      <w:lang w:val="en-US" w:eastAsia="en-US"/>
    </w:rPr>
  </w:style>
  <w:style w:type="paragraph" w:styleId="Heading4">
    <w:name w:val="heading 4"/>
    <w:basedOn w:val="Normal"/>
    <w:next w:val="Normal"/>
    <w:link w:val="Heading4Char"/>
    <w:semiHidden/>
    <w:unhideWhenUsed/>
    <w:qFormat/>
    <w:rsid w:val="00846320"/>
    <w:pPr>
      <w:keepNext/>
      <w:numPr>
        <w:ilvl w:val="3"/>
        <w:numId w:val="19"/>
      </w:numPr>
      <w:spacing w:before="240" w:after="60"/>
      <w:outlineLvl w:val="3"/>
    </w:pPr>
    <w:rPr>
      <w:rFonts w:ascii="Calibri" w:eastAsia="Times New Roman" w:hAnsi="Calibri" w:cs="Times New Roman"/>
      <w:b/>
      <w:bCs/>
      <w:sz w:val="28"/>
      <w:szCs w:val="28"/>
      <w:lang w:val="en-US" w:eastAsia="en-US"/>
    </w:rPr>
  </w:style>
  <w:style w:type="paragraph" w:styleId="Heading5">
    <w:name w:val="heading 5"/>
    <w:basedOn w:val="Normal"/>
    <w:next w:val="Normal"/>
    <w:link w:val="Heading5Char"/>
    <w:semiHidden/>
    <w:unhideWhenUsed/>
    <w:qFormat/>
    <w:rsid w:val="00846320"/>
    <w:pPr>
      <w:numPr>
        <w:ilvl w:val="4"/>
        <w:numId w:val="19"/>
      </w:numPr>
      <w:spacing w:before="240" w:after="60"/>
      <w:outlineLvl w:val="4"/>
    </w:pPr>
    <w:rPr>
      <w:rFonts w:ascii="Calibri" w:eastAsia="Times New Roman" w:hAnsi="Calibri" w:cs="Times New Roman"/>
      <w:b/>
      <w:bCs/>
      <w:i/>
      <w:iCs/>
      <w:sz w:val="26"/>
      <w:szCs w:val="26"/>
      <w:lang w:val="en-US" w:eastAsia="en-US"/>
    </w:rPr>
  </w:style>
  <w:style w:type="paragraph" w:styleId="Heading6">
    <w:name w:val="heading 6"/>
    <w:basedOn w:val="Normal"/>
    <w:next w:val="Normal"/>
    <w:link w:val="Heading6Char"/>
    <w:semiHidden/>
    <w:unhideWhenUsed/>
    <w:qFormat/>
    <w:rsid w:val="00846320"/>
    <w:pPr>
      <w:numPr>
        <w:ilvl w:val="5"/>
        <w:numId w:val="19"/>
      </w:numPr>
      <w:spacing w:before="240" w:after="60"/>
      <w:outlineLvl w:val="5"/>
    </w:pPr>
    <w:rPr>
      <w:rFonts w:ascii="Calibri" w:eastAsia="Times New Roman" w:hAnsi="Calibri" w:cs="Times New Roman"/>
      <w:b/>
      <w:bCs/>
      <w:sz w:val="22"/>
      <w:szCs w:val="22"/>
      <w:lang w:val="en-US" w:eastAsia="en-US"/>
    </w:rPr>
  </w:style>
  <w:style w:type="paragraph" w:styleId="Heading7">
    <w:name w:val="heading 7"/>
    <w:basedOn w:val="Normal"/>
    <w:next w:val="Normal"/>
    <w:link w:val="Heading7Char"/>
    <w:semiHidden/>
    <w:unhideWhenUsed/>
    <w:qFormat/>
    <w:rsid w:val="00846320"/>
    <w:pPr>
      <w:numPr>
        <w:ilvl w:val="6"/>
        <w:numId w:val="19"/>
      </w:numPr>
      <w:spacing w:before="240" w:after="60"/>
      <w:outlineLvl w:val="6"/>
    </w:pPr>
    <w:rPr>
      <w:rFonts w:ascii="Calibri" w:eastAsia="Times New Roman" w:hAnsi="Calibri" w:cs="Times New Roman"/>
      <w:sz w:val="21"/>
      <w:lang w:val="en-US" w:eastAsia="en-US"/>
    </w:rPr>
  </w:style>
  <w:style w:type="paragraph" w:styleId="Heading8">
    <w:name w:val="heading 8"/>
    <w:basedOn w:val="Normal"/>
    <w:next w:val="Normal"/>
    <w:link w:val="Heading8Char"/>
    <w:semiHidden/>
    <w:unhideWhenUsed/>
    <w:qFormat/>
    <w:rsid w:val="00846320"/>
    <w:pPr>
      <w:numPr>
        <w:ilvl w:val="7"/>
        <w:numId w:val="19"/>
      </w:numPr>
      <w:spacing w:before="240" w:after="60"/>
      <w:outlineLvl w:val="7"/>
    </w:pPr>
    <w:rPr>
      <w:rFonts w:ascii="Calibri" w:eastAsia="Times New Roman" w:hAnsi="Calibri" w:cs="Times New Roman"/>
      <w:i/>
      <w:iCs/>
      <w:sz w:val="21"/>
      <w:lang w:val="en-US" w:eastAsia="en-US"/>
    </w:rPr>
  </w:style>
  <w:style w:type="paragraph" w:styleId="Heading9">
    <w:name w:val="heading 9"/>
    <w:basedOn w:val="Normal"/>
    <w:next w:val="Normal"/>
    <w:link w:val="Heading9Char"/>
    <w:semiHidden/>
    <w:unhideWhenUsed/>
    <w:qFormat/>
    <w:rsid w:val="00846320"/>
    <w:pPr>
      <w:numPr>
        <w:ilvl w:val="8"/>
        <w:numId w:val="19"/>
      </w:numPr>
      <w:spacing w:before="240" w:after="60"/>
      <w:outlineLvl w:val="8"/>
    </w:pPr>
    <w:rPr>
      <w:rFonts w:ascii="Calibri Light" w:eastAsia="Times New Roman" w:hAnsi="Calibri Light"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E79"/>
    <w:pPr>
      <w:ind w:left="720"/>
      <w:contextualSpacing/>
    </w:pPr>
  </w:style>
  <w:style w:type="character" w:styleId="CommentReference">
    <w:name w:val="annotation reference"/>
    <w:basedOn w:val="DefaultParagraphFont"/>
    <w:uiPriority w:val="99"/>
    <w:semiHidden/>
    <w:unhideWhenUsed/>
    <w:rsid w:val="00A15E2D"/>
    <w:rPr>
      <w:sz w:val="16"/>
      <w:szCs w:val="16"/>
    </w:rPr>
  </w:style>
  <w:style w:type="paragraph" w:styleId="CommentText">
    <w:name w:val="annotation text"/>
    <w:basedOn w:val="Normal"/>
    <w:link w:val="CommentTextChar"/>
    <w:uiPriority w:val="99"/>
    <w:semiHidden/>
    <w:unhideWhenUsed/>
    <w:rsid w:val="00A15E2D"/>
    <w:rPr>
      <w:sz w:val="20"/>
      <w:szCs w:val="20"/>
    </w:rPr>
  </w:style>
  <w:style w:type="character" w:customStyle="1" w:styleId="CommentTextChar">
    <w:name w:val="Comment Text Char"/>
    <w:basedOn w:val="DefaultParagraphFont"/>
    <w:link w:val="CommentText"/>
    <w:uiPriority w:val="99"/>
    <w:semiHidden/>
    <w:rsid w:val="00A15E2D"/>
    <w:rPr>
      <w:sz w:val="20"/>
      <w:szCs w:val="20"/>
    </w:rPr>
  </w:style>
  <w:style w:type="paragraph" w:styleId="CommentSubject">
    <w:name w:val="annotation subject"/>
    <w:basedOn w:val="CommentText"/>
    <w:next w:val="CommentText"/>
    <w:link w:val="CommentSubjectChar"/>
    <w:uiPriority w:val="99"/>
    <w:semiHidden/>
    <w:unhideWhenUsed/>
    <w:rsid w:val="00A15E2D"/>
    <w:rPr>
      <w:b/>
      <w:bCs/>
    </w:rPr>
  </w:style>
  <w:style w:type="character" w:customStyle="1" w:styleId="CommentSubjectChar">
    <w:name w:val="Comment Subject Char"/>
    <w:basedOn w:val="CommentTextChar"/>
    <w:link w:val="CommentSubject"/>
    <w:uiPriority w:val="99"/>
    <w:semiHidden/>
    <w:rsid w:val="00A15E2D"/>
    <w:rPr>
      <w:b/>
      <w:bCs/>
      <w:sz w:val="20"/>
      <w:szCs w:val="20"/>
    </w:rPr>
  </w:style>
  <w:style w:type="paragraph" w:styleId="Header">
    <w:name w:val="header"/>
    <w:basedOn w:val="Normal"/>
    <w:link w:val="HeaderChar"/>
    <w:uiPriority w:val="99"/>
    <w:unhideWhenUsed/>
    <w:rsid w:val="004735C0"/>
    <w:pPr>
      <w:tabs>
        <w:tab w:val="center" w:pos="4680"/>
        <w:tab w:val="right" w:pos="9360"/>
      </w:tabs>
    </w:pPr>
  </w:style>
  <w:style w:type="character" w:customStyle="1" w:styleId="HeaderChar">
    <w:name w:val="Header Char"/>
    <w:basedOn w:val="DefaultParagraphFont"/>
    <w:link w:val="Header"/>
    <w:uiPriority w:val="99"/>
    <w:rsid w:val="004735C0"/>
  </w:style>
  <w:style w:type="paragraph" w:styleId="Footer">
    <w:name w:val="footer"/>
    <w:basedOn w:val="Normal"/>
    <w:link w:val="FooterChar"/>
    <w:uiPriority w:val="99"/>
    <w:unhideWhenUsed/>
    <w:rsid w:val="004735C0"/>
    <w:pPr>
      <w:tabs>
        <w:tab w:val="center" w:pos="4680"/>
        <w:tab w:val="right" w:pos="9360"/>
      </w:tabs>
    </w:pPr>
  </w:style>
  <w:style w:type="character" w:customStyle="1" w:styleId="FooterChar">
    <w:name w:val="Footer Char"/>
    <w:basedOn w:val="DefaultParagraphFont"/>
    <w:link w:val="Footer"/>
    <w:uiPriority w:val="99"/>
    <w:rsid w:val="004735C0"/>
  </w:style>
  <w:style w:type="character" w:customStyle="1" w:styleId="Heading1Char">
    <w:name w:val="Heading 1 Char"/>
    <w:basedOn w:val="DefaultParagraphFont"/>
    <w:link w:val="Heading1"/>
    <w:rsid w:val="00846320"/>
    <w:rPr>
      <w:rFonts w:ascii="Calibri Light" w:eastAsia="Times New Roman" w:hAnsi="Calibri Light" w:cs="Times New Roman"/>
      <w:b/>
      <w:bCs/>
      <w:kern w:val="32"/>
      <w:sz w:val="32"/>
      <w:szCs w:val="32"/>
      <w:lang w:val="en-US" w:eastAsia="en-US"/>
    </w:rPr>
  </w:style>
  <w:style w:type="character" w:customStyle="1" w:styleId="Heading2Char">
    <w:name w:val="Heading 2 Char"/>
    <w:basedOn w:val="DefaultParagraphFont"/>
    <w:link w:val="Heading2"/>
    <w:rsid w:val="00846320"/>
    <w:rPr>
      <w:rFonts w:ascii="Tahoma" w:eastAsia="Times New Roman" w:hAnsi="Tahoma" w:cs="Times New Roman"/>
      <w:b/>
      <w:bCs/>
      <w:noProof/>
      <w:sz w:val="22"/>
      <w:lang w:val="en-US" w:eastAsia="en-US"/>
    </w:rPr>
  </w:style>
  <w:style w:type="character" w:customStyle="1" w:styleId="Heading3Char">
    <w:name w:val="Heading 3 Char"/>
    <w:basedOn w:val="DefaultParagraphFont"/>
    <w:link w:val="Heading3"/>
    <w:rsid w:val="00846320"/>
    <w:rPr>
      <w:rFonts w:ascii="Tahoma" w:eastAsia="Times New Roman" w:hAnsi="Tahoma" w:cs="Times New Roman"/>
      <w:b/>
      <w:bCs/>
      <w:noProof/>
      <w:sz w:val="22"/>
      <w:lang w:val="en-US" w:eastAsia="en-US"/>
    </w:rPr>
  </w:style>
  <w:style w:type="character" w:customStyle="1" w:styleId="Heading4Char">
    <w:name w:val="Heading 4 Char"/>
    <w:basedOn w:val="DefaultParagraphFont"/>
    <w:link w:val="Heading4"/>
    <w:semiHidden/>
    <w:rsid w:val="00846320"/>
    <w:rPr>
      <w:rFonts w:ascii="Calibri" w:eastAsia="Times New Roman" w:hAnsi="Calibri" w:cs="Times New Roman"/>
      <w:b/>
      <w:bCs/>
      <w:sz w:val="28"/>
      <w:szCs w:val="28"/>
      <w:lang w:val="en-US" w:eastAsia="en-US"/>
    </w:rPr>
  </w:style>
  <w:style w:type="character" w:customStyle="1" w:styleId="Heading5Char">
    <w:name w:val="Heading 5 Char"/>
    <w:basedOn w:val="DefaultParagraphFont"/>
    <w:link w:val="Heading5"/>
    <w:semiHidden/>
    <w:rsid w:val="00846320"/>
    <w:rPr>
      <w:rFonts w:ascii="Calibri" w:eastAsia="Times New Roman" w:hAnsi="Calibri" w:cs="Times New Roman"/>
      <w:b/>
      <w:bCs/>
      <w:i/>
      <w:iCs/>
      <w:sz w:val="26"/>
      <w:szCs w:val="26"/>
      <w:lang w:val="en-US" w:eastAsia="en-US"/>
    </w:rPr>
  </w:style>
  <w:style w:type="character" w:customStyle="1" w:styleId="Heading6Char">
    <w:name w:val="Heading 6 Char"/>
    <w:basedOn w:val="DefaultParagraphFont"/>
    <w:link w:val="Heading6"/>
    <w:semiHidden/>
    <w:rsid w:val="00846320"/>
    <w:rPr>
      <w:rFonts w:ascii="Calibri" w:eastAsia="Times New Roman" w:hAnsi="Calibri" w:cs="Times New Roman"/>
      <w:b/>
      <w:bCs/>
      <w:sz w:val="22"/>
      <w:szCs w:val="22"/>
      <w:lang w:val="en-US" w:eastAsia="en-US"/>
    </w:rPr>
  </w:style>
  <w:style w:type="character" w:customStyle="1" w:styleId="Heading7Char">
    <w:name w:val="Heading 7 Char"/>
    <w:basedOn w:val="DefaultParagraphFont"/>
    <w:link w:val="Heading7"/>
    <w:semiHidden/>
    <w:rsid w:val="00846320"/>
    <w:rPr>
      <w:rFonts w:ascii="Calibri" w:eastAsia="Times New Roman" w:hAnsi="Calibri" w:cs="Times New Roman"/>
      <w:sz w:val="21"/>
      <w:lang w:val="en-US" w:eastAsia="en-US"/>
    </w:rPr>
  </w:style>
  <w:style w:type="character" w:customStyle="1" w:styleId="Heading8Char">
    <w:name w:val="Heading 8 Char"/>
    <w:basedOn w:val="DefaultParagraphFont"/>
    <w:link w:val="Heading8"/>
    <w:semiHidden/>
    <w:rsid w:val="00846320"/>
    <w:rPr>
      <w:rFonts w:ascii="Calibri" w:eastAsia="Times New Roman" w:hAnsi="Calibri" w:cs="Times New Roman"/>
      <w:i/>
      <w:iCs/>
      <w:sz w:val="21"/>
      <w:lang w:val="en-US" w:eastAsia="en-US"/>
    </w:rPr>
  </w:style>
  <w:style w:type="character" w:customStyle="1" w:styleId="Heading9Char">
    <w:name w:val="Heading 9 Char"/>
    <w:basedOn w:val="DefaultParagraphFont"/>
    <w:link w:val="Heading9"/>
    <w:semiHidden/>
    <w:rsid w:val="00846320"/>
    <w:rPr>
      <w:rFonts w:ascii="Calibri Light" w:eastAsia="Times New Roman" w:hAnsi="Calibri Light"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4168</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Winona Andrari Mardhitiyani</dc:creator>
  <cp:keywords/>
  <dc:description/>
  <cp:lastModifiedBy>eva ardianah</cp:lastModifiedBy>
  <cp:revision>2</cp:revision>
  <dcterms:created xsi:type="dcterms:W3CDTF">2023-03-11T03:24:00Z</dcterms:created>
  <dcterms:modified xsi:type="dcterms:W3CDTF">2023-03-11T03:24:00Z</dcterms:modified>
</cp:coreProperties>
</file>