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media/image3.png" ContentType="image/png"/>
  <Override PartName="/word/media/hdphoto1.wdp" ContentType="image/vnd.ms-photo"/>
  <Override PartName="/word/media/image4.png" ContentType="image/png"/>
  <Override PartName="/word/media/image5.png" ContentType="image/png"/>
  <Override PartName="/word/styles.xml" ContentType="application/vnd.openxmlformats-officedocument.wordprocessingml.styles+xml"/>
  <Override PartName="/word/theme/theme1.xml" ContentType="application/vnd.openxmlformats-officedocument.theme+xml"/>
  <Override PartName="/word/fontTable.xml" ContentType="application/vnd.openxmlformats-officedocument.wordprocessingml.fontTable+xml"/>
  <Override PartName="/word/settings.xml" ContentType="application/vnd.openxmlformats-officedocument.wordprocessingml.settings+xml"/>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Titoloprincipale"/>
        <w:rPr>
          <w:lang w:val="en-US"/>
        </w:rPr>
      </w:pPr>
      <w:r>
        <w:rPr>
          <w:lang w:val="en-US"/>
        </w:rPr>
        <w:t xml:space="preserve">Supplement 1: Analysis of SO277 AUV dives </w:t>
      </w:r>
    </w:p>
    <w:p>
      <w:pPr>
        <w:pStyle w:val="Normal"/>
        <w:rPr>
          <w:lang w:val="en-US" w:bidi="he-IL"/>
        </w:rPr>
      </w:pPr>
      <w:r>
        <w:rPr>
          <w:lang w:val="en-US" w:bidi="he-IL"/>
        </w:rPr>
      </w:r>
    </w:p>
    <w:p>
      <w:pPr>
        <w:pStyle w:val="Normal"/>
        <w:jc w:val="both"/>
        <w:rPr>
          <w:lang w:val="en-US" w:bidi="he-IL"/>
        </w:rPr>
      </w:pPr>
      <w:r>
        <w:rPr>
          <w:lang w:val="en-US" w:bidi="he-IL"/>
        </w:rPr>
        <w:t xml:space="preserve">During expedition SO277 of R/V Sonne in summer 2020 </w:t>
      </w:r>
      <w:r>
        <w:fldChar w:fldCharType="begin"/>
      </w:r>
      <w:r>
        <w:rPr>
          <w:lang w:val="en-US" w:bidi="he-IL"/>
        </w:rPr>
        <w:instrText>ADDIN CSL_CITATION {"citationItems":[{"id":"ITEM-1","itemData":{"DOI":"10.3289/GEOMAR_REP_NS_57_20","author":[{"dropping-particle":"","family":"Berndt","given":"Christian","non-dropping-particle":"","parse-names":false,"suffix":""},{"dropping-particle":"","family":"Urlaub","given":"Morelia","non-dropping-particle":"","parse-names":false,"suffix":""},{"dropping-particle":"","family":"Jegen","given":"Marion","non-dropping-particle":"","parse-names":false,"suffix":""},{"dropping-particle":"","family":"Faghih","given":"Zahra","non-dropping-particle":"","parse-names":false,"suffix":""},{"dropping-particle":"","family":"Reeck","given":"Konstantin","non-dropping-particle":"","parse-names":false,"suffix":""},{"dropping-particle":"","family":"Franz","given":"Gesa","non-dropping-particle":"","parse-names":false,"suffix":""},{"dropping-particle":"","family":"Barnscheidt","given":"Kim Carolin","non-dropping-particle":"","parse-names":false,"suffix":""},{"dropping-particle":"","family":"Wollatz-Vogt","given":"Martin","non-dropping-particle":"","parse-names":false,"suffix":""},{"dropping-particle":"","family":"Liebsch","given":"Jonas","non-dropping-particle":"","parse-names":false,"suffix":""},{"dropping-particle":"","family":"Schramm","given":"Bettina","non-dropping-particle":"","parse-names":false,"suffix":""},{"dropping-particle":"","family":"Elger","given":"Judith","non-dropping-particle":"","parse-names":false,"suffix":""},{"dropping-particle":"","family":"Kühn","given":"Michel","non-dropping-particle":"","parse-names":false,"suffix":""},{"dropping-particle":"","family":"Müller","given":"Thomas","non-dropping-particle":"","parse-names":false,"suffix":""},{"dropping-particle":"","family":"Schmidt","given":"Mark","non-dropping-particle":"","parse-names":false,"suffix":""},{"dropping-particle":"","family":"Spiegel","given":"Timo","non-dropping-particle":"","parse-names":false,"suffix":""},{"dropping-particle":"","family":"Timm","given":"Henrike","non-dropping-particle":"","parse-names":false,"suffix":""},{"dropping-particle":"","family":"Hinz","given":"Anina-Kaja","non-dropping-particle":"","parse-names":false,"suffix":""},{"dropping-particle":"","family":"Sager","given":"Thore","non-dropping-particle":"","parse-names":false,"suffix":""},{"dropping-particle":"","family":"Hilbert","given":"Helene-Sophie","non-dropping-particle":"","parse-names":false,"suffix":""},{"dropping-particle":"","family":"Rohde","given":"Lea","non-dropping-particle":"","parse-names":false,"suffix":""},{"dropping-particle":"","family":"Korbjuhn","given":"Torge","non-dropping-particle":"","parse-names":false,"suffix":""},{"dropping-particle":"","family":"Reissmann","given":"Silvia","non-dropping-particle":"","parse-names":false,"suffix":""},{"dropping-particle":"","family":"Diller","given":"Nikolaj","non-dropping-particle":"","parse-names":false,"suffix":""}],"id":"ITEM-1","issued":{"date-parts":[["2021","1"]]},"number-of-pages":"139","publisher-place":"Keil","title":"RV SONNE Fahrtbericht / Cruise Report SO277 OMAX: Offshore Malta Aquifer Exploration","type":"report"},"uris":["http://www.mendeley.com/documents/?uuid=d0d09da4-0330-4e57-99dc-5bea609fef87"]}],"mendeley":{"formattedCitation":"(Berndt et al., 2021)","plainTextFormattedCitation":"(Berndt et al., 2021)","previouslyFormattedCitation":"(Berndt et al., 2021)"},"properties":{"noteIndex":0},"schema":"https://github.com/citation-style-language/schema/raw/master/csl-citation.json"}</w:instrText>
      </w:r>
      <w:r>
        <w:rPr>
          <w:lang w:val="en-US" w:bidi="he-IL"/>
        </w:rPr>
      </w:r>
      <w:r>
        <w:rPr>
          <w:lang w:val="en-US" w:bidi="he-IL"/>
        </w:rPr>
        <w:fldChar w:fldCharType="separate"/>
      </w:r>
      <w:r>
        <w:rPr>
          <w:lang w:val="en-US" w:bidi="he-IL"/>
        </w:rPr>
        <w:t>(Berndt et al., 2021)</w:t>
      </w:r>
      <w:r>
        <w:rPr>
          <w:lang w:val="en-US" w:bidi="he-IL"/>
        </w:rPr>
      </w:r>
      <w:r>
        <w:rPr>
          <w:lang w:val="en-US" w:bidi="he-IL"/>
        </w:rPr>
        <w:fldChar w:fldCharType="end"/>
      </w:r>
      <w:r>
        <w:rPr>
          <w:lang w:val="en-US" w:bidi="he-IL"/>
        </w:rPr>
        <w:t xml:space="preserve">, near Malta six deployments of autonomous underwater vehicles (AUV) </w:t>
      </w:r>
      <w:r>
        <w:rPr/>
        <w:t>Girona 500 equipped with a CoraMo mk II Camera, Nitrate Sensor Sea-Bird SUNA V2 and Sea-Bird SBE 49 FastCAT CTD, were perfomed</w:t>
      </w:r>
      <w:r>
        <w:rPr>
          <w:lang w:val="en-US" w:bidi="he-IL"/>
        </w:rPr>
        <w:t xml:space="preserve">. </w:t>
      </w:r>
    </w:p>
    <w:p>
      <w:pPr>
        <w:pStyle w:val="Normal"/>
        <w:jc w:val="both"/>
        <w:rPr>
          <w:lang w:val="en-US" w:bidi="he-IL"/>
        </w:rPr>
      </w:pPr>
      <w:r>
        <w:rPr>
          <w:lang w:val="en-US" w:bidi="he-IL"/>
        </w:rPr>
        <w:t xml:space="preserve">The aim of the AUV deployment was to detect seepage related features, full detail can be found in the cruise report  </w:t>
      </w:r>
      <w:r>
        <w:fldChar w:fldCharType="begin"/>
      </w:r>
      <w:r>
        <w:rPr>
          <w:lang w:val="en-US" w:bidi="he-IL"/>
        </w:rPr>
        <w:instrText>ADDIN CSL_CITATION {"citationItems":[{"id":"ITEM-1","itemData":{"DOI":"10.3289/GEOMAR_REP_NS_57_20","author":[{"dropping-particle":"","family":"Berndt","given":"Christian","non-dropping-particle":"","parse-names":false,"suffix":""},{"dropping-particle":"","family":"Urlaub","given":"Morelia","non-dropping-particle":"","parse-names":false,"suffix":""},{"dropping-particle":"","family":"Jegen","given":"Marion","non-dropping-particle":"","parse-names":false,"suffix":""},{"dropping-particle":"","family":"Faghih","given":"Zahra","non-dropping-particle":"","parse-names":false,"suffix":""},{"dropping-particle":"","family":"Reeck","given":"Konstantin","non-dropping-particle":"","parse-names":false,"suffix":""},{"dropping-particle":"","family":"Franz","given":"Gesa","non-dropping-particle":"","parse-names":false,"suffix":""},{"dropping-particle":"","family":"Barnscheidt","given":"Kim Carolin","non-dropping-particle":"","parse-names":false,"suffix":""},{"dropping-particle":"","family":"Wollatz-Vogt","given":"Martin","non-dropping-particle":"","parse-names":false,"suffix":""},{"dropping-particle":"","family":"Liebsch","given":"Jonas","non-dropping-particle":"","parse-names":false,"suffix":""},{"dropping-particle":"","family":"Schramm","given":"Bettina","non-dropping-particle":"","parse-names":false,"suffix":""},{"dropping-particle":"","family":"Elger","given":"Judith","non-dropping-particle":"","parse-names":false,"suffix":""},{"dropping-particle":"","family":"Kühn","given":"Michel","non-dropping-particle":"","parse-names":false,"suffix":""},{"dropping-particle":"","family":"Müller","given":"Thomas","non-dropping-particle":"","parse-names":false,"suffix":""},{"dropping-particle":"","family":"Schmidt","given":"Mark","non-dropping-particle":"","parse-names":false,"suffix":""},{"dropping-particle":"","family":"Spiegel","given":"Timo","non-dropping-particle":"","parse-names":false,"suffix":""},{"dropping-particle":"","family":"Timm","given":"Henrike","non-dropping-particle":"","parse-names":false,"suffix":""},{"dropping-particle":"","family":"Hinz","given":"Anina-Kaja","non-dropping-particle":"","parse-names":false,"suffix":""},{"dropping-particle":"","family":"Sager","given":"Thore","non-dropping-particle":"","parse-names":false,"suffix":""},{"dropping-particle":"","family":"Hilbert","given":"Helene-Sophie","non-dropping-particle":"","parse-names":false,"suffix":""},{"dropping-particle":"","family":"Rohde","given":"Lea","non-dropping-particle":"","parse-names":false,"suffix":""},{"dropping-particle":"","family":"Korbjuhn","given":"Torge","non-dropping-particle":"","parse-names":false,"suffix":""},{"dropping-particle":"","family":"Reissmann","given":"Silvia","non-dropping-particle":"","parse-names":false,"suffix":""},{"dropping-particle":"","family":"Diller","given":"Nikolaj","non-dropping-particle":"","parse-names":false,"suffix":""}],"id":"ITEM-1","issued":{"date-parts":[["2021","1"]]},"number-of-pages":"139","publisher-place":"Keil","title":"RV SONNE Fahrtbericht / Cruise Report SO277 OMAX: Offshore Malta Aquifer Exploration","type":"report"},"uris":["http://www.mendeley.com/documents/?uuid=d0d09da4-0330-4e57-99dc-5bea609fef87"]}],"mendeley":{"formattedCitation":"(Berndt et al., 2021)","plainTextFormattedCitation":"(Berndt et al., 2021)","previouslyFormattedCitation":"(Berndt et al., 2021)"},"properties":{"noteIndex":0},"schema":"https://github.com/citation-style-language/schema/raw/master/csl-citation.json"}</w:instrText>
      </w:r>
      <w:r>
        <w:rPr>
          <w:lang w:val="en-US" w:bidi="he-IL"/>
        </w:rPr>
      </w:r>
      <w:r>
        <w:rPr>
          <w:lang w:val="en-US" w:bidi="he-IL"/>
        </w:rPr>
        <w:fldChar w:fldCharType="separate"/>
      </w:r>
      <w:r>
        <w:rPr>
          <w:lang w:val="en-US" w:bidi="he-IL"/>
        </w:rPr>
        <w:t>(Berndt et al., 2021)</w:t>
      </w:r>
      <w:r>
        <w:rPr>
          <w:lang w:val="en-US" w:bidi="he-IL"/>
        </w:rPr>
      </w:r>
      <w:r>
        <w:rPr>
          <w:lang w:val="en-US" w:bidi="he-IL"/>
        </w:rPr>
        <w:fldChar w:fldCharType="end"/>
      </w:r>
      <w:r>
        <w:rPr>
          <w:lang w:val="en-US" w:bidi="he-IL"/>
        </w:rPr>
        <w:t>. Of these six deployments, four (</w:t>
      </w:r>
      <w:r>
        <w:rPr>
          <w:color w:val="00B0F0"/>
          <w:lang w:val="en-US" w:bidi="he-IL"/>
        </w:rPr>
        <w:t>Table S1-1</w:t>
      </w:r>
      <w:r>
        <w:rPr>
          <w:lang w:val="en-US" w:bidi="he-IL"/>
        </w:rPr>
        <w:t xml:space="preserve">, </w:t>
      </w:r>
      <w:r>
        <w:rPr>
          <w:color w:val="00B0F0"/>
          <w:lang w:val="en-US" w:bidi="he-IL"/>
        </w:rPr>
        <w:t>Figure 1 / S1-1</w:t>
      </w:r>
      <w:r>
        <w:rPr>
          <w:lang w:val="en-US" w:bidi="he-IL"/>
        </w:rPr>
        <w:t xml:space="preserve">) were carried out on the shelf near the study area and the imagery data was made available for this study. The data was provided as georeferenced mosaics which were imported to QGIS </w:t>
      </w:r>
      <w:r>
        <w:fldChar w:fldCharType="begin"/>
      </w:r>
      <w:r>
        <w:rPr>
          <w:lang w:val="en-US" w:bidi="he-IL"/>
        </w:rPr>
        <w:instrText>ADDIN CSL_CITATION {"citationItems":[{"id":"ITEM-1","itemData":{"author":[{"dropping-particle":"","family":"Sutton","given":"T.","non-dropping-particle":"","parse-names":false,"suffix":""},{"dropping-particle":"","family":"Dassau","given":"O.","non-dropping-particle":"","parse-names":false,"suffix":""},{"dropping-particle":"","family":"QGIS Team","given":"","non-dropping-particle":"","parse-names":false,"suffix":""}],"id":"ITEM-1","issued":{"date-parts":[["2021"]]},"publisher":"QGIS project","title":"QGIS 3.16","type":"article"},"uris":["http://www.mendeley.com/documents/?uuid=8cd5fde2-5833-475f-b0df-edd4e63f49fb"]}],"mendeley":{"formattedCitation":"(Sutton et al., 2021)","plainTextFormattedCitation":"(Sutton et al., 2021)","previouslyFormattedCitation":"(Sutton et al., 2021)"},"properties":{"noteIndex":0},"schema":"https://github.com/citation-style-language/schema/raw/master/csl-citation.json"}</w:instrText>
      </w:r>
      <w:r>
        <w:rPr>
          <w:lang w:val="en-US" w:bidi="he-IL"/>
        </w:rPr>
      </w:r>
      <w:r>
        <w:rPr>
          <w:lang w:val="en-US" w:bidi="he-IL"/>
        </w:rPr>
        <w:fldChar w:fldCharType="separate"/>
      </w:r>
      <w:r>
        <w:rPr>
          <w:lang w:val="en-US" w:bidi="he-IL"/>
        </w:rPr>
        <w:t>(Sutton et al., 2021)</w:t>
      </w:r>
      <w:r>
        <w:rPr>
          <w:lang w:val="en-US" w:bidi="he-IL"/>
        </w:rPr>
      </w:r>
      <w:r>
        <w:rPr>
          <w:lang w:val="en-US" w:bidi="he-IL"/>
        </w:rPr>
        <w:fldChar w:fldCharType="end"/>
      </w:r>
      <w:r>
        <w:rPr>
          <w:lang w:val="en-US" w:bidi="he-IL"/>
        </w:rPr>
        <w:t xml:space="preserve"> for the analysis.</w:t>
      </w:r>
      <w:r>
        <w:rPr>
          <w:u w:val="single"/>
          <w:lang w:val="en-US" w:bidi="he-IL"/>
        </w:rPr>
        <w:t xml:space="preserve"> </w:t>
      </w:r>
      <w:r>
        <w:rPr>
          <w:lang w:val="en-US" w:bidi="he-IL"/>
        </w:rPr>
        <w:t xml:space="preserve">While two of the deployment sites are within the explicit study area, due to permitting issues, direct sampling of the locations covered by the AUV dives was not possible. Detailed description and analysis of the findings in each dive are in the following. </w:t>
      </w:r>
    </w:p>
    <w:p>
      <w:pPr>
        <w:pStyle w:val="Normal"/>
        <w:rPr>
          <w:lang w:val="en-US" w:bidi="he-IL"/>
        </w:rPr>
      </w:pPr>
      <w:r>
        <w:rPr>
          <w:lang w:val="en-US" w:bidi="he-IL"/>
        </w:rPr>
      </w:r>
    </w:p>
    <w:p>
      <w:pPr>
        <w:pStyle w:val="Caption"/>
        <w:keepNext w:val="true"/>
        <w:rPr/>
      </w:pPr>
      <w:r>
        <w:rPr/>
        <w:t xml:space="preserve">Table S1-1: technical information regarding AUV dives used in this study, information from </w:t>
      </w:r>
      <w:r>
        <w:fldChar w:fldCharType="begin"/>
      </w:r>
      <w:r>
        <w:rPr/>
        <w:instrText>ADDIN CSL_CITATION {"citationItems":[{"id":"ITEM-1","itemData":{"DOI":"10.3289/GEOMAR_REP_NS_57_20","author":[{"dropping-particle":"","family":"Berndt","given":"Christian","non-dropping-particle":"","parse-names":false,"suffix":""},{"dropping-particle":"","family":"Urlaub","given":"Morelia","non-dropping-particle":"","parse-names":false,"suffix":""},{"dropping-particle":"","family":"Jegen","given":"Marion","non-dropping-particle":"","parse-names":false,"suffix":""},{"dropping-particle":"","family":"Faghih","given":"Zahra","non-dropping-particle":"","parse-names":false,"suffix":""},{"dropping-particle":"","family":"Reeck","given":"Konstantin","non-dropping-particle":"","parse-names":false,"suffix":""},{"dropping-particle":"","family":"Franz","given":"Gesa","non-dropping-particle":"","parse-names":false,"suffix":""},{"dropping-particle":"","family":"Barnscheidt","given":"Kim Carolin","non-dropping-particle":"","parse-names":false,"suffix":""},{"dropping-particle":"","family":"Wollatz-Vogt","given":"Martin","non-dropping-particle":"","parse-names":false,"suffix":""},{"dropping-particle":"","family":"Liebsch","given":"Jonas","non-dropping-particle":"","parse-names":false,"suffix":""},{"dropping-particle":"","family":"Schramm","given":"Bettina","non-dropping-particle":"","parse-names":false,"suffix":""},{"dropping-particle":"","family":"Elger","given":"Judith","non-dropping-particle":"","parse-names":false,"suffix":""},{"dropping-particle":"","family":"Kühn","given":"Michel","non-dropping-particle":"","parse-names":false,"suffix":""},{"dropping-particle":"","family":"Müller","given":"Thomas","non-dropping-particle":"","parse-names":false,"suffix":""},{"dropping-particle":"","family":"Schmidt","given":"Mark","non-dropping-particle":"","parse-names":false,"suffix":""},{"dropping-particle":"","family":"Spiegel","given":"Timo","non-dropping-particle":"","parse-names":false,"suffix":""},{"dropping-particle":"","family":"Timm","given":"Henrike","non-dropping-particle":"","parse-names":false,"suffix":""},{"dropping-particle":"","family":"Hinz","given":"Anina-Kaja","non-dropping-particle":"","parse-names":false,"suffix":""},{"dropping-particle":"","family":"Sager","given":"Thore","non-dropping-particle":"","parse-names":false,"suffix":""},{"dropping-particle":"","family":"Hilbert","given":"Helene-Sophie","non-dropping-particle":"","parse-names":false,"suffix":""},{"dropping-particle":"","family":"Rohde","given":"Lea","non-dropping-particle":"","parse-names":false,"suffix":""},{"dropping-particle":"","family":"Korbjuhn","given":"Torge","non-dropping-particle":"","parse-names":false,"suffix":""},{"dropping-particle":"","family":"Reissmann","given":"Silvia","non-dropping-particle":"","parse-names":false,"suffix":""},{"dropping-particle":"","family":"Diller","given":"Nikolaj","non-dropping-particle":"","parse-names":false,"suffix":""}],"id":"ITEM-1","issued":{"date-parts":[["2021","1"]]},"number-of-pages":"139","publisher-place":"Keil","title":"RV SONNE Fahrtbericht / Cruise Report SO277 OMAX: Offshore Malta Aquifer Exploration","type":"report"},"uris":["http://www.mendeley.com/documents/?uuid=d0d09da4-0330-4e57-99dc-5bea609fef87"]}],"mendeley":{"formattedCitation":"(Berndt et al., 2021)","manualFormatting":"Berndt et al. (2021)","plainTextFormattedCitation":"(Berndt et al., 2021)","previouslyFormattedCitation":"(Berndt et al., 2021)"},"properties":{"noteIndex":0},"schema":"https://github.com/citation-style-language/schema/raw/master/csl-citation.json"}</w:instrText>
      </w:r>
      <w:r>
        <w:rPr/>
      </w:r>
      <w:r>
        <w:rPr/>
        <w:fldChar w:fldCharType="separate"/>
      </w:r>
      <w:r>
        <w:rPr/>
      </w:r>
      <w:r>
        <w:rPr>
          <w:lang w:val="en-US" w:bidi="he-IL"/>
        </w:rPr>
        <w:t>Berndt et al. (2021)</w:t>
      </w:r>
      <w:r>
        <w:rPr/>
      </w:r>
      <w:r>
        <w:rPr/>
        <w:fldChar w:fldCharType="end"/>
      </w:r>
    </w:p>
    <w:tbl>
      <w:tblPr>
        <w:tblStyle w:val="TableGrid"/>
        <w:tblW w:w="9016" w:type="dxa"/>
        <w:jc w:val="left"/>
        <w:tblInd w:w="0" w:type="dxa"/>
        <w:tblCellMar>
          <w:top w:w="0" w:type="dxa"/>
          <w:left w:w="108" w:type="dxa"/>
          <w:bottom w:w="0" w:type="dxa"/>
          <w:right w:w="108" w:type="dxa"/>
        </w:tblCellMar>
        <w:tblLook w:val="04a0" w:noHBand="0" w:noVBand="1" w:firstColumn="1" w:lastRow="0" w:lastColumn="0" w:firstRow="1"/>
      </w:tblPr>
      <w:tblGrid>
        <w:gridCol w:w="620"/>
        <w:gridCol w:w="836"/>
        <w:gridCol w:w="988"/>
        <w:gridCol w:w="1080"/>
        <w:gridCol w:w="1350"/>
        <w:gridCol w:w="857"/>
        <w:gridCol w:w="953"/>
        <w:gridCol w:w="2331"/>
      </w:tblGrid>
      <w:tr>
        <w:trPr/>
        <w:tc>
          <w:tcPr>
            <w:tcW w:w="620" w:type="dxa"/>
            <w:tcBorders/>
          </w:tcPr>
          <w:p>
            <w:pPr>
              <w:pStyle w:val="Normal"/>
              <w:spacing w:lineRule="auto" w:line="240" w:before="0" w:after="0"/>
              <w:rPr>
                <w:lang w:val="en-US" w:bidi="he-IL"/>
              </w:rPr>
            </w:pPr>
            <w:r>
              <w:rPr>
                <w:lang w:val="en-US" w:bidi="he-IL"/>
              </w:rPr>
              <w:t>Dive</w:t>
            </w:r>
          </w:p>
        </w:tc>
        <w:tc>
          <w:tcPr>
            <w:tcW w:w="836" w:type="dxa"/>
            <w:tcBorders/>
          </w:tcPr>
          <w:p>
            <w:pPr>
              <w:pStyle w:val="Normal"/>
              <w:spacing w:lineRule="auto" w:line="240" w:before="0" w:after="0"/>
              <w:rPr>
                <w:lang w:val="en-US" w:bidi="he-IL"/>
              </w:rPr>
            </w:pPr>
            <w:r>
              <w:rPr>
                <w:lang w:val="en-US" w:bidi="he-IL"/>
              </w:rPr>
              <w:t>SO277 station</w:t>
            </w:r>
          </w:p>
        </w:tc>
        <w:tc>
          <w:tcPr>
            <w:tcW w:w="988" w:type="dxa"/>
            <w:tcBorders/>
          </w:tcPr>
          <w:p>
            <w:pPr>
              <w:pStyle w:val="Normal"/>
              <w:spacing w:lineRule="auto" w:line="240" w:before="0" w:after="0"/>
              <w:rPr>
                <w:lang w:val="en-US" w:bidi="he-IL"/>
              </w:rPr>
            </w:pPr>
            <w:r>
              <w:rPr>
                <w:lang w:val="en-US" w:bidi="he-IL"/>
              </w:rPr>
              <w:t>Area</w:t>
            </w:r>
          </w:p>
          <w:p>
            <w:pPr>
              <w:pStyle w:val="Normal"/>
              <w:spacing w:lineRule="auto" w:line="240" w:before="0" w:after="0"/>
              <w:rPr>
                <w:lang w:val="en-US" w:bidi="he-IL"/>
              </w:rPr>
            </w:pPr>
            <w:r>
              <w:rPr>
                <w:lang w:val="en-US" w:bidi="he-IL"/>
              </w:rPr>
              <w:t>(m x m)</w:t>
            </w:r>
          </w:p>
        </w:tc>
        <w:tc>
          <w:tcPr>
            <w:tcW w:w="1080" w:type="dxa"/>
            <w:tcBorders/>
          </w:tcPr>
          <w:p>
            <w:pPr>
              <w:pStyle w:val="Normal"/>
              <w:spacing w:lineRule="auto" w:line="240" w:before="0" w:after="0"/>
              <w:rPr>
                <w:lang w:val="en-US" w:bidi="he-IL"/>
              </w:rPr>
            </w:pPr>
            <w:r>
              <w:rPr>
                <w:lang w:val="en-US" w:bidi="he-IL"/>
              </w:rPr>
              <w:t>Mission time</w:t>
            </w:r>
          </w:p>
          <w:p>
            <w:pPr>
              <w:pStyle w:val="Normal"/>
              <w:spacing w:lineRule="auto" w:line="240" w:before="0" w:after="0"/>
              <w:rPr>
                <w:lang w:val="en-US" w:bidi="he-IL"/>
              </w:rPr>
            </w:pPr>
            <w:r>
              <w:rPr>
                <w:lang w:val="en-US" w:bidi="he-IL"/>
              </w:rPr>
              <w:t>(hours)</w:t>
            </w:r>
          </w:p>
        </w:tc>
        <w:tc>
          <w:tcPr>
            <w:tcW w:w="1350" w:type="dxa"/>
            <w:tcBorders/>
          </w:tcPr>
          <w:p>
            <w:pPr>
              <w:pStyle w:val="Normal"/>
              <w:spacing w:lineRule="auto" w:line="240" w:before="0" w:after="0"/>
              <w:rPr>
                <w:lang w:val="en-US" w:bidi="he-IL"/>
              </w:rPr>
            </w:pPr>
            <w:r>
              <w:rPr>
                <w:lang w:val="en-US" w:bidi="he-IL"/>
              </w:rPr>
              <w:t>Altitude (m above seafloor)</w:t>
            </w:r>
          </w:p>
        </w:tc>
        <w:tc>
          <w:tcPr>
            <w:tcW w:w="857" w:type="dxa"/>
            <w:tcBorders/>
          </w:tcPr>
          <w:p>
            <w:pPr>
              <w:pStyle w:val="Normal"/>
              <w:spacing w:lineRule="auto" w:line="240" w:before="0" w:after="0"/>
              <w:rPr>
                <w:lang w:val="en-US" w:bidi="he-IL"/>
              </w:rPr>
            </w:pPr>
            <w:r>
              <w:rPr>
                <w:lang w:val="en-US" w:bidi="he-IL"/>
              </w:rPr>
              <w:t>Depth (mpsl)</w:t>
            </w:r>
          </w:p>
        </w:tc>
        <w:tc>
          <w:tcPr>
            <w:tcW w:w="953" w:type="dxa"/>
            <w:tcBorders/>
          </w:tcPr>
          <w:p>
            <w:pPr>
              <w:pStyle w:val="Normal"/>
              <w:spacing w:lineRule="auto" w:line="240" w:before="0" w:after="0"/>
              <w:rPr>
                <w:lang w:val="en-US" w:bidi="he-IL"/>
              </w:rPr>
            </w:pPr>
            <w:r>
              <w:rPr>
                <w:lang w:val="en-US" w:bidi="he-IL"/>
              </w:rPr>
              <w:t>No. of images</w:t>
            </w:r>
          </w:p>
        </w:tc>
        <w:tc>
          <w:tcPr>
            <w:tcW w:w="2331" w:type="dxa"/>
            <w:tcBorders/>
          </w:tcPr>
          <w:p>
            <w:pPr>
              <w:pStyle w:val="Normal"/>
              <w:spacing w:lineRule="auto" w:line="240" w:before="0" w:after="0"/>
              <w:rPr>
                <w:lang w:val="en-US" w:bidi="he-IL"/>
              </w:rPr>
            </w:pPr>
            <w:r>
              <w:rPr>
                <w:lang w:val="en-US" w:bidi="he-IL"/>
              </w:rPr>
              <w:t>Substrate type (based on backscatter classification)</w:t>
            </w:r>
          </w:p>
        </w:tc>
      </w:tr>
      <w:tr>
        <w:trPr/>
        <w:tc>
          <w:tcPr>
            <w:tcW w:w="620" w:type="dxa"/>
            <w:tcBorders/>
          </w:tcPr>
          <w:p>
            <w:pPr>
              <w:pStyle w:val="Normal"/>
              <w:spacing w:lineRule="auto" w:line="240" w:before="0" w:after="0"/>
              <w:rPr>
                <w:lang w:val="en-US" w:bidi="he-IL"/>
              </w:rPr>
            </w:pPr>
            <w:r>
              <w:rPr>
                <w:lang w:val="en-US" w:bidi="he-IL"/>
              </w:rPr>
              <w:t>1</w:t>
            </w:r>
          </w:p>
        </w:tc>
        <w:tc>
          <w:tcPr>
            <w:tcW w:w="836" w:type="dxa"/>
            <w:tcBorders/>
          </w:tcPr>
          <w:p>
            <w:pPr>
              <w:pStyle w:val="Normal"/>
              <w:spacing w:lineRule="auto" w:line="240" w:before="0" w:after="0"/>
              <w:rPr>
                <w:lang w:val="en-US" w:bidi="he-IL"/>
              </w:rPr>
            </w:pPr>
            <w:r>
              <w:rPr>
                <w:lang w:val="en-US" w:bidi="he-IL"/>
              </w:rPr>
              <w:t>044</w:t>
            </w:r>
          </w:p>
        </w:tc>
        <w:tc>
          <w:tcPr>
            <w:tcW w:w="988" w:type="dxa"/>
            <w:tcBorders/>
          </w:tcPr>
          <w:p>
            <w:pPr>
              <w:pStyle w:val="Normal"/>
              <w:spacing w:lineRule="auto" w:line="240" w:before="0" w:after="0"/>
              <w:rPr>
                <w:lang w:val="en-US" w:bidi="he-IL"/>
              </w:rPr>
            </w:pPr>
            <w:r>
              <w:rPr>
                <w:lang w:val="en-US" w:bidi="he-IL"/>
              </w:rPr>
              <w:t>170x100</w:t>
            </w:r>
          </w:p>
        </w:tc>
        <w:tc>
          <w:tcPr>
            <w:tcW w:w="1080" w:type="dxa"/>
            <w:tcBorders/>
          </w:tcPr>
          <w:p>
            <w:pPr>
              <w:pStyle w:val="Normal"/>
              <w:spacing w:lineRule="auto" w:line="240" w:before="0" w:after="0"/>
              <w:rPr>
                <w:lang w:val="en-US" w:bidi="he-IL"/>
              </w:rPr>
            </w:pPr>
            <w:r>
              <w:rPr>
                <w:lang w:val="en-US" w:bidi="he-IL"/>
              </w:rPr>
              <w:t>6.0</w:t>
            </w:r>
          </w:p>
        </w:tc>
        <w:tc>
          <w:tcPr>
            <w:tcW w:w="1350" w:type="dxa"/>
            <w:tcBorders/>
          </w:tcPr>
          <w:p>
            <w:pPr>
              <w:pStyle w:val="Normal"/>
              <w:spacing w:lineRule="auto" w:line="240" w:before="0" w:after="0"/>
              <w:rPr>
                <w:lang w:val="en-US" w:bidi="he-IL"/>
              </w:rPr>
            </w:pPr>
            <w:r>
              <w:rPr>
                <w:lang w:val="en-US" w:bidi="he-IL"/>
              </w:rPr>
              <w:t>1.7</w:t>
            </w:r>
          </w:p>
        </w:tc>
        <w:tc>
          <w:tcPr>
            <w:tcW w:w="857" w:type="dxa"/>
            <w:tcBorders/>
          </w:tcPr>
          <w:p>
            <w:pPr>
              <w:pStyle w:val="Normal"/>
              <w:spacing w:lineRule="auto" w:line="240" w:before="0" w:after="0"/>
              <w:rPr>
                <w:lang w:val="en-US" w:bidi="he-IL"/>
              </w:rPr>
            </w:pPr>
            <w:r>
              <w:rPr>
                <w:lang w:val="en-US" w:bidi="he-IL"/>
              </w:rPr>
              <w:t>~-47</w:t>
            </w:r>
          </w:p>
        </w:tc>
        <w:tc>
          <w:tcPr>
            <w:tcW w:w="953" w:type="dxa"/>
            <w:tcBorders/>
          </w:tcPr>
          <w:p>
            <w:pPr>
              <w:pStyle w:val="Normal"/>
              <w:spacing w:lineRule="auto" w:line="240" w:before="0" w:after="0"/>
              <w:rPr>
                <w:lang w:val="en-US" w:bidi="he-IL"/>
              </w:rPr>
            </w:pPr>
            <w:r>
              <w:rPr>
                <w:lang w:val="en-US" w:bidi="he-IL"/>
              </w:rPr>
              <w:t>~14000</w:t>
            </w:r>
          </w:p>
        </w:tc>
        <w:tc>
          <w:tcPr>
            <w:tcW w:w="2331" w:type="dxa"/>
            <w:tcBorders/>
          </w:tcPr>
          <w:p>
            <w:pPr>
              <w:pStyle w:val="Normal"/>
              <w:spacing w:lineRule="auto" w:line="240" w:before="0" w:after="0"/>
              <w:rPr>
                <w:lang w:val="en-US" w:bidi="he-IL"/>
              </w:rPr>
            </w:pPr>
            <w:r>
              <w:rPr>
                <w:lang w:val="en-US" w:bidi="he-IL"/>
              </w:rPr>
              <w:t>Rhodolith and Maerl</w:t>
            </w:r>
          </w:p>
        </w:tc>
      </w:tr>
      <w:tr>
        <w:trPr/>
        <w:tc>
          <w:tcPr>
            <w:tcW w:w="620" w:type="dxa"/>
            <w:tcBorders/>
          </w:tcPr>
          <w:p>
            <w:pPr>
              <w:pStyle w:val="Normal"/>
              <w:spacing w:lineRule="auto" w:line="240" w:before="0" w:after="0"/>
              <w:rPr>
                <w:lang w:val="en-US" w:bidi="he-IL"/>
              </w:rPr>
            </w:pPr>
            <w:r>
              <w:rPr>
                <w:lang w:val="en-US" w:bidi="he-IL"/>
              </w:rPr>
              <w:t>2</w:t>
            </w:r>
          </w:p>
        </w:tc>
        <w:tc>
          <w:tcPr>
            <w:tcW w:w="836" w:type="dxa"/>
            <w:tcBorders/>
          </w:tcPr>
          <w:p>
            <w:pPr>
              <w:pStyle w:val="Normal"/>
              <w:spacing w:lineRule="auto" w:line="240" w:before="0" w:after="0"/>
              <w:rPr>
                <w:lang w:val="en-US" w:bidi="he-IL"/>
              </w:rPr>
            </w:pPr>
            <w:r>
              <w:rPr>
                <w:lang w:val="en-US" w:bidi="he-IL"/>
              </w:rPr>
              <w:t>028</w:t>
            </w:r>
          </w:p>
        </w:tc>
        <w:tc>
          <w:tcPr>
            <w:tcW w:w="988" w:type="dxa"/>
            <w:tcBorders/>
          </w:tcPr>
          <w:p>
            <w:pPr>
              <w:pStyle w:val="Normal"/>
              <w:spacing w:lineRule="auto" w:line="240" w:before="0" w:after="0"/>
              <w:rPr>
                <w:lang w:val="en-US" w:bidi="he-IL"/>
              </w:rPr>
            </w:pPr>
            <w:r>
              <w:rPr>
                <w:lang w:val="en-US" w:bidi="he-IL"/>
              </w:rPr>
              <w:t>140x140</w:t>
            </w:r>
          </w:p>
        </w:tc>
        <w:tc>
          <w:tcPr>
            <w:tcW w:w="1080" w:type="dxa"/>
            <w:tcBorders/>
          </w:tcPr>
          <w:p>
            <w:pPr>
              <w:pStyle w:val="Normal"/>
              <w:spacing w:lineRule="auto" w:line="240" w:before="0" w:after="0"/>
              <w:rPr>
                <w:lang w:val="en-US" w:bidi="he-IL"/>
              </w:rPr>
            </w:pPr>
            <w:r>
              <w:rPr>
                <w:lang w:val="en-US" w:bidi="he-IL"/>
              </w:rPr>
              <w:t>6.5</w:t>
            </w:r>
          </w:p>
        </w:tc>
        <w:tc>
          <w:tcPr>
            <w:tcW w:w="1350" w:type="dxa"/>
            <w:tcBorders/>
          </w:tcPr>
          <w:p>
            <w:pPr>
              <w:pStyle w:val="Normal"/>
              <w:spacing w:lineRule="auto" w:line="240" w:before="0" w:after="0"/>
              <w:rPr>
                <w:lang w:val="en-US" w:bidi="he-IL"/>
              </w:rPr>
            </w:pPr>
            <w:r>
              <w:rPr>
                <w:lang w:val="en-US" w:bidi="he-IL"/>
              </w:rPr>
              <w:t>2.0</w:t>
            </w:r>
          </w:p>
        </w:tc>
        <w:tc>
          <w:tcPr>
            <w:tcW w:w="857" w:type="dxa"/>
            <w:tcBorders/>
          </w:tcPr>
          <w:p>
            <w:pPr>
              <w:pStyle w:val="Normal"/>
              <w:spacing w:lineRule="auto" w:line="240" w:before="0" w:after="0"/>
              <w:rPr>
                <w:lang w:val="en-US" w:bidi="he-IL"/>
              </w:rPr>
            </w:pPr>
            <w:r>
              <w:rPr>
                <w:lang w:val="en-US" w:bidi="he-IL"/>
              </w:rPr>
              <w:t>~-40</w:t>
            </w:r>
          </w:p>
        </w:tc>
        <w:tc>
          <w:tcPr>
            <w:tcW w:w="953" w:type="dxa"/>
            <w:tcBorders/>
          </w:tcPr>
          <w:p>
            <w:pPr>
              <w:pStyle w:val="Normal"/>
              <w:spacing w:lineRule="auto" w:line="240" w:before="0" w:after="0"/>
              <w:rPr>
                <w:lang w:val="en-US" w:bidi="he-IL"/>
              </w:rPr>
            </w:pPr>
            <w:r>
              <w:rPr>
                <w:lang w:val="en-US" w:bidi="he-IL"/>
              </w:rPr>
              <w:t>~22500</w:t>
            </w:r>
          </w:p>
        </w:tc>
        <w:tc>
          <w:tcPr>
            <w:tcW w:w="2331" w:type="dxa"/>
            <w:tcBorders/>
          </w:tcPr>
          <w:p>
            <w:pPr>
              <w:pStyle w:val="Normal"/>
              <w:spacing w:lineRule="auto" w:line="240" w:before="0" w:after="0"/>
              <w:rPr>
                <w:lang w:val="en-US" w:bidi="he-IL"/>
              </w:rPr>
            </w:pPr>
            <w:r>
              <w:rPr>
                <w:i/>
                <w:iCs/>
                <w:lang w:val="en-US" w:bidi="he-IL"/>
              </w:rPr>
              <w:t>Posidonia</w:t>
            </w:r>
            <w:r>
              <w:rPr>
                <w:lang w:val="en-US" w:bidi="he-IL"/>
              </w:rPr>
              <w:t xml:space="preserve"> meadows</w:t>
            </w:r>
          </w:p>
        </w:tc>
      </w:tr>
      <w:tr>
        <w:trPr/>
        <w:tc>
          <w:tcPr>
            <w:tcW w:w="620" w:type="dxa"/>
            <w:tcBorders/>
          </w:tcPr>
          <w:p>
            <w:pPr>
              <w:pStyle w:val="Normal"/>
              <w:spacing w:lineRule="auto" w:line="240" w:before="0" w:after="0"/>
              <w:rPr>
                <w:lang w:val="en-US" w:bidi="he-IL"/>
              </w:rPr>
            </w:pPr>
            <w:r>
              <w:rPr>
                <w:lang w:val="en-US" w:bidi="he-IL"/>
              </w:rPr>
              <w:t>3</w:t>
            </w:r>
          </w:p>
        </w:tc>
        <w:tc>
          <w:tcPr>
            <w:tcW w:w="836" w:type="dxa"/>
            <w:tcBorders/>
          </w:tcPr>
          <w:p>
            <w:pPr>
              <w:pStyle w:val="Normal"/>
              <w:spacing w:lineRule="auto" w:line="240" w:before="0" w:after="0"/>
              <w:rPr>
                <w:lang w:val="en-US" w:bidi="he-IL"/>
              </w:rPr>
            </w:pPr>
            <w:r>
              <w:rPr>
                <w:lang w:val="en-US" w:bidi="he-IL"/>
              </w:rPr>
              <w:t>037</w:t>
            </w:r>
          </w:p>
        </w:tc>
        <w:tc>
          <w:tcPr>
            <w:tcW w:w="988" w:type="dxa"/>
            <w:tcBorders/>
          </w:tcPr>
          <w:p>
            <w:pPr>
              <w:pStyle w:val="Normal"/>
              <w:spacing w:lineRule="auto" w:line="240" w:before="0" w:after="0"/>
              <w:rPr>
                <w:lang w:val="en-US" w:bidi="he-IL"/>
              </w:rPr>
            </w:pPr>
            <w:r>
              <w:rPr>
                <w:lang w:val="en-US" w:bidi="he-IL"/>
              </w:rPr>
              <w:t>45x45</w:t>
            </w:r>
          </w:p>
        </w:tc>
        <w:tc>
          <w:tcPr>
            <w:tcW w:w="1080" w:type="dxa"/>
            <w:tcBorders/>
          </w:tcPr>
          <w:p>
            <w:pPr>
              <w:pStyle w:val="Normal"/>
              <w:spacing w:lineRule="auto" w:line="240" w:before="0" w:after="0"/>
              <w:rPr>
                <w:lang w:val="en-US" w:bidi="he-IL"/>
              </w:rPr>
            </w:pPr>
            <w:r>
              <w:rPr>
                <w:lang w:val="en-US" w:bidi="he-IL"/>
              </w:rPr>
              <w:t>1.0</w:t>
            </w:r>
          </w:p>
        </w:tc>
        <w:tc>
          <w:tcPr>
            <w:tcW w:w="1350" w:type="dxa"/>
            <w:tcBorders/>
          </w:tcPr>
          <w:p>
            <w:pPr>
              <w:pStyle w:val="Normal"/>
              <w:spacing w:lineRule="auto" w:line="240" w:before="0" w:after="0"/>
              <w:rPr>
                <w:lang w:val="en-US" w:bidi="he-IL"/>
              </w:rPr>
            </w:pPr>
            <w:r>
              <w:rPr>
                <w:lang w:val="en-US" w:bidi="he-IL"/>
              </w:rPr>
              <w:t>1.7</w:t>
            </w:r>
          </w:p>
        </w:tc>
        <w:tc>
          <w:tcPr>
            <w:tcW w:w="857" w:type="dxa"/>
            <w:tcBorders/>
          </w:tcPr>
          <w:p>
            <w:pPr>
              <w:pStyle w:val="Normal"/>
              <w:spacing w:lineRule="auto" w:line="240" w:before="0" w:after="0"/>
              <w:rPr>
                <w:lang w:val="en-US" w:bidi="he-IL"/>
              </w:rPr>
            </w:pPr>
            <w:r>
              <w:rPr>
                <w:lang w:val="en-US" w:bidi="he-IL"/>
              </w:rPr>
              <w:t>~-70</w:t>
            </w:r>
          </w:p>
        </w:tc>
        <w:tc>
          <w:tcPr>
            <w:tcW w:w="953" w:type="dxa"/>
            <w:tcBorders/>
          </w:tcPr>
          <w:p>
            <w:pPr>
              <w:pStyle w:val="Normal"/>
              <w:spacing w:lineRule="auto" w:line="240" w:before="0" w:after="0"/>
              <w:rPr>
                <w:lang w:val="en-US" w:bidi="he-IL"/>
              </w:rPr>
            </w:pPr>
            <w:r>
              <w:rPr>
                <w:lang w:val="en-US" w:bidi="he-IL"/>
              </w:rPr>
              <w:t>~3500</w:t>
            </w:r>
          </w:p>
        </w:tc>
        <w:tc>
          <w:tcPr>
            <w:tcW w:w="2331" w:type="dxa"/>
            <w:tcBorders/>
          </w:tcPr>
          <w:p>
            <w:pPr>
              <w:pStyle w:val="Normal"/>
              <w:spacing w:lineRule="auto" w:line="240" w:before="0" w:after="0"/>
              <w:rPr>
                <w:lang w:val="en-US" w:bidi="he-IL"/>
              </w:rPr>
            </w:pPr>
            <w:r>
              <w:rPr>
                <w:lang w:val="en-US" w:bidi="he-IL"/>
              </w:rPr>
              <w:t>Rhodolith and Maerl</w:t>
            </w:r>
          </w:p>
        </w:tc>
      </w:tr>
      <w:tr>
        <w:trPr/>
        <w:tc>
          <w:tcPr>
            <w:tcW w:w="620" w:type="dxa"/>
            <w:tcBorders/>
          </w:tcPr>
          <w:p>
            <w:pPr>
              <w:pStyle w:val="Normal"/>
              <w:spacing w:lineRule="auto" w:line="240" w:before="0" w:after="0"/>
              <w:rPr>
                <w:lang w:val="en-US" w:bidi="he-IL"/>
              </w:rPr>
            </w:pPr>
            <w:r>
              <w:rPr>
                <w:lang w:val="en-US" w:bidi="he-IL"/>
              </w:rPr>
              <w:t>4</w:t>
            </w:r>
          </w:p>
        </w:tc>
        <w:tc>
          <w:tcPr>
            <w:tcW w:w="836" w:type="dxa"/>
            <w:tcBorders/>
          </w:tcPr>
          <w:p>
            <w:pPr>
              <w:pStyle w:val="Normal"/>
              <w:spacing w:lineRule="auto" w:line="240" w:before="0" w:after="0"/>
              <w:rPr>
                <w:lang w:val="en-US" w:bidi="he-IL"/>
              </w:rPr>
            </w:pPr>
            <w:r>
              <w:rPr>
                <w:lang w:val="en-US" w:bidi="he-IL"/>
              </w:rPr>
              <w:t>008</w:t>
            </w:r>
          </w:p>
        </w:tc>
        <w:tc>
          <w:tcPr>
            <w:tcW w:w="988" w:type="dxa"/>
            <w:tcBorders/>
          </w:tcPr>
          <w:p>
            <w:pPr>
              <w:pStyle w:val="Normal"/>
              <w:spacing w:lineRule="auto" w:line="240" w:before="0" w:after="0"/>
              <w:rPr>
                <w:lang w:val="en-US" w:bidi="he-IL"/>
              </w:rPr>
            </w:pPr>
            <w:r>
              <w:rPr>
                <w:lang w:val="en-US" w:bidi="he-IL"/>
              </w:rPr>
              <w:t>150x650</w:t>
            </w:r>
          </w:p>
        </w:tc>
        <w:tc>
          <w:tcPr>
            <w:tcW w:w="1080" w:type="dxa"/>
            <w:tcBorders/>
          </w:tcPr>
          <w:p>
            <w:pPr>
              <w:pStyle w:val="Normal"/>
              <w:spacing w:lineRule="auto" w:line="240" w:before="0" w:after="0"/>
              <w:rPr>
                <w:lang w:val="en-US" w:bidi="he-IL"/>
              </w:rPr>
            </w:pPr>
            <w:r>
              <w:rPr>
                <w:lang w:val="en-US" w:bidi="he-IL"/>
              </w:rPr>
              <w:t>4.5</w:t>
            </w:r>
          </w:p>
        </w:tc>
        <w:tc>
          <w:tcPr>
            <w:tcW w:w="1350" w:type="dxa"/>
            <w:tcBorders/>
          </w:tcPr>
          <w:p>
            <w:pPr>
              <w:pStyle w:val="Normal"/>
              <w:spacing w:lineRule="auto" w:line="240" w:before="0" w:after="0"/>
              <w:rPr>
                <w:lang w:val="en-US" w:bidi="he-IL"/>
              </w:rPr>
            </w:pPr>
            <w:r>
              <w:rPr>
                <w:lang w:val="en-US" w:bidi="he-IL"/>
              </w:rPr>
              <w:t>1.5</w:t>
            </w:r>
          </w:p>
        </w:tc>
        <w:tc>
          <w:tcPr>
            <w:tcW w:w="857" w:type="dxa"/>
            <w:tcBorders/>
          </w:tcPr>
          <w:p>
            <w:pPr>
              <w:pStyle w:val="Normal"/>
              <w:spacing w:lineRule="auto" w:line="240" w:before="0" w:after="0"/>
              <w:rPr>
                <w:lang w:val="en-US" w:bidi="he-IL"/>
              </w:rPr>
            </w:pPr>
            <w:r>
              <w:rPr>
                <w:lang w:val="en-US" w:bidi="he-IL"/>
              </w:rPr>
              <w:t>~-47</w:t>
            </w:r>
          </w:p>
        </w:tc>
        <w:tc>
          <w:tcPr>
            <w:tcW w:w="953" w:type="dxa"/>
            <w:tcBorders/>
          </w:tcPr>
          <w:p>
            <w:pPr>
              <w:pStyle w:val="Normal"/>
              <w:spacing w:lineRule="auto" w:line="240" w:before="0" w:after="0"/>
              <w:rPr>
                <w:lang w:val="en-US" w:bidi="he-IL"/>
              </w:rPr>
            </w:pPr>
            <w:r>
              <w:rPr>
                <w:lang w:val="en-US" w:bidi="he-IL"/>
              </w:rPr>
              <w:t>~4700</w:t>
            </w:r>
          </w:p>
        </w:tc>
        <w:tc>
          <w:tcPr>
            <w:tcW w:w="2331" w:type="dxa"/>
            <w:tcBorders/>
          </w:tcPr>
          <w:p>
            <w:pPr>
              <w:pStyle w:val="Normal"/>
              <w:spacing w:lineRule="auto" w:line="240" w:before="0" w:after="0"/>
              <w:rPr>
                <w:lang w:val="en-US" w:bidi="he-IL"/>
              </w:rPr>
            </w:pPr>
            <w:r>
              <w:rPr>
                <w:lang w:val="en-US" w:bidi="he-IL"/>
              </w:rPr>
              <w:t>Sand flat</w:t>
            </w:r>
          </w:p>
        </w:tc>
      </w:tr>
    </w:tbl>
    <w:p>
      <w:pPr>
        <w:pStyle w:val="Normal"/>
        <w:rPr>
          <w:lang w:val="en-US" w:bidi="he-IL"/>
        </w:rPr>
      </w:pPr>
      <w:r>
        <w:rPr>
          <w:lang w:val="en-US" w:bidi="he-IL"/>
        </w:rPr>
      </w:r>
    </w:p>
    <w:p>
      <w:pPr>
        <w:pStyle w:val="Normal"/>
        <w:keepNext w:val="true"/>
        <w:jc w:val="center"/>
        <w:rPr/>
      </w:pPr>
      <w:r>
        <w:rPr/>
        <w:drawing>
          <wp:inline distT="0" distB="0" distL="0" distR="0">
            <wp:extent cx="2655570" cy="2104390"/>
            <wp:effectExtent l="0" t="0" r="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pic:cNvPicPr>
                      <a:picLocks noChangeAspect="1" noChangeArrowheads="1"/>
                    </pic:cNvPicPr>
                  </pic:nvPicPr>
                  <pic:blipFill>
                    <a:blip r:embed="rId2"/>
                    <a:stretch>
                      <a:fillRect/>
                    </a:stretch>
                  </pic:blipFill>
                  <pic:spPr bwMode="auto">
                    <a:xfrm>
                      <a:off x="0" y="0"/>
                      <a:ext cx="2655570" cy="2104390"/>
                    </a:xfrm>
                    <a:prstGeom prst="rect">
                      <a:avLst/>
                    </a:prstGeom>
                  </pic:spPr>
                </pic:pic>
              </a:graphicData>
            </a:graphic>
          </wp:inline>
        </w:drawing>
      </w:r>
    </w:p>
    <w:p>
      <w:pPr>
        <w:pStyle w:val="Caption"/>
        <w:jc w:val="center"/>
        <w:rPr/>
      </w:pPr>
      <w:r>
        <w:rPr/>
        <w:t xml:space="preserve">Figure S1-1: location map of AUV dive localities used in this study. </w:t>
      </w:r>
    </w:p>
    <w:p>
      <w:pPr>
        <w:pStyle w:val="Normal"/>
        <w:rPr>
          <w:i/>
          <w:i/>
          <w:iCs/>
          <w:color w:val="44546A" w:themeColor="text2"/>
          <w:sz w:val="18"/>
          <w:szCs w:val="18"/>
        </w:rPr>
      </w:pPr>
      <w:r>
        <w:rPr>
          <w:i/>
          <w:iCs/>
          <w:color w:val="44546A" w:themeColor="text2"/>
          <w:sz w:val="18"/>
          <w:szCs w:val="18"/>
        </w:rPr>
      </w:r>
      <w:r>
        <w:br w:type="page"/>
      </w:r>
    </w:p>
    <w:p>
      <w:pPr>
        <w:pStyle w:val="Titolo1"/>
        <w:rPr>
          <w:lang w:val="en-US" w:bidi="he-IL"/>
        </w:rPr>
      </w:pPr>
      <w:r>
        <w:rPr>
          <w:lang w:val="en-US" w:bidi="he-IL"/>
        </w:rPr>
        <w:t>Dive 1</w:t>
      </w:r>
    </w:p>
    <w:p>
      <w:pPr>
        <w:pStyle w:val="Normal"/>
        <w:jc w:val="both"/>
        <w:rPr/>
      </w:pPr>
      <w:r>
        <w:rPr>
          <w:lang w:val="en-US" w:bidi="he-IL"/>
        </w:rPr>
        <w:t>This dive was carried out between the islands of Gozo and C</w:t>
      </w:r>
      <w:r>
        <w:rPr>
          <w:rFonts w:eastAsia="Calibri" w:cs="Arial" w:cstheme="minorBidi" w:eastAsiaTheme="minorHAnsi"/>
          <w:color w:val="auto"/>
          <w:kern w:val="0"/>
          <w:sz w:val="22"/>
          <w:szCs w:val="22"/>
          <w:lang w:val="en-US" w:eastAsia="en-US" w:bidi="he-IL"/>
        </w:rPr>
        <w:t>o</w:t>
      </w:r>
      <w:r>
        <w:rPr>
          <w:lang w:val="en-US" w:bidi="he-IL"/>
        </w:rPr>
        <w:t>mino at water depths ranging from -44 mbsl and -48 mbsl (</w:t>
      </w:r>
      <w:r>
        <w:rPr>
          <w:color w:val="00B0F0"/>
          <w:lang w:val="en-US" w:bidi="he-IL"/>
        </w:rPr>
        <w:t>Table S1-1</w:t>
      </w:r>
      <w:r>
        <w:rPr>
          <w:lang w:val="en-US" w:bidi="he-IL"/>
        </w:rPr>
        <w:t>) in an area with a backscatter character of a rhodolith and maerl bed. The area covered in the AUV dive consists of two main seafloor modes (</w:t>
      </w:r>
      <w:r>
        <w:rPr>
          <w:color w:val="00B0F0"/>
          <w:lang w:val="en-US" w:bidi="he-IL"/>
        </w:rPr>
        <w:t>Figure S1-2a</w:t>
      </w:r>
      <w:r>
        <w:rPr>
          <w:lang w:val="en-US" w:bidi="he-IL"/>
        </w:rPr>
        <w:t>), an algae dominated mode in the west and a biogenic sand with algal patches dominated mode in the east (</w:t>
      </w:r>
      <w:r>
        <w:rPr>
          <w:color w:val="00B0F0"/>
          <w:lang w:val="en-US" w:bidi="he-IL"/>
        </w:rPr>
        <w:t>Figure S1-2b</w:t>
      </w:r>
      <w:r>
        <w:rPr>
          <w:lang w:val="en-US" w:bidi="he-IL"/>
        </w:rPr>
        <w:t>). The dense algae mode (</w:t>
      </w:r>
      <w:r>
        <w:rPr>
          <w:color w:val="00B0F0"/>
          <w:lang w:val="en-US" w:bidi="he-IL"/>
        </w:rPr>
        <w:t>Figure S1-2c</w:t>
      </w:r>
      <w:r>
        <w:rPr>
          <w:lang w:val="en-US" w:bidi="he-IL"/>
        </w:rPr>
        <w:t>) in the west is comprised of interlocking patches of algae (taxonomically not identifiable in this data). These patches have a mean diameter of ~1.9</w:t>
      </w:r>
      <w:r>
        <w:rPr>
          <w:rFonts w:cs="Calibri" w:cstheme="minorHAnsi"/>
          <w:lang w:val="en-US" w:bidi="he-IL"/>
        </w:rPr>
        <w:t>±</w:t>
      </w:r>
      <w:r>
        <w:rPr>
          <w:lang w:val="en-US" w:bidi="he-IL"/>
        </w:rPr>
        <w:t>1.4 m (n=56). No sediment is visible within the patches, the colors visible are greyish brown, green (algae?) and pink (</w:t>
      </w:r>
      <w:r>
        <w:rPr/>
        <w:t>rhodoliths?)</w:t>
      </w:r>
      <w:r>
        <w:rPr>
          <w:lang w:val="en-US" w:bidi="he-IL"/>
        </w:rPr>
        <w:t>. Between the patches some sediment is visible, often covered by vein like features and local pink spots. The algal patches mode (</w:t>
      </w:r>
      <w:r>
        <w:rPr>
          <w:color w:val="00B0F0"/>
          <w:lang w:val="en-US" w:bidi="he-IL"/>
        </w:rPr>
        <w:t>Figure S1-2d</w:t>
      </w:r>
      <w:r>
        <w:rPr>
          <w:lang w:val="en-US" w:bidi="he-IL"/>
        </w:rPr>
        <w:t>) consists of small patches of algae covered by sediment, the patches are ~0.4</w:t>
      </w:r>
      <w:r>
        <w:rPr>
          <w:rFonts w:cs="Calibri" w:cstheme="minorHAnsi"/>
          <w:lang w:val="en-US" w:bidi="he-IL"/>
        </w:rPr>
        <w:t>±</w:t>
      </w:r>
      <w:r>
        <w:rPr>
          <w:lang w:val="en-US" w:bidi="he-IL"/>
        </w:rPr>
        <w:t xml:space="preserve">0.2m (n=77) in diameter and are primarily green in color. In adjacency to the  patches, clusters of pink ball shaped elements are present, they are interpreted as </w:t>
      </w:r>
      <w:r>
        <w:rPr/>
        <w:t xml:space="preserve">rhodoliths. To the east the mode changes in to regular, semi linear bedforms with a strike pointing to NNW/SSE </w:t>
      </w:r>
      <w:r>
        <w:rPr>
          <w:lang w:val="en-US" w:bidi="he-IL"/>
        </w:rPr>
        <w:t>(</w:t>
      </w:r>
      <w:r>
        <w:rPr>
          <w:color w:val="00B0F0"/>
          <w:lang w:val="en-US" w:bidi="he-IL"/>
        </w:rPr>
        <w:t>Figure S1-2e</w:t>
      </w:r>
      <w:r>
        <w:rPr>
          <w:lang w:val="en-US" w:bidi="he-IL"/>
        </w:rPr>
        <w:t>). The wavelength of the bedforms is ~1.8</w:t>
      </w:r>
      <w:r>
        <w:rPr>
          <w:rFonts w:cs="Calibri" w:cstheme="minorHAnsi"/>
          <w:lang w:val="en-US" w:bidi="he-IL"/>
        </w:rPr>
        <w:t>±</w:t>
      </w:r>
      <w:r>
        <w:rPr>
          <w:lang w:val="en-US" w:bidi="he-IL"/>
        </w:rPr>
        <w:t>0.4 m (n=55), they are visible by alternation of white to light gray sediment and thin darker strips with accumulation of pink ball shaped elements (</w:t>
      </w:r>
      <w:r>
        <w:rPr/>
        <w:t xml:space="preserve">rhodoliths). It is unclear if the sediment is in the crest or in the through of the bedforms. Echinoid remains (~10cm in diameter) are present in all modes within the photographed area. </w:t>
      </w:r>
    </w:p>
    <w:p>
      <w:pPr>
        <w:pStyle w:val="Normal"/>
        <w:jc w:val="both"/>
        <w:rPr>
          <w:lang w:val="en-US" w:bidi="he-IL"/>
        </w:rPr>
      </w:pPr>
      <w:r>
        <w:rPr>
          <w:lang w:val="en-US" w:bidi="he-IL"/>
        </w:rPr>
      </w:r>
    </w:p>
    <w:p>
      <w:pPr>
        <w:pStyle w:val="Normal"/>
        <w:keepNext w:val="true"/>
        <w:rPr/>
      </w:pPr>
      <w:r>
        <w:rPr/>
        <w:drawing>
          <wp:inline distT="0" distB="0" distL="0" distR="0">
            <wp:extent cx="5726430" cy="3458210"/>
            <wp:effectExtent l="0" t="0" r="0" b="0"/>
            <wp:docPr id="2"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
                    <pic:cNvPicPr>
                      <a:picLocks noChangeAspect="1" noChangeArrowheads="1"/>
                    </pic:cNvPicPr>
                  </pic:nvPicPr>
                  <pic:blipFill>
                    <a:blip r:embed="rId3"/>
                    <a:stretch>
                      <a:fillRect/>
                    </a:stretch>
                  </pic:blipFill>
                  <pic:spPr bwMode="auto">
                    <a:xfrm>
                      <a:off x="0" y="0"/>
                      <a:ext cx="5726430" cy="3458210"/>
                    </a:xfrm>
                    <a:prstGeom prst="rect">
                      <a:avLst/>
                    </a:prstGeom>
                  </pic:spPr>
                </pic:pic>
              </a:graphicData>
            </a:graphic>
          </wp:inline>
        </w:drawing>
      </w:r>
    </w:p>
    <w:p>
      <w:pPr>
        <w:pStyle w:val="Caption"/>
        <w:rPr/>
      </w:pPr>
      <w:r>
        <w:rPr/>
        <w:t xml:space="preserve">Figure S1-2: AUV imagery from Dive 1 showing (a) overview of the mosaic and (b) mapping of main types of sedimentary modes in the imaged area. Three main seafloor modes were identified – dense algae accumulation (c); patchy algae accumulation (d), possibly with rhodoliths and bedforms (e). The white scalebar is 0.5m. </w:t>
      </w:r>
    </w:p>
    <w:p>
      <w:pPr>
        <w:pStyle w:val="Normal"/>
        <w:rPr>
          <w:rFonts w:ascii="Calibri Light" w:hAnsi="Calibri Light" w:eastAsia="" w:cs="Times New Roman" w:asciiTheme="majorHAnsi" w:cstheme="majorBidi" w:eastAsiaTheme="majorEastAsia" w:hAnsiTheme="majorHAnsi"/>
          <w:color w:val="2F5496" w:themeColor="accent1" w:themeShade="bf"/>
          <w:sz w:val="32"/>
          <w:szCs w:val="32"/>
          <w:lang w:val="en-US" w:bidi="he-IL"/>
        </w:rPr>
      </w:pPr>
      <w:r>
        <w:rPr>
          <w:rFonts w:eastAsia="" w:cs="Times New Roman" w:cstheme="majorBidi" w:eastAsiaTheme="majorEastAsia" w:ascii="Calibri Light" w:hAnsi="Calibri Light"/>
          <w:color w:val="2F5496" w:themeColor="accent1" w:themeShade="bf"/>
          <w:sz w:val="32"/>
          <w:szCs w:val="32"/>
          <w:lang w:val="en-US" w:bidi="he-IL"/>
        </w:rPr>
      </w:r>
      <w:r>
        <w:br w:type="page"/>
      </w:r>
    </w:p>
    <w:p>
      <w:pPr>
        <w:pStyle w:val="Titolo1"/>
        <w:rPr>
          <w:lang w:val="en-US" w:bidi="he-IL"/>
        </w:rPr>
      </w:pPr>
      <w:r>
        <w:rPr>
          <w:lang w:val="en-US" w:bidi="he-IL"/>
        </w:rPr>
        <w:t>Dive 2</w:t>
      </w:r>
    </w:p>
    <w:p>
      <w:pPr>
        <w:pStyle w:val="Normal"/>
        <w:jc w:val="both"/>
        <w:rPr/>
      </w:pPr>
      <w:r>
        <w:rPr>
          <w:lang w:val="en-US" w:bidi="he-IL"/>
        </w:rPr>
        <w:t>This dive was carried out between the islands of C</w:t>
      </w:r>
      <w:r>
        <w:rPr>
          <w:rFonts w:eastAsia="Calibri" w:cs="Arial" w:cstheme="minorBidi" w:eastAsiaTheme="minorHAnsi"/>
          <w:color w:val="auto"/>
          <w:kern w:val="0"/>
          <w:sz w:val="22"/>
          <w:szCs w:val="22"/>
          <w:lang w:val="en-US" w:eastAsia="en-US" w:bidi="he-IL"/>
        </w:rPr>
        <w:t>o</w:t>
      </w:r>
      <w:r>
        <w:rPr>
          <w:lang w:val="en-US" w:bidi="he-IL"/>
        </w:rPr>
        <w:t>mino and Malta at water depths ranging from -38 mbsl and -41 mbsl (</w:t>
      </w:r>
      <w:r>
        <w:rPr>
          <w:color w:val="00B0F0"/>
          <w:lang w:val="en-US" w:bidi="he-IL"/>
        </w:rPr>
        <w:t>Table S1-1</w:t>
      </w:r>
      <w:r>
        <w:rPr>
          <w:lang w:val="en-US" w:bidi="he-IL"/>
        </w:rPr>
        <w:t xml:space="preserve">) in an area with a backscatter character of </w:t>
      </w:r>
      <w:r>
        <w:rPr>
          <w:i/>
          <w:iCs/>
          <w:lang w:val="en-US" w:bidi="he-IL"/>
        </w:rPr>
        <w:t>Posidonia</w:t>
      </w:r>
      <w:r>
        <w:rPr>
          <w:lang w:val="en-US" w:bidi="he-IL"/>
        </w:rPr>
        <w:t xml:space="preserve"> meadows. The area covered in the AUV dive (</w:t>
      </w:r>
      <w:r>
        <w:rPr>
          <w:color w:val="00B0F0"/>
          <w:lang w:val="en-US" w:bidi="he-IL"/>
        </w:rPr>
        <w:t>Figure S1-3a</w:t>
      </w:r>
      <w:r>
        <w:rPr>
          <w:lang w:val="en-US" w:bidi="he-IL"/>
        </w:rPr>
        <w:t>) consists of three main seafloor modes: Patches of seagrass, sandy near-linear bedforms and sand mounds (</w:t>
      </w:r>
      <w:r>
        <w:rPr>
          <w:color w:val="00B0F0"/>
          <w:lang w:val="en-US" w:bidi="he-IL"/>
        </w:rPr>
        <w:t>Figure S1-3b</w:t>
      </w:r>
      <w:r>
        <w:rPr>
          <w:lang w:val="en-US" w:bidi="he-IL"/>
        </w:rPr>
        <w:t>). In the northern part of the covered area there are teardrop shaped patches of white sediment (</w:t>
      </w:r>
      <w:r>
        <w:rPr>
          <w:color w:val="00B0F0"/>
          <w:lang w:val="en-US" w:bidi="he-IL"/>
        </w:rPr>
        <w:t>Figure S1-3c</w:t>
      </w:r>
      <w:r>
        <w:rPr>
          <w:lang w:val="en-US" w:bidi="he-IL"/>
        </w:rPr>
        <w:t>), 40-50m in size. These patches are elevated by between 0.5 and 1m from the surrounding sea-floor, making them a positive relief features interpreted as sand mounds. They consist of mostly bright sediment with some algal remains. To the south patchy seagrass mode (</w:t>
      </w:r>
      <w:r>
        <w:rPr>
          <w:color w:val="00B0F0"/>
          <w:lang w:val="en-US" w:bidi="he-IL"/>
        </w:rPr>
        <w:t>Figure S1-3d</w:t>
      </w:r>
      <w:r>
        <w:rPr>
          <w:lang w:val="en-US" w:bidi="he-IL"/>
        </w:rPr>
        <w:t>) is found. It consists of patches of seagrass (</w:t>
      </w:r>
      <w:r>
        <w:rPr>
          <w:i/>
          <w:iCs/>
          <w:lang w:val="en-US" w:bidi="he-IL"/>
        </w:rPr>
        <w:t>Posidonia oceanica</w:t>
      </w:r>
      <w:r>
        <w:rPr>
          <w:lang w:val="en-US" w:bidi="he-IL"/>
        </w:rPr>
        <w:t>?) about 20 m in diameter. The area in the patch is characterized by green (seagrass leaves) and greyish brown colors with nearly no sediment visible in the center of the patch and a relatively sharp transition to the other seafloor modes. In between these two modes there are near-linear bedforms with NW/SE strike (</w:t>
      </w:r>
      <w:r>
        <w:rPr>
          <w:color w:val="00B0F0"/>
          <w:lang w:val="en-US" w:bidi="he-IL"/>
        </w:rPr>
        <w:t>Figure S1-3e</w:t>
      </w:r>
      <w:r>
        <w:rPr>
          <w:lang w:val="en-US" w:bidi="he-IL"/>
        </w:rPr>
        <w:t>). The wavelength of these bedforms is ~1.4</w:t>
      </w:r>
      <w:r>
        <w:rPr>
          <w:rFonts w:cs="Calibri" w:cstheme="minorHAnsi"/>
          <w:lang w:val="en-US" w:bidi="he-IL"/>
        </w:rPr>
        <w:t>±</w:t>
      </w:r>
      <w:r>
        <w:rPr>
          <w:lang w:val="en-US" w:bidi="he-IL"/>
        </w:rPr>
        <w:t>0.4 m (n=100), they are visible by alternation of white to light gray sediment and darker gray to pink strips with accumulation of pink ball-shaped elements (</w:t>
      </w:r>
      <w:r>
        <w:rPr/>
        <w:t xml:space="preserve">rhodoliths) sometimes present </w:t>
      </w:r>
      <w:r>
        <w:rPr>
          <w:lang w:val="en-US" w:bidi="he-IL"/>
        </w:rPr>
        <w:t>(</w:t>
      </w:r>
      <w:r>
        <w:rPr>
          <w:color w:val="00B0F0"/>
          <w:lang w:val="en-US" w:bidi="he-IL"/>
        </w:rPr>
        <w:t>Figure S1-3e</w:t>
      </w:r>
      <w:r>
        <w:rPr>
          <w:lang w:val="en-US" w:bidi="he-IL"/>
        </w:rPr>
        <w:t>), additionally, some algae are also present in these darker areas</w:t>
      </w:r>
      <w:r>
        <w:rPr/>
        <w:t xml:space="preserve">. It is unclear if the sediment is in the crest or in the through of the bedforms. Within some locations characterised by this mode white patches are present, covering both the bright and dark strips. They appear to be resurfacing of sediment caused by bioturbation, suggesting low activity of the these bedforms. </w:t>
      </w:r>
    </w:p>
    <w:p>
      <w:pPr>
        <w:pStyle w:val="Normal"/>
        <w:jc w:val="both"/>
        <w:rPr>
          <w:lang w:val="en-US" w:bidi="he-IL"/>
        </w:rPr>
      </w:pPr>
      <w:r>
        <w:rPr>
          <w:lang w:val="en-US" w:bidi="he-IL"/>
        </w:rPr>
      </w:r>
    </w:p>
    <w:p>
      <w:pPr>
        <w:pStyle w:val="Normal"/>
        <w:keepNext w:val="true"/>
        <w:jc w:val="center"/>
        <w:rPr/>
      </w:pPr>
      <w:r>
        <w:rPr/>
        <mc:AlternateContent>
          <mc:Choice Requires="wps">
            <w:drawing>
              <wp:inline distT="0" distB="0" distL="0" distR="0" wp14:anchorId="745D991B">
                <wp:extent cx="5642610" cy="3494405"/>
                <wp:effectExtent l="0" t="0" r="0" b="0"/>
                <wp:docPr id="3" name="Picture 3"/>
                <a:graphic xmlns:a="http://schemas.openxmlformats.org/drawingml/2006/main">
                  <a:graphicData uri="http://schemas.openxmlformats.org/drawingml/2006/picture">
                    <pic:pic xmlns:pic="http://schemas.openxmlformats.org/drawingml/2006/picture">
                      <pic:nvPicPr>
                        <pic:cNvPr id="0" name="Picture 3" descr=""/>
                        <pic:cNvPicPr/>
                      </pic:nvPicPr>
                      <pic:blipFill>
                        <a:blip r:embed="rId4">
                          <a:extLst>
                            <a:ext uri="{BEBA8EAE-BF5A-486C-A8C5-ECC9F3942E4B}">
                              <a14:imgProps xmlns:a14="http://schemas.microsoft.com/office/drawing/2010/main">
                                <a14:imgLayer r:embed="rId5">
                                  <a14:imgEffect>
                                    <a14:brightnessContrast bright="20000"/>
                                  </a14:imgEffect>
                                </a14:imgLayer>
                              </a14:imgProps>
                            </a:ext>
                          </a:extLst>
                        </a:blip>
                        <a:stretch/>
                      </pic:blipFill>
                      <pic:spPr>
                        <a:xfrm>
                          <a:off x="0" y="0"/>
                          <a:ext cx="5641920" cy="3493800"/>
                        </a:xfrm>
                        <a:prstGeom prst="rect">
                          <a:avLst/>
                        </a:prstGeom>
                        <a:ln>
                          <a:noFill/>
                        </a:ln>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3" stroked="f" style="position:absolute;margin-left:0pt;margin-top:-275.15pt;width:444.2pt;height:275.05pt;mso-position-vertical:top" wp14:anchorId="745D991B" type="shapetype_75">
                <v:imagedata r:id="rId4" o:detectmouseclick="t"/>
                <w10:wrap type="none"/>
                <v:stroke color="#3465a4" joinstyle="round" endcap="flat"/>
              </v:shape>
            </w:pict>
          </mc:Fallback>
        </mc:AlternateContent>
      </w:r>
    </w:p>
    <w:p>
      <w:pPr>
        <w:pStyle w:val="Caption"/>
        <w:jc w:val="both"/>
        <w:rPr>
          <w:lang w:val="en-US" w:bidi="he-IL"/>
        </w:rPr>
      </w:pPr>
      <w:r>
        <w:rPr/>
        <w:t>Figure S1-3: AUV imagery from Dive 2 showing (a) overview of the mosaic and (b) mapping of main types of seafloor modes in the imaged area. Black lines are depth contours from the AUV. Three main modes were identified as – large sand bodies (c), seagrass (</w:t>
      </w:r>
      <w:r>
        <w:rPr>
          <w:i w:val="false"/>
          <w:iCs w:val="false"/>
        </w:rPr>
        <w:t>Posidonia</w:t>
      </w:r>
      <w:r>
        <w:rPr/>
        <w:t xml:space="preserve">) patches (d) and bedforms (e). the trough of the bedforms (f) is darker and hosts accumulation of algae and rhodoliths. </w:t>
      </w:r>
    </w:p>
    <w:p>
      <w:pPr>
        <w:pStyle w:val="Normal"/>
        <w:rPr>
          <w:rFonts w:ascii="Calibri Light" w:hAnsi="Calibri Light" w:eastAsia="" w:cs="Times New Roman" w:asciiTheme="majorHAnsi" w:cstheme="majorBidi" w:eastAsiaTheme="majorEastAsia" w:hAnsiTheme="majorHAnsi"/>
          <w:color w:val="2F5496" w:themeColor="accent1" w:themeShade="bf"/>
          <w:sz w:val="32"/>
          <w:szCs w:val="32"/>
          <w:lang w:val="en-US" w:bidi="he-IL"/>
        </w:rPr>
      </w:pPr>
      <w:r>
        <w:rPr>
          <w:rFonts w:eastAsia="" w:cs="Times New Roman" w:cstheme="majorBidi" w:eastAsiaTheme="majorEastAsia" w:ascii="Calibri Light" w:hAnsi="Calibri Light"/>
          <w:color w:val="2F5496" w:themeColor="accent1" w:themeShade="bf"/>
          <w:sz w:val="32"/>
          <w:szCs w:val="32"/>
          <w:lang w:val="en-US" w:bidi="he-IL"/>
        </w:rPr>
      </w:r>
      <w:r>
        <w:br w:type="page"/>
      </w:r>
    </w:p>
    <w:p>
      <w:pPr>
        <w:pStyle w:val="Titolo1"/>
        <w:rPr>
          <w:lang w:val="en-US" w:bidi="he-IL"/>
        </w:rPr>
      </w:pPr>
      <w:r>
        <w:rPr>
          <w:lang w:val="en-US" w:bidi="he-IL"/>
        </w:rPr>
        <w:t>Dive 3</w:t>
      </w:r>
    </w:p>
    <w:p>
      <w:pPr>
        <w:pStyle w:val="Normal"/>
        <w:jc w:val="both"/>
        <w:rPr/>
      </w:pPr>
      <w:r>
        <w:rPr>
          <w:lang w:val="en-US" w:bidi="he-IL"/>
        </w:rPr>
        <w:t>This dive was carried out in the outer Maltese shelf at water depths of ~-72 mbsl (</w:t>
      </w:r>
      <w:r>
        <w:rPr>
          <w:color w:val="00B0F0"/>
          <w:lang w:val="en-US" w:bidi="he-IL"/>
        </w:rPr>
        <w:t>Table S1-1</w:t>
      </w:r>
      <w:r>
        <w:rPr>
          <w:lang w:val="en-US" w:bidi="he-IL"/>
        </w:rPr>
        <w:t>), some 350m from the escarpment and 5.7km NE of</w:t>
      </w:r>
      <w:r>
        <w:rPr/>
        <w:t xml:space="preserve"> </w:t>
      </w:r>
      <w:r>
        <w:rPr>
          <w:lang w:val="en-US" w:bidi="he-IL"/>
        </w:rPr>
        <w:t>Rdum tal-Madonna. It is located in an area with a backscatter character of rhodolith and maerl bed. The entire seafloor in the surveyed area (</w:t>
      </w:r>
      <w:r>
        <w:rPr>
          <w:color w:val="00B0F0"/>
          <w:lang w:val="en-US" w:bidi="he-IL"/>
        </w:rPr>
        <w:t>Figure S1-4a</w:t>
      </w:r>
      <w:r>
        <w:rPr>
          <w:lang w:val="en-US" w:bidi="he-IL"/>
        </w:rPr>
        <w:t xml:space="preserve">), is covered by a mixture of </w:t>
      </w:r>
      <w:r>
        <w:rPr/>
        <w:t xml:space="preserve">rhodoliths and white sediment. Rhodoliths are around 2 to 4 cm in diameter and better resolved relative to other areas. Spatial variability is mostly defined by changes in the density of rhodoliths </w:t>
      </w:r>
      <w:r>
        <w:rPr>
          <w:lang w:val="en-US" w:bidi="he-IL"/>
        </w:rPr>
        <w:t>(</w:t>
      </w:r>
      <w:r>
        <w:rPr>
          <w:color w:val="00B0F0"/>
          <w:lang w:val="en-US" w:bidi="he-IL"/>
        </w:rPr>
        <w:t>Figure S1-4b</w:t>
      </w:r>
      <w:r>
        <w:rPr>
          <w:lang w:val="en-US" w:bidi="he-IL"/>
        </w:rPr>
        <w:t>). At one end there is the high density coverage (</w:t>
      </w:r>
      <w:r>
        <w:rPr>
          <w:color w:val="00B0F0"/>
          <w:lang w:val="en-US" w:bidi="he-IL"/>
        </w:rPr>
        <w:t>Figure S1-4c</w:t>
      </w:r>
      <w:r>
        <w:rPr>
          <w:lang w:val="en-US" w:bidi="he-IL"/>
        </w:rPr>
        <w:t xml:space="preserve">) in which clumps, 0.5 to 1 m in diameter, of </w:t>
      </w:r>
      <w:r>
        <w:rPr/>
        <w:t xml:space="preserve">rhodoliths are one next to each other with only small separations (around 10 cm) of white to light grey sediment. At mid density </w:t>
      </w:r>
      <w:r>
        <w:rPr>
          <w:lang w:val="en-US" w:bidi="he-IL"/>
        </w:rPr>
        <w:t>(</w:t>
      </w:r>
      <w:r>
        <w:rPr>
          <w:color w:val="00B0F0"/>
          <w:lang w:val="en-US" w:bidi="he-IL"/>
        </w:rPr>
        <w:t>Figure S1-4d</w:t>
      </w:r>
      <w:r>
        <w:rPr>
          <w:lang w:val="en-US" w:bidi="he-IL"/>
        </w:rPr>
        <w:t>)</w:t>
      </w:r>
      <w:r>
        <w:rPr/>
        <w:t xml:space="preserve"> the size of rhodolith clusters decreases to 20-30cm in diameter with 10-20cm separation by sediment. Finally, in the low density areas </w:t>
      </w:r>
      <w:r>
        <w:rPr>
          <w:lang w:val="en-US" w:bidi="he-IL"/>
        </w:rPr>
        <w:t>(</w:t>
      </w:r>
      <w:r>
        <w:rPr>
          <w:color w:val="00B0F0"/>
          <w:lang w:val="en-US" w:bidi="he-IL"/>
        </w:rPr>
        <w:t>Figure S1-4d</w:t>
      </w:r>
      <w:r>
        <w:rPr>
          <w:lang w:val="en-US" w:bidi="he-IL"/>
        </w:rPr>
        <w:t xml:space="preserve">) the clusters are reduced to only a small number of rhodoliths, with spacing between them remaining at 10-20 cm in size. The separation appears to be tracks and are similar in size to the </w:t>
      </w:r>
      <w:r>
        <w:rPr/>
        <w:t xml:space="preserve">echinoid remains (~10cm in diameter) found scattered across the covered area. The high and low density areas forms elongated patches with strike of NW-SE, 2 to 3 m in the short axis and 10 to 30m in the long axis. </w:t>
      </w:r>
    </w:p>
    <w:p>
      <w:pPr>
        <w:pStyle w:val="Normal"/>
        <w:keepNext w:val="true"/>
        <w:rPr/>
      </w:pPr>
      <w:r>
        <w:rPr/>
        <w:drawing>
          <wp:inline distT="0" distB="0" distL="0" distR="0">
            <wp:extent cx="5726430" cy="4519295"/>
            <wp:effectExtent l="0" t="0" r="0" b="0"/>
            <wp:docPr id="4"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
                    <pic:cNvPicPr>
                      <a:picLocks noChangeAspect="1" noChangeArrowheads="1"/>
                    </pic:cNvPicPr>
                  </pic:nvPicPr>
                  <pic:blipFill>
                    <a:blip r:embed="rId6"/>
                    <a:stretch>
                      <a:fillRect/>
                    </a:stretch>
                  </pic:blipFill>
                  <pic:spPr bwMode="auto">
                    <a:xfrm>
                      <a:off x="0" y="0"/>
                      <a:ext cx="5726430" cy="4519295"/>
                    </a:xfrm>
                    <a:prstGeom prst="rect">
                      <a:avLst/>
                    </a:prstGeom>
                  </pic:spPr>
                </pic:pic>
              </a:graphicData>
            </a:graphic>
          </wp:inline>
        </w:drawing>
      </w:r>
    </w:p>
    <w:p>
      <w:pPr>
        <w:pStyle w:val="Caption"/>
        <w:rPr/>
      </w:pPr>
      <w:r>
        <w:rPr/>
        <w:t>Figure S1-4: AUV imagery from Dive 3 showing (a) overview of the mosaic and (b) mapping of the different levels of density of rhodolith clustering in the imaged area. The level of densidy was roughtly devided into three levels – high (c); mid (d) and low (e). White scale bar is 0.5m.</w:t>
      </w:r>
    </w:p>
    <w:p>
      <w:pPr>
        <w:pStyle w:val="Titolo1"/>
        <w:rPr>
          <w:lang w:val="en-US" w:bidi="he-IL"/>
        </w:rPr>
      </w:pPr>
      <w:r>
        <w:rPr>
          <w:lang w:val="en-US" w:bidi="he-IL"/>
        </w:rPr>
        <w:t>Dive 4</w:t>
      </w:r>
    </w:p>
    <w:p>
      <w:pPr>
        <w:pStyle w:val="Normal"/>
        <w:rPr>
          <w:lang w:val="en-US" w:bidi="he-IL"/>
        </w:rPr>
      </w:pPr>
      <w:r>
        <w:rPr>
          <w:lang w:val="en-US" w:bidi="he-IL"/>
        </w:rPr>
        <w:t>This dive was carried out in the Maltese shelf at water depths of ~-46mpsl (</w:t>
      </w:r>
      <w:r>
        <w:rPr>
          <w:color w:val="00B0F0"/>
          <w:lang w:val="en-US" w:bidi="he-IL"/>
        </w:rPr>
        <w:t>Table S1-1</w:t>
      </w:r>
      <w:r>
        <w:rPr>
          <w:lang w:val="en-US" w:bidi="he-IL"/>
        </w:rPr>
        <w:t>), within a local basin (</w:t>
      </w:r>
      <w:r>
        <w:rPr>
          <w:color w:val="00B0F0"/>
          <w:lang w:val="en-US" w:bidi="he-IL"/>
        </w:rPr>
        <w:t>Figure 3</w:t>
      </w:r>
      <w:r>
        <w:rPr>
          <w:lang w:val="en-US" w:bidi="he-IL"/>
        </w:rPr>
        <w:t>), some 800m from cost NE of Qawra. It is located in an area with a backscatter character of sand flats. The entire seafloor recorderd in this area (</w:t>
      </w:r>
      <w:r>
        <w:rPr>
          <w:color w:val="00B0F0"/>
          <w:lang w:val="en-US" w:bidi="he-IL"/>
        </w:rPr>
        <w:t>Figure S1-5a</w:t>
      </w:r>
      <w:r>
        <w:rPr>
          <w:lang w:val="en-US" w:bidi="he-IL"/>
        </w:rPr>
        <w:t>) is composed of white to light grey sand with small amount of algae (</w:t>
      </w:r>
      <w:r>
        <w:rPr>
          <w:color w:val="00B0F0"/>
          <w:lang w:val="en-US" w:bidi="he-IL"/>
        </w:rPr>
        <w:t>Figure S1-5b</w:t>
      </w:r>
      <w:r>
        <w:rPr>
          <w:lang w:val="en-US" w:bidi="he-IL"/>
        </w:rPr>
        <w:t xml:space="preserve">). Different types of echinoids are observed across the entire area. </w:t>
      </w:r>
    </w:p>
    <w:p>
      <w:pPr>
        <w:pStyle w:val="Normal"/>
        <w:rPr>
          <w:lang w:val="en-US" w:bidi="he-IL"/>
        </w:rPr>
      </w:pPr>
      <w:r>
        <w:rPr>
          <w:lang w:val="en-US" w:bidi="he-IL"/>
        </w:rPr>
      </w:r>
    </w:p>
    <w:p>
      <w:pPr>
        <w:pStyle w:val="Normal"/>
        <w:keepNext w:val="true"/>
        <w:rPr/>
      </w:pPr>
      <w:r>
        <w:rPr/>
        <w:drawing>
          <wp:inline distT="0" distB="0" distL="0" distR="0">
            <wp:extent cx="5726430" cy="3927475"/>
            <wp:effectExtent l="0" t="0" r="0" b="0"/>
            <wp:docPr id="5" name="Pictur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
                    <pic:cNvPicPr>
                      <a:picLocks noChangeAspect="1" noChangeArrowheads="1"/>
                    </pic:cNvPicPr>
                  </pic:nvPicPr>
                  <pic:blipFill>
                    <a:blip r:embed="rId7"/>
                    <a:stretch>
                      <a:fillRect/>
                    </a:stretch>
                  </pic:blipFill>
                  <pic:spPr bwMode="auto">
                    <a:xfrm>
                      <a:off x="0" y="0"/>
                      <a:ext cx="5726430" cy="3927475"/>
                    </a:xfrm>
                    <a:prstGeom prst="rect">
                      <a:avLst/>
                    </a:prstGeom>
                  </pic:spPr>
                </pic:pic>
              </a:graphicData>
            </a:graphic>
          </wp:inline>
        </w:drawing>
      </w:r>
    </w:p>
    <w:p>
      <w:pPr>
        <w:pStyle w:val="Caption"/>
        <w:rPr>
          <w:lang w:val="en-US" w:bidi="he-IL"/>
        </w:rPr>
      </w:pPr>
      <w:r>
        <w:rPr/>
        <w:t>Figure S1-5: AUV imagery from Dive 4 showing (a) overview of the mosaic and (b) representative close up of the sediment. White scale bar is 0.5m.</w:t>
      </w:r>
    </w:p>
    <w:p>
      <w:pPr>
        <w:pStyle w:val="Normal"/>
        <w:rPr>
          <w:lang w:val="en-US" w:bidi="he-IL"/>
        </w:rPr>
      </w:pPr>
      <w:r>
        <w:rPr>
          <w:lang w:val="en-US" w:bidi="he-IL"/>
        </w:rPr>
      </w:r>
      <w:r>
        <w:br w:type="page"/>
      </w:r>
    </w:p>
    <w:p>
      <w:pPr>
        <w:pStyle w:val="Titolo1"/>
        <w:rPr>
          <w:lang w:val="en-US" w:bidi="he-IL"/>
        </w:rPr>
      </w:pPr>
      <w:r>
        <w:rPr>
          <w:lang w:val="en-US" w:bidi="he-IL"/>
        </w:rPr>
        <w:t xml:space="preserve">References cited </w:t>
      </w:r>
    </w:p>
    <w:p>
      <w:pPr>
        <w:pStyle w:val="Normal"/>
        <w:widowControl w:val="false"/>
        <w:spacing w:lineRule="auto" w:line="240"/>
        <w:ind w:left="480" w:hanging="480"/>
        <w:rPr>
          <w:rFonts w:ascii="Calibri" w:hAnsi="Calibri" w:cs="Calibri"/>
          <w:szCs w:val="24"/>
        </w:rPr>
      </w:pPr>
      <w:r>
        <w:fldChar w:fldCharType="begin"/>
      </w:r>
      <w:r>
        <w:rPr/>
        <w:instrText>ADDIN Mendeley Bibliography CSL_BIBLIOGRAPHY</w:instrText>
      </w:r>
      <w:r>
        <w:rPr/>
      </w:r>
      <w:r>
        <w:rPr/>
        <w:fldChar w:fldCharType="separate"/>
      </w:r>
      <w:r>
        <w:rPr/>
      </w:r>
      <w:r>
        <w:rPr>
          <w:rFonts w:cs="Calibri"/>
          <w:szCs w:val="24"/>
        </w:rPr>
        <w:t xml:space="preserve">Berndt, C., Urlaub, M., Jegen, M., Faghih, Z., Reeck, K., Franz, G., Barnscheidt, K. C., Wollatz-Vogt, M., Liebsch, J., Schramm, B., Elger, J., Kühn, M., Müller, T., Schmidt, M., Spiegel, T., Timm, H., Hinz, A.-K., Sager, T., Hilbert, H.-S., … Diller, N. (2021). </w:t>
      </w:r>
      <w:r>
        <w:rPr>
          <w:rFonts w:cs="Calibri"/>
          <w:i/>
          <w:iCs/>
          <w:szCs w:val="24"/>
        </w:rPr>
        <w:t>RV SONNE Fahrtbericht / Cruise Report SO277 OMAX: Offshore Malta Aquifer Exploration</w:t>
      </w:r>
      <w:r>
        <w:rPr>
          <w:rFonts w:cs="Calibri"/>
          <w:szCs w:val="24"/>
        </w:rPr>
        <w:t>. https://doi.org/10.3289/GEOMAR_REP_NS_57_20</w:t>
      </w:r>
    </w:p>
    <w:p>
      <w:pPr>
        <w:pStyle w:val="Normal"/>
        <w:widowControl w:val="false"/>
        <w:spacing w:lineRule="auto" w:line="240"/>
        <w:ind w:left="480" w:hanging="480"/>
        <w:rPr>
          <w:rFonts w:ascii="Calibri" w:hAnsi="Calibri" w:cs="Calibri"/>
        </w:rPr>
      </w:pPr>
      <w:r>
        <w:rPr>
          <w:rFonts w:cs="Calibri"/>
          <w:szCs w:val="24"/>
        </w:rPr>
        <w:t xml:space="preserve">Sutton, T., Dassau, O., &amp; QGIS Team. (2021). </w:t>
      </w:r>
      <w:r>
        <w:rPr>
          <w:rFonts w:cs="Calibri"/>
          <w:i/>
          <w:iCs/>
          <w:szCs w:val="24"/>
        </w:rPr>
        <w:t>QGIS 3.16</w:t>
      </w:r>
      <w:r>
        <w:rPr>
          <w:rFonts w:cs="Calibri"/>
          <w:szCs w:val="24"/>
        </w:rPr>
        <w:t>. QGIS project. github.com/qgis/QGIS</w:t>
      </w:r>
    </w:p>
    <w:p>
      <w:pPr>
        <w:pStyle w:val="Normal"/>
        <w:rPr>
          <w:lang w:val="en-US" w:bidi="he-IL"/>
        </w:rPr>
      </w:pPr>
      <w:r>
        <w:rPr/>
      </w:r>
      <w:r>
        <w:rPr/>
        <w:fldChar w:fldCharType="end"/>
      </w:r>
    </w:p>
    <w:p>
      <w:pPr>
        <w:pStyle w:val="Normal"/>
        <w:spacing w:before="0" w:after="160"/>
        <w:rPr>
          <w:lang w:val="en-US" w:bidi="he-IL"/>
        </w:rPr>
      </w:pPr>
      <w:r>
        <w:rPr/>
      </w:r>
    </w:p>
    <w:sectPr>
      <w:type w:val="nextPage"/>
      <w:pgSz w:w="11906" w:h="16838"/>
      <w:pgMar w:left="1440" w:right="1440" w:header="0" w:top="1440" w:footer="0" w:bottom="1440"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libri Light">
    <w:charset w:val="01"/>
    <w:family w:val="roman"/>
    <w:pitch w:val="variable"/>
  </w:font>
  <w:font w:name="Liberation Sans">
    <w:altName w:val="Arial"/>
    <w:charset w:val="01"/>
    <w:family w:val="roman"/>
    <w:pitch w:val="variable"/>
  </w:font>
</w:fonts>
</file>

<file path=word/settings.xml><?xml version="1.0" encoding="utf-8"?>
<w:settings xmlns:w="http://schemas.openxmlformats.org/wordprocessingml/2006/main">
  <w:zoom w:percent="12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en-GB" w:eastAsia="" w:bidi="he-IL"/>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Arial" w:asciiTheme="minorHAnsi" w:cstheme="minorBidi" w:eastAsiaTheme="minorHAnsi" w:hAnsiTheme="minorHAnsi"/>
        <w:szCs w:val="22"/>
        <w:lang w:val="en-GB"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59" w:before="0" w:after="160"/>
      <w:jc w:val="left"/>
    </w:pPr>
    <w:rPr>
      <w:rFonts w:ascii="Calibri" w:hAnsi="Calibri" w:eastAsia="Calibri" w:cs="Arial" w:asciiTheme="minorHAnsi" w:cstheme="minorBidi" w:eastAsiaTheme="minorHAnsi" w:hAnsiTheme="minorHAnsi"/>
      <w:color w:val="auto"/>
      <w:kern w:val="0"/>
      <w:sz w:val="22"/>
      <w:szCs w:val="22"/>
      <w:lang w:val="en-GB" w:eastAsia="en-US" w:bidi="ar-SA"/>
    </w:rPr>
  </w:style>
  <w:style w:type="paragraph" w:styleId="Titolo1">
    <w:name w:val="Heading 1"/>
    <w:basedOn w:val="Normal"/>
    <w:next w:val="Normal"/>
    <w:link w:val="Heading1Char"/>
    <w:uiPriority w:val="9"/>
    <w:qFormat/>
    <w:rsid w:val="00026baf"/>
    <w:pPr>
      <w:keepNext w:val="true"/>
      <w:keepLines/>
      <w:spacing w:before="240" w:after="0"/>
      <w:outlineLvl w:val="0"/>
    </w:pPr>
    <w:rPr>
      <w:rFonts w:ascii="Calibri Light" w:hAnsi="Calibri Light" w:eastAsia="" w:cs="Times New Roman" w:asciiTheme="majorHAnsi" w:cstheme="majorBidi" w:eastAsiaTheme="majorEastAsia" w:hAnsiTheme="majorHAnsi"/>
      <w:color w:val="2F5496" w:themeColor="accent1" w:themeShade="bf"/>
      <w:sz w:val="32"/>
      <w:szCs w:val="32"/>
    </w:rPr>
  </w:style>
  <w:style w:type="character" w:styleId="DefaultParagraphFont" w:default="1">
    <w:name w:val="Default Paragraph Font"/>
    <w:uiPriority w:val="1"/>
    <w:semiHidden/>
    <w:unhideWhenUsed/>
    <w:qFormat/>
    <w:rPr/>
  </w:style>
  <w:style w:type="character" w:styleId="TitleChar" w:customStyle="1">
    <w:name w:val="Title Char"/>
    <w:basedOn w:val="DefaultParagraphFont"/>
    <w:link w:val="Title"/>
    <w:uiPriority w:val="10"/>
    <w:qFormat/>
    <w:rsid w:val="00283cf5"/>
    <w:rPr>
      <w:rFonts w:ascii="Calibri Light" w:hAnsi="Calibri Light" w:eastAsia="" w:cs="Times New Roman" w:asciiTheme="majorHAnsi" w:cstheme="majorBidi" w:eastAsiaTheme="majorEastAsia" w:hAnsiTheme="majorHAnsi"/>
      <w:spacing w:val="-10"/>
      <w:kern w:val="2"/>
      <w:sz w:val="56"/>
      <w:szCs w:val="56"/>
    </w:rPr>
  </w:style>
  <w:style w:type="character" w:styleId="Heading1Char" w:customStyle="1">
    <w:name w:val="Heading 1 Char"/>
    <w:basedOn w:val="DefaultParagraphFont"/>
    <w:link w:val="Heading1"/>
    <w:uiPriority w:val="9"/>
    <w:qFormat/>
    <w:rsid w:val="00026baf"/>
    <w:rPr>
      <w:rFonts w:ascii="Calibri Light" w:hAnsi="Calibri Light" w:eastAsia="" w:cs="Times New Roman" w:asciiTheme="majorHAnsi" w:cstheme="majorBidi" w:eastAsiaTheme="majorEastAsia" w:hAnsiTheme="majorHAnsi"/>
      <w:color w:val="2F5496" w:themeColor="accent1" w:themeShade="bf"/>
      <w:sz w:val="32"/>
      <w:szCs w:val="32"/>
    </w:rPr>
  </w:style>
  <w:style w:type="paragraph" w:styleId="Titolo">
    <w:name w:val="Titolo"/>
    <w:basedOn w:val="Normal"/>
    <w:next w:val="Corpodeltesto"/>
    <w:qFormat/>
    <w:pPr>
      <w:keepNext w:val="true"/>
      <w:spacing w:before="240" w:after="120"/>
    </w:pPr>
    <w:rPr>
      <w:rFonts w:ascii="Liberation Sans" w:hAnsi="Liberation Sans" w:eastAsia="Noto Sans CJK SC" w:cs="Lohit Devanagari"/>
      <w:sz w:val="28"/>
      <w:szCs w:val="28"/>
    </w:rPr>
  </w:style>
  <w:style w:type="paragraph" w:styleId="Corpodeltesto">
    <w:name w:val="Body Text"/>
    <w:basedOn w:val="Normal"/>
    <w:pPr>
      <w:spacing w:lineRule="auto" w:line="276" w:before="0" w:after="140"/>
    </w:pPr>
    <w:rPr/>
  </w:style>
  <w:style w:type="paragraph" w:styleId="Elenco">
    <w:name w:val="List"/>
    <w:basedOn w:val="Corpodeltesto"/>
    <w:pPr/>
    <w:rPr>
      <w:rFonts w:cs="Lohit Devanagari"/>
    </w:rPr>
  </w:style>
  <w:style w:type="paragraph" w:styleId="Didascalia">
    <w:name w:val="Caption"/>
    <w:basedOn w:val="Normal"/>
    <w:qFormat/>
    <w:pPr>
      <w:suppressLineNumbers/>
      <w:spacing w:before="120" w:after="120"/>
    </w:pPr>
    <w:rPr>
      <w:rFonts w:cs="Lohit Devanagari"/>
      <w:i/>
      <w:iCs/>
      <w:sz w:val="24"/>
      <w:szCs w:val="24"/>
    </w:rPr>
  </w:style>
  <w:style w:type="paragraph" w:styleId="Indice">
    <w:name w:val="Indice"/>
    <w:basedOn w:val="Normal"/>
    <w:qFormat/>
    <w:pPr>
      <w:suppressLineNumbers/>
    </w:pPr>
    <w:rPr>
      <w:rFonts w:cs="Lohit Devanagari"/>
    </w:rPr>
  </w:style>
  <w:style w:type="paragraph" w:styleId="Titoloprincipale">
    <w:name w:val="Title"/>
    <w:basedOn w:val="Normal"/>
    <w:next w:val="Normal"/>
    <w:link w:val="TitleChar"/>
    <w:uiPriority w:val="10"/>
    <w:qFormat/>
    <w:rsid w:val="00283cf5"/>
    <w:pPr>
      <w:spacing w:lineRule="auto" w:line="240" w:before="0" w:after="0"/>
      <w:contextualSpacing/>
    </w:pPr>
    <w:rPr>
      <w:rFonts w:ascii="Calibri Light" w:hAnsi="Calibri Light" w:eastAsia="" w:cs="Times New Roman" w:asciiTheme="majorHAnsi" w:cstheme="majorBidi" w:eastAsiaTheme="majorEastAsia" w:hAnsiTheme="majorHAnsi"/>
      <w:spacing w:val="-10"/>
      <w:kern w:val="2"/>
      <w:sz w:val="56"/>
      <w:szCs w:val="56"/>
    </w:rPr>
  </w:style>
  <w:style w:type="paragraph" w:styleId="Caption">
    <w:name w:val="caption"/>
    <w:basedOn w:val="Normal"/>
    <w:next w:val="Normal"/>
    <w:uiPriority w:val="35"/>
    <w:unhideWhenUsed/>
    <w:qFormat/>
    <w:rsid w:val="004b69a5"/>
    <w:pPr>
      <w:spacing w:lineRule="auto" w:line="240" w:before="0" w:after="200"/>
    </w:pPr>
    <w:rPr>
      <w:i/>
      <w:iCs/>
      <w:color w:val="44546A" w:themeColor="text2"/>
      <w:sz w:val="18"/>
      <w:szCs w:val="18"/>
    </w:rPr>
  </w:style>
  <w:style w:type="paragraph" w:styleId="Contenutotabella">
    <w:name w:val="Contenuto tabella"/>
    <w:basedOn w:val="Normal"/>
    <w:qFormat/>
    <w:pPr>
      <w:suppressLineNumbers/>
    </w:pPr>
    <w:rPr/>
  </w:style>
  <w:style w:type="paragraph" w:styleId="Titolotabella">
    <w:name w:val="Titolo tabella"/>
    <w:basedOn w:val="Contenutotabella"/>
    <w:qFormat/>
    <w:pPr>
      <w:suppressLineNumbers/>
      <w:jc w:val="center"/>
    </w:pPr>
    <w:rPr>
      <w:b/>
      <w:bCs/>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table" w:styleId="TableGrid">
    <w:name w:val="Table Grid"/>
    <w:basedOn w:val="TableNormal"/>
    <w:uiPriority w:val="39"/>
    <w:rsid w:val="004b69a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microsoft.com/office/2007/relationships/hdphoto" Target="media/hdphoto1.wdp"/><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fontTable" Target="fontTable.xml"/><Relationship Id="rId9" Type="http://schemas.openxmlformats.org/officeDocument/2006/relationships/settings" Target="settings.xml"/><Relationship Id="rId10" Type="http://schemas.openxmlformats.org/officeDocument/2006/relationships/theme" Target="theme/theme1.xml"/><Relationship Id="rId11"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20249-BEF8-4D46-BE9F-3569556D3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Application>LibreOffice/6.4.7.2$Linux_X86_64 LibreOffice_project/40$Build-2</Application>
  <Pages>9</Pages>
  <Words>1418</Words>
  <Characters>6944</Characters>
  <CharactersWithSpaces>8299</CharactersWithSpaces>
  <Paragraphs>68</Paragraphs>
  <Company>University of Malta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2021-08-31T13:44:00Z</dcterms:created>
  <dc:creator>User</dc:creator>
  <dc:description/>
  <dc:language>en-US</dc:language>
  <cp:lastModifiedBy/>
  <dcterms:modified xsi:type="dcterms:W3CDTF">2024-07-16T11:42:43Z</dcterms:modified>
  <cp:revision>47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University of Malta</vt:lpwstr>
  </property>
  <property fmtid="{D5CDD505-2E9C-101B-9397-08002B2CF9AE}" pid="4" name="DocSecurity">
    <vt:i4>0</vt:i4>
  </property>
  <property fmtid="{D5CDD505-2E9C-101B-9397-08002B2CF9AE}" pid="5" name="GrammarlyDocumentId">
    <vt:lpwstr>acbc7974f1a2aeacd4cd68f8bd62042337998dc66d27b262dec0e2d4df4240ab</vt:lpwstr>
  </property>
  <property fmtid="{D5CDD505-2E9C-101B-9397-08002B2CF9AE}" pid="6" name="HyperlinksChanged">
    <vt:bool>0</vt:bool>
  </property>
  <property fmtid="{D5CDD505-2E9C-101B-9397-08002B2CF9AE}" pid="7" name="LinksUpToDate">
    <vt:bool>0</vt:bool>
  </property>
  <property fmtid="{D5CDD505-2E9C-101B-9397-08002B2CF9AE}" pid="8" name="Mendeley Citation Style_1">
    <vt:lpwstr>http://www.zotero.org/styles/apa</vt:lpwstr>
  </property>
  <property fmtid="{D5CDD505-2E9C-101B-9397-08002B2CF9AE}" pid="9" name="Mendeley Document_1">
    <vt:lpwstr>True</vt:lpwstr>
  </property>
  <property fmtid="{D5CDD505-2E9C-101B-9397-08002B2CF9AE}" pid="10" name="Mendeley Recent Style Id 0_1">
    <vt:lpwstr>http://www.zotero.org/styles/american-political-science-association</vt:lpwstr>
  </property>
  <property fmtid="{D5CDD505-2E9C-101B-9397-08002B2CF9AE}" pid="11" name="Mendeley Recent Style Id 1_1">
    <vt:lpwstr>http://www.zotero.org/styles/apa</vt:lpwstr>
  </property>
  <property fmtid="{D5CDD505-2E9C-101B-9397-08002B2CF9AE}" pid="12" name="Mendeley Recent Style Id 2_1">
    <vt:lpwstr>http://www.zotero.org/styles/american-sociological-association</vt:lpwstr>
  </property>
  <property fmtid="{D5CDD505-2E9C-101B-9397-08002B2CF9AE}" pid="13" name="Mendeley Recent Style Id 3_1">
    <vt:lpwstr>http://www.zotero.org/styles/chicago-author-date</vt:lpwstr>
  </property>
  <property fmtid="{D5CDD505-2E9C-101B-9397-08002B2CF9AE}" pid="14" name="Mendeley Recent Style Id 4_1">
    <vt:lpwstr>http://www.zotero.org/styles/harvard-cite-them-right</vt:lpwstr>
  </property>
  <property fmtid="{D5CDD505-2E9C-101B-9397-08002B2CF9AE}" pid="15" name="Mendeley Recent Style Id 5_1">
    <vt:lpwstr>http://www.zotero.org/styles/facies</vt:lpwstr>
  </property>
  <property fmtid="{D5CDD505-2E9C-101B-9397-08002B2CF9AE}" pid="16" name="Mendeley Recent Style Id 6_1">
    <vt:lpwstr>http://www.zotero.org/styles/ieee</vt:lpwstr>
  </property>
  <property fmtid="{D5CDD505-2E9C-101B-9397-08002B2CF9AE}" pid="17" name="Mendeley Recent Style Id 7_1">
    <vt:lpwstr>http://www.zotero.org/styles/modern-humanities-research-association</vt:lpwstr>
  </property>
  <property fmtid="{D5CDD505-2E9C-101B-9397-08002B2CF9AE}" pid="18" name="Mendeley Recent Style Id 8_1">
    <vt:lpwstr>http://www.zotero.org/styles/modern-language-association</vt:lpwstr>
  </property>
  <property fmtid="{D5CDD505-2E9C-101B-9397-08002B2CF9AE}" pid="19" name="Mendeley Recent Style Id 9_1">
    <vt:lpwstr>http://www.zotero.org/styles/nature</vt:lpwstr>
  </property>
  <property fmtid="{D5CDD505-2E9C-101B-9397-08002B2CF9AE}" pid="20" name="Mendeley Recent Style Name 0_1">
    <vt:lpwstr>American Political Science Association</vt:lpwstr>
  </property>
  <property fmtid="{D5CDD505-2E9C-101B-9397-08002B2CF9AE}" pid="21" name="Mendeley Recent Style Name 1_1">
    <vt:lpwstr>American Psychological Association 7th edition</vt:lpwstr>
  </property>
  <property fmtid="{D5CDD505-2E9C-101B-9397-08002B2CF9AE}" pid="22" name="Mendeley Recent Style Name 2_1">
    <vt:lpwstr>American Sociological Association 6th edition</vt:lpwstr>
  </property>
  <property fmtid="{D5CDD505-2E9C-101B-9397-08002B2CF9AE}" pid="23" name="Mendeley Recent Style Name 3_1">
    <vt:lpwstr>Chicago Manual of Style 17th edition (author-date)</vt:lpwstr>
  </property>
  <property fmtid="{D5CDD505-2E9C-101B-9397-08002B2CF9AE}" pid="24" name="Mendeley Recent Style Name 4_1">
    <vt:lpwstr>Cite Them Right 10th edition - Harvard</vt:lpwstr>
  </property>
  <property fmtid="{D5CDD505-2E9C-101B-9397-08002B2CF9AE}" pid="25" name="Mendeley Recent Style Name 5_1">
    <vt:lpwstr>Facies</vt:lpwstr>
  </property>
  <property fmtid="{D5CDD505-2E9C-101B-9397-08002B2CF9AE}" pid="26" name="Mendeley Recent Style Name 6_1">
    <vt:lpwstr>IEEE</vt:lpwstr>
  </property>
  <property fmtid="{D5CDD505-2E9C-101B-9397-08002B2CF9AE}" pid="27" name="Mendeley Recent Style Name 7_1">
    <vt:lpwstr>Modern Humanities Research Association 3rd edition (note with bibliography)</vt:lpwstr>
  </property>
  <property fmtid="{D5CDD505-2E9C-101B-9397-08002B2CF9AE}" pid="28" name="Mendeley Recent Style Name 8_1">
    <vt:lpwstr>Modern Language Association 8th edition</vt:lpwstr>
  </property>
  <property fmtid="{D5CDD505-2E9C-101B-9397-08002B2CF9AE}" pid="29" name="Mendeley Recent Style Name 9_1">
    <vt:lpwstr>Nature</vt:lpwstr>
  </property>
  <property fmtid="{D5CDD505-2E9C-101B-9397-08002B2CF9AE}" pid="30" name="Mendeley Unique User Id_1">
    <vt:lpwstr>28782182-9c01-3ae0-a14e-e58ffd9ddf72</vt:lpwstr>
  </property>
  <property fmtid="{D5CDD505-2E9C-101B-9397-08002B2CF9AE}" pid="31" name="ScaleCrop">
    <vt:bool>0</vt:bool>
  </property>
  <property fmtid="{D5CDD505-2E9C-101B-9397-08002B2CF9AE}" pid="32" name="ShareDoc">
    <vt:bool>0</vt:bool>
  </property>
</Properties>
</file>