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horzAnchor="margin" w:tblpY="2264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1984"/>
        <w:gridCol w:w="2123"/>
        <w:gridCol w:w="2266"/>
      </w:tblGrid>
      <w:tr w:rsidR="007900AF" w:rsidTr="00B33C90">
        <w:trPr>
          <w:trHeight w:val="792"/>
        </w:trPr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GoBack"/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Risk stratification scores</w:t>
            </w:r>
          </w:p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Variables</w:t>
            </w:r>
          </w:p>
        </w:tc>
        <w:tc>
          <w:tcPr>
            <w:tcW w:w="1984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REVEAL version 2.0</w:t>
            </w:r>
          </w:p>
        </w:tc>
        <w:tc>
          <w:tcPr>
            <w:tcW w:w="2123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COMPERA</w:t>
            </w:r>
          </w:p>
        </w:tc>
        <w:tc>
          <w:tcPr>
            <w:tcW w:w="2266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FPHR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WHO Group I subgroups</w:t>
            </w:r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Demographics (Age, Sex)</w:t>
            </w:r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eGFR</w:t>
            </w:r>
            <w:proofErr w:type="spellEnd"/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NYHA/WHO Functional Class</w:t>
            </w:r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Vital Signs</w:t>
            </w:r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All-cause Hospitalizations ≤ 6months</w:t>
            </w:r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6-minute walk test</w:t>
            </w:r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NT-</w:t>
            </w:r>
            <w:proofErr w:type="spellStart"/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proBNP</w:t>
            </w:r>
            <w:proofErr w:type="spellEnd"/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Echocardiogram (pericardial effusion)</w:t>
            </w:r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Pulmonary Function Test (</w:t>
            </w:r>
            <w:proofErr w:type="spellStart"/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DLco</w:t>
            </w:r>
            <w:proofErr w:type="spellEnd"/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%)</w:t>
            </w:r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Right Heart Catheterization</w:t>
            </w:r>
          </w:p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(PVR, RAP)</w:t>
            </w:r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(+,+)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(-,+)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(-,+)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Cardiac Index</w:t>
            </w:r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</w:tr>
      <w:tr w:rsidR="007900AF" w:rsidTr="00B33C90">
        <w:tc>
          <w:tcPr>
            <w:tcW w:w="2689" w:type="dxa"/>
          </w:tcPr>
          <w:p w:rsidR="007900AF" w:rsidRPr="00611D42" w:rsidRDefault="007900AF" w:rsidP="007900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Mixed venous oxygen saturation</w:t>
            </w:r>
          </w:p>
        </w:tc>
        <w:tc>
          <w:tcPr>
            <w:tcW w:w="1984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23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</w:p>
        </w:tc>
        <w:tc>
          <w:tcPr>
            <w:tcW w:w="2266" w:type="dxa"/>
          </w:tcPr>
          <w:p w:rsidR="007900AF" w:rsidRPr="00611D42" w:rsidRDefault="007900AF" w:rsidP="00B33C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11D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bookmarkEnd w:id="0"/>
    </w:tbl>
    <w:p w:rsidR="007900AF" w:rsidRDefault="007900AF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900AF" w:rsidRDefault="007900AF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900AF" w:rsidRDefault="007900AF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900AF" w:rsidRDefault="007900AF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900AF" w:rsidRPr="00B33C90" w:rsidRDefault="007900AF">
      <w:pPr>
        <w:rPr>
          <w:rFonts w:ascii="Times" w:hAnsi="Times" w:cs="Times"/>
          <w:lang w:val="en-GB"/>
        </w:rPr>
      </w:pPr>
      <w:r w:rsidRPr="007900AF">
        <w:rPr>
          <w:rFonts w:ascii="Times" w:hAnsi="Times" w:cs="Times"/>
          <w:b/>
          <w:sz w:val="24"/>
          <w:szCs w:val="24"/>
          <w:lang w:val="en-US"/>
        </w:rPr>
        <w:t>Table 1S</w:t>
      </w:r>
      <w:r w:rsidRPr="007900AF">
        <w:rPr>
          <w:rFonts w:ascii="Times" w:hAnsi="Times" w:cs="Times"/>
          <w:sz w:val="24"/>
          <w:szCs w:val="24"/>
          <w:lang w:val="en-US"/>
        </w:rPr>
        <w:t>: Variables of REVEAL version 2.0, COMPERA and FPHR risk assessment scores</w:t>
      </w:r>
    </w:p>
    <w:p w:rsidR="007900AF" w:rsidRPr="00B33C90" w:rsidRDefault="007900AF" w:rsidP="007900AF">
      <w:pPr>
        <w:rPr>
          <w:rFonts w:ascii="Times" w:hAnsi="Times" w:cs="Times"/>
          <w:lang w:val="en-GB"/>
        </w:rPr>
      </w:pPr>
      <w:proofErr w:type="gramStart"/>
      <w:r>
        <w:rPr>
          <w:rFonts w:ascii="Times New Roman" w:hAnsi="Times New Roman" w:cs="Times New Roman"/>
          <w:i/>
          <w:color w:val="2E2E2E"/>
          <w:sz w:val="20"/>
          <w:szCs w:val="20"/>
          <w:lang w:val="en-US" w:eastAsia="fr-CH"/>
        </w:rPr>
        <w:t>COMPERA score:</w:t>
      </w:r>
      <w:r w:rsidRPr="003F113F">
        <w:rPr>
          <w:rFonts w:ascii="Times New Roman" w:hAnsi="Times New Roman" w:cs="Times New Roman"/>
          <w:i/>
          <w:sz w:val="20"/>
          <w:szCs w:val="20"/>
          <w:lang w:val="en-US" w:eastAsia="fr-CH"/>
        </w:rPr>
        <w:t> the score developed by the Swedish/Comparative prospective registry of newly initiated therapies for pulmonary hypertension</w:t>
      </w:r>
      <w:r>
        <w:rPr>
          <w:rFonts w:ascii="Times New Roman" w:hAnsi="Times New Roman" w:cs="Times New Roman"/>
          <w:i/>
          <w:sz w:val="20"/>
          <w:szCs w:val="20"/>
          <w:lang w:val="en-US" w:eastAsia="fr-CH"/>
        </w:rPr>
        <w:t>;</w:t>
      </w:r>
      <w:r w:rsidRPr="00B33C90">
        <w:rPr>
          <w:lang w:val="en-GB"/>
        </w:rPr>
        <w:t xml:space="preserve"> </w:t>
      </w:r>
      <w:proofErr w:type="spellStart"/>
      <w:r w:rsidRPr="00B911B3">
        <w:rPr>
          <w:rFonts w:ascii="Times New Roman" w:hAnsi="Times New Roman" w:cs="Times New Roman"/>
          <w:i/>
          <w:sz w:val="20"/>
          <w:szCs w:val="20"/>
          <w:lang w:val="en-US"/>
        </w:rPr>
        <w:t>DLco</w:t>
      </w:r>
      <w:proofErr w:type="spellEnd"/>
      <w:r w:rsidRPr="00B911B3">
        <w:rPr>
          <w:rFonts w:ascii="Times New Roman" w:hAnsi="Times New Roman" w:cs="Times New Roman"/>
          <w:i/>
          <w:sz w:val="20"/>
          <w:szCs w:val="20"/>
          <w:lang w:val="en-US"/>
        </w:rPr>
        <w:t xml:space="preserve">: diffusion capacity of carbon monoxide; </w:t>
      </w:r>
      <w:proofErr w:type="spellStart"/>
      <w:r w:rsidRPr="00B911B3">
        <w:rPr>
          <w:rFonts w:ascii="Times New Roman" w:hAnsi="Times New Roman" w:cs="Times New Roman"/>
          <w:i/>
          <w:sz w:val="20"/>
          <w:szCs w:val="20"/>
          <w:lang w:val="en-US"/>
        </w:rPr>
        <w:t>eGFR</w:t>
      </w:r>
      <w:proofErr w:type="spellEnd"/>
      <w:r w:rsidRPr="00B911B3">
        <w:rPr>
          <w:rFonts w:ascii="Times New Roman" w:hAnsi="Times New Roman" w:cs="Times New Roman"/>
          <w:i/>
          <w:sz w:val="20"/>
          <w:szCs w:val="20"/>
          <w:lang w:val="en-US"/>
        </w:rPr>
        <w:t>:</w:t>
      </w:r>
      <w:r w:rsidRPr="00B911B3">
        <w:rPr>
          <w:rFonts w:ascii="Times New Roman" w:hAnsi="Times New Roman" w:cs="Times New Roman"/>
          <w:i/>
          <w:color w:val="000000" w:themeColor="text1"/>
          <w:sz w:val="20"/>
          <w:szCs w:val="20"/>
          <w:lang w:val="en-US"/>
        </w:rPr>
        <w:t xml:space="preserve"> estimat</w:t>
      </w:r>
      <w:r>
        <w:rPr>
          <w:rFonts w:ascii="Times New Roman" w:hAnsi="Times New Roman" w:cs="Times New Roman"/>
          <w:i/>
          <w:color w:val="000000" w:themeColor="text1"/>
          <w:sz w:val="20"/>
          <w:szCs w:val="20"/>
          <w:lang w:val="en-US"/>
        </w:rPr>
        <w:t>ed glomerular filtration rate</w:t>
      </w:r>
      <w:r>
        <w:rPr>
          <w:rFonts w:ascii="Times New Roman" w:hAnsi="Times New Roman" w:cs="Times New Roman"/>
          <w:i/>
          <w:sz w:val="20"/>
          <w:szCs w:val="20"/>
          <w:lang w:val="en-US" w:eastAsia="fr-CH"/>
        </w:rPr>
        <w:t>; FPHR score:</w:t>
      </w:r>
      <w:r>
        <w:rPr>
          <w:rStyle w:val="CommentReference"/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 w:rsidRPr="003F113F">
        <w:rPr>
          <w:rFonts w:ascii="Times New Roman" w:hAnsi="Times New Roman" w:cs="Times New Roman"/>
          <w:i/>
          <w:sz w:val="20"/>
          <w:szCs w:val="20"/>
          <w:lang w:val="en-US" w:eastAsia="fr-CH"/>
        </w:rPr>
        <w:t>the score developed by the French pulmonary hypertension</w:t>
      </w:r>
      <w:r>
        <w:rPr>
          <w:rFonts w:ascii="Times New Roman" w:hAnsi="Times New Roman" w:cs="Times New Roman"/>
          <w:i/>
          <w:sz w:val="20"/>
          <w:szCs w:val="20"/>
          <w:lang w:val="en-US" w:eastAsia="fr-CH"/>
        </w:rPr>
        <w:t xml:space="preserve"> network registry;</w:t>
      </w:r>
      <w:r w:rsidR="0018620E">
        <w:rPr>
          <w:rFonts w:ascii="Times New Roman" w:hAnsi="Times New Roman" w:cs="Times New Roman"/>
          <w:i/>
          <w:color w:val="2E2E2E"/>
          <w:sz w:val="20"/>
          <w:szCs w:val="20"/>
          <w:lang w:val="en-US" w:eastAsia="fr-CH"/>
        </w:rPr>
        <w:t xml:space="preserve"> </w:t>
      </w:r>
      <w:r w:rsidR="0018620E" w:rsidRPr="00B911B3">
        <w:rPr>
          <w:rFonts w:ascii="Times New Roman" w:hAnsi="Times New Roman" w:cs="Times New Roman"/>
          <w:i/>
          <w:color w:val="000000" w:themeColor="text1"/>
          <w:sz w:val="20"/>
          <w:szCs w:val="20"/>
          <w:lang w:val="en-US"/>
        </w:rPr>
        <w:t>NT-pro BNP: N terminal-pro b-type natriuretic peptide; NYHA: New York Heart Association;</w:t>
      </w:r>
      <w:r w:rsidR="0018620E">
        <w:rPr>
          <w:rFonts w:ascii="Times New Roman" w:hAnsi="Times New Roman" w:cs="Times New Roman"/>
          <w:i/>
          <w:color w:val="000000" w:themeColor="text1"/>
          <w:sz w:val="20"/>
          <w:szCs w:val="20"/>
          <w:lang w:val="en-US"/>
        </w:rPr>
        <w:t xml:space="preserve"> </w:t>
      </w:r>
      <w:r w:rsidR="0018620E" w:rsidRPr="00B911B3">
        <w:rPr>
          <w:rFonts w:ascii="Times New Roman" w:hAnsi="Times New Roman" w:cs="Times New Roman"/>
          <w:i/>
          <w:color w:val="000000" w:themeColor="text1"/>
          <w:sz w:val="20"/>
          <w:szCs w:val="20"/>
          <w:lang w:val="en-US"/>
        </w:rPr>
        <w:t xml:space="preserve">PVR: pulmonary vascular resistance; </w:t>
      </w:r>
      <w:r w:rsidR="0018620E">
        <w:rPr>
          <w:rFonts w:ascii="Times New Roman" w:hAnsi="Times New Roman" w:cs="Times New Roman"/>
          <w:i/>
          <w:color w:val="2E2E2E"/>
          <w:sz w:val="20"/>
          <w:szCs w:val="20"/>
          <w:lang w:val="en-US" w:eastAsia="fr-CH"/>
        </w:rPr>
        <w:t xml:space="preserve"> </w:t>
      </w:r>
      <w:r w:rsidR="0018620E" w:rsidRPr="00B911B3">
        <w:rPr>
          <w:rFonts w:ascii="Times New Roman" w:hAnsi="Times New Roman" w:cs="Times New Roman"/>
          <w:i/>
          <w:color w:val="000000" w:themeColor="text1"/>
          <w:sz w:val="20"/>
          <w:szCs w:val="20"/>
          <w:lang w:val="en-US"/>
        </w:rPr>
        <w:t xml:space="preserve">RAP: </w:t>
      </w:r>
      <w:r w:rsidR="0018620E">
        <w:rPr>
          <w:rFonts w:ascii="Times New Roman" w:hAnsi="Times New Roman" w:cs="Times New Roman"/>
          <w:i/>
          <w:color w:val="000000" w:themeColor="text1"/>
          <w:sz w:val="20"/>
          <w:szCs w:val="20"/>
          <w:lang w:val="en-US"/>
        </w:rPr>
        <w:t>right atrial pressure;</w:t>
      </w:r>
      <w:r w:rsidRPr="007F2A1D">
        <w:rPr>
          <w:rFonts w:ascii="Times New Roman" w:hAnsi="Times New Roman" w:cs="Times New Roman"/>
          <w:i/>
          <w:color w:val="000000" w:themeColor="text1"/>
          <w:sz w:val="20"/>
          <w:szCs w:val="20"/>
          <w:lang w:val="en-US"/>
        </w:rPr>
        <w:t xml:space="preserve"> </w:t>
      </w:r>
      <w:r w:rsidRPr="003F113F">
        <w:rPr>
          <w:rFonts w:ascii="Times New Roman" w:hAnsi="Times New Roman" w:cs="Times New Roman"/>
          <w:i/>
          <w:sz w:val="20"/>
          <w:szCs w:val="20"/>
          <w:lang w:val="en-US"/>
        </w:rPr>
        <w:t xml:space="preserve">REVEAL score: </w:t>
      </w:r>
      <w:r w:rsidRPr="003F113F">
        <w:rPr>
          <w:rFonts w:ascii="Times New Roman" w:hAnsi="Times New Roman" w:cs="Times New Roman"/>
          <w:i/>
          <w:sz w:val="20"/>
          <w:szCs w:val="20"/>
          <w:lang w:val="en-US" w:eastAsia="fr-CH"/>
        </w:rPr>
        <w:t>The</w:t>
      </w:r>
      <w:r w:rsidRPr="003F113F">
        <w:rPr>
          <w:rFonts w:ascii="Times New Roman" w:hAnsi="Times New Roman" w:cs="Times New Roman"/>
          <w:i/>
          <w:color w:val="2E2E2E"/>
          <w:sz w:val="20"/>
          <w:szCs w:val="20"/>
          <w:lang w:val="en-US" w:eastAsia="fr-CH"/>
        </w:rPr>
        <w:t xml:space="preserve"> registry to evaluate early and long-term </w:t>
      </w:r>
      <w:r>
        <w:rPr>
          <w:rFonts w:ascii="Times New Roman" w:hAnsi="Times New Roman" w:cs="Times New Roman"/>
          <w:i/>
          <w:color w:val="2E2E2E"/>
          <w:sz w:val="20"/>
          <w:szCs w:val="20"/>
          <w:lang w:val="en-US" w:eastAsia="fr-CH"/>
        </w:rPr>
        <w:t xml:space="preserve">pulmonary arterial hypertension </w:t>
      </w:r>
      <w:r w:rsidRPr="003F113F">
        <w:rPr>
          <w:rFonts w:ascii="Times New Roman" w:hAnsi="Times New Roman" w:cs="Times New Roman"/>
          <w:i/>
          <w:color w:val="2E2E2E"/>
          <w:sz w:val="20"/>
          <w:szCs w:val="20"/>
          <w:lang w:val="en-US" w:eastAsia="fr-CH"/>
        </w:rPr>
        <w:t>diseas</w:t>
      </w:r>
      <w:r>
        <w:rPr>
          <w:rFonts w:ascii="Times New Roman" w:hAnsi="Times New Roman" w:cs="Times New Roman"/>
          <w:i/>
          <w:color w:val="2E2E2E"/>
          <w:sz w:val="20"/>
          <w:szCs w:val="20"/>
          <w:lang w:val="en-US" w:eastAsia="fr-CH"/>
        </w:rPr>
        <w:t>e management risk score</w:t>
      </w:r>
      <w:r w:rsidRPr="00B911B3">
        <w:rPr>
          <w:rFonts w:ascii="Times New Roman" w:hAnsi="Times New Roman" w:cs="Times New Roman"/>
          <w:i/>
          <w:color w:val="000000" w:themeColor="text1"/>
          <w:sz w:val="20"/>
          <w:szCs w:val="20"/>
          <w:lang w:val="en-US"/>
        </w:rPr>
        <w:t xml:space="preserve"> WHO: World Health Organization</w:t>
      </w:r>
      <w:proofErr w:type="gramEnd"/>
    </w:p>
    <w:p w:rsidR="007900AF" w:rsidRPr="00B33C90" w:rsidRDefault="007900AF" w:rsidP="007900AF">
      <w:pPr>
        <w:rPr>
          <w:rFonts w:ascii="Times" w:hAnsi="Times" w:cs="Times"/>
          <w:lang w:val="en-GB"/>
        </w:rPr>
      </w:pPr>
    </w:p>
    <w:p w:rsidR="007900AF" w:rsidRPr="00B33C90" w:rsidRDefault="007900AF" w:rsidP="007900AF">
      <w:pPr>
        <w:rPr>
          <w:rFonts w:ascii="Times" w:hAnsi="Times" w:cs="Times"/>
          <w:lang w:val="en-GB"/>
        </w:rPr>
      </w:pPr>
    </w:p>
    <w:p w:rsidR="007900AF" w:rsidRPr="00B33C90" w:rsidRDefault="007900AF" w:rsidP="007900AF">
      <w:pPr>
        <w:rPr>
          <w:rFonts w:ascii="Times" w:hAnsi="Times" w:cs="Times"/>
          <w:lang w:val="en-GB"/>
        </w:rPr>
      </w:pPr>
    </w:p>
    <w:p w:rsidR="007900AF" w:rsidRPr="00B33C90" w:rsidRDefault="007900AF" w:rsidP="007900AF">
      <w:pPr>
        <w:rPr>
          <w:rFonts w:ascii="Times" w:hAnsi="Times" w:cs="Times"/>
          <w:lang w:val="en-GB"/>
        </w:rPr>
      </w:pPr>
    </w:p>
    <w:p w:rsidR="007900AF" w:rsidRPr="00B33C90" w:rsidRDefault="007900AF" w:rsidP="007900AF">
      <w:pPr>
        <w:rPr>
          <w:rFonts w:ascii="Times" w:hAnsi="Times" w:cs="Times"/>
          <w:lang w:val="en-GB"/>
        </w:rPr>
      </w:pPr>
    </w:p>
    <w:p w:rsidR="007900AF" w:rsidRPr="00B33C90" w:rsidRDefault="007900AF" w:rsidP="007900AF">
      <w:pPr>
        <w:rPr>
          <w:rFonts w:ascii="Times" w:hAnsi="Times" w:cs="Times"/>
          <w:lang w:val="en-GB"/>
        </w:rPr>
      </w:pPr>
    </w:p>
    <w:p w:rsidR="007900AF" w:rsidRPr="00B33C90" w:rsidRDefault="007900AF" w:rsidP="007900AF">
      <w:pPr>
        <w:rPr>
          <w:rFonts w:ascii="Times" w:hAnsi="Times" w:cs="Times"/>
          <w:lang w:val="en-GB"/>
        </w:rPr>
      </w:pPr>
    </w:p>
    <w:p w:rsidR="007900AF" w:rsidRPr="00B33C90" w:rsidRDefault="007900AF" w:rsidP="007900AF">
      <w:pPr>
        <w:rPr>
          <w:rFonts w:ascii="Times" w:hAnsi="Times" w:cs="Times"/>
          <w:lang w:val="en-GB"/>
        </w:rPr>
      </w:pPr>
    </w:p>
    <w:p w:rsidR="007900AF" w:rsidRPr="00B33C90" w:rsidRDefault="007900AF" w:rsidP="007900AF">
      <w:pPr>
        <w:rPr>
          <w:rFonts w:ascii="Times" w:hAnsi="Times" w:cs="Times"/>
          <w:lang w:val="en-GB"/>
        </w:rPr>
      </w:pPr>
    </w:p>
    <w:p w:rsidR="007900AF" w:rsidRPr="00B33C90" w:rsidRDefault="007900AF" w:rsidP="007900AF">
      <w:pPr>
        <w:rPr>
          <w:rFonts w:ascii="Times" w:hAnsi="Times" w:cs="Times"/>
          <w:lang w:val="en-GB"/>
        </w:rPr>
      </w:pPr>
    </w:p>
    <w:p w:rsidR="00EF26D6" w:rsidRPr="00B33C90" w:rsidRDefault="00B33C90" w:rsidP="007900AF">
      <w:pPr>
        <w:rPr>
          <w:rFonts w:ascii="Times" w:hAnsi="Times" w:cs="Times"/>
          <w:lang w:val="en-GB"/>
        </w:rPr>
      </w:pPr>
    </w:p>
    <w:sectPr w:rsidR="00EF26D6" w:rsidRPr="00B33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0AF"/>
    <w:rsid w:val="0000525E"/>
    <w:rsid w:val="0018620E"/>
    <w:rsid w:val="002C3634"/>
    <w:rsid w:val="004926E9"/>
    <w:rsid w:val="00611D42"/>
    <w:rsid w:val="006D673D"/>
    <w:rsid w:val="007900AF"/>
    <w:rsid w:val="00AB3394"/>
    <w:rsid w:val="00B33C90"/>
    <w:rsid w:val="00F419BD"/>
    <w:rsid w:val="00F5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A06C1-92B9-473E-ABF0-70284D66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0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0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900A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CHUV | Centre hospitalier universitaire vaudois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Vraka Argyro</dc:creator>
  <cp:keywords/>
  <dc:description/>
  <cp:lastModifiedBy>Aubert John</cp:lastModifiedBy>
  <cp:revision>3</cp:revision>
  <dcterms:created xsi:type="dcterms:W3CDTF">2021-10-27T06:37:00Z</dcterms:created>
  <dcterms:modified xsi:type="dcterms:W3CDTF">2021-10-27T07:42:00Z</dcterms:modified>
</cp:coreProperties>
</file>