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5DF" w:rsidRDefault="00F615DF" w:rsidP="00F615DF">
      <w:pPr>
        <w:spacing w:line="480" w:lineRule="auto"/>
        <w:jc w:val="both"/>
        <w:rPr>
          <w:rFonts w:ascii="Times New Roman" w:hAnsi="Times New Roman" w:cs="Times New Roman"/>
          <w:b/>
          <w:sz w:val="24"/>
          <w:szCs w:val="24"/>
        </w:rPr>
      </w:pPr>
      <w:r>
        <w:rPr>
          <w:rFonts w:ascii="Times New Roman" w:hAnsi="Times New Roman" w:cs="Times New Roman"/>
          <w:b/>
          <w:sz w:val="24"/>
          <w:szCs w:val="24"/>
        </w:rPr>
        <w:t>SUPPLEMENTARY FIGURE LEGENDS</w:t>
      </w:r>
    </w:p>
    <w:p w:rsidR="00F615DF" w:rsidRPr="007D5F3E" w:rsidRDefault="00F615DF" w:rsidP="00F615DF">
      <w:pPr>
        <w:spacing w:line="480" w:lineRule="auto"/>
        <w:jc w:val="both"/>
        <w:rPr>
          <w:rFonts w:ascii="Times New Roman" w:hAnsi="Times New Roman" w:cs="Times New Roman"/>
          <w:b/>
          <w:sz w:val="24"/>
          <w:szCs w:val="24"/>
        </w:rPr>
      </w:pPr>
      <w:r w:rsidRPr="007D5F3E">
        <w:rPr>
          <w:rFonts w:ascii="Times New Roman" w:hAnsi="Times New Roman" w:cs="Times New Roman"/>
          <w:b/>
          <w:sz w:val="24"/>
          <w:szCs w:val="24"/>
        </w:rPr>
        <w:t xml:space="preserve">Supplemental Figure 1 – Mean and variance of HS rat adipose gene </w:t>
      </w:r>
      <w:r>
        <w:rPr>
          <w:rFonts w:ascii="Times New Roman" w:hAnsi="Times New Roman" w:cs="Times New Roman"/>
          <w:b/>
          <w:sz w:val="24"/>
          <w:szCs w:val="24"/>
        </w:rPr>
        <w:t>expression</w:t>
      </w:r>
    </w:p>
    <w:p w:rsidR="00F615DF" w:rsidRPr="007D5F3E" w:rsidRDefault="00F615DF" w:rsidP="00F615DF">
      <w:pPr>
        <w:spacing w:line="480" w:lineRule="auto"/>
        <w:jc w:val="both"/>
        <w:rPr>
          <w:rFonts w:ascii="Times New Roman" w:hAnsi="Times New Roman" w:cs="Times New Roman"/>
          <w:sz w:val="24"/>
          <w:szCs w:val="24"/>
        </w:rPr>
      </w:pPr>
      <w:r>
        <w:rPr>
          <w:rFonts w:ascii="Times New Roman" w:hAnsi="Times New Roman" w:cs="Times New Roman"/>
          <w:sz w:val="24"/>
          <w:szCs w:val="24"/>
        </w:rPr>
        <w:t>Mean and variance of HS rat adipose gene expression before transformation, using</w:t>
      </w:r>
      <w:r w:rsidRPr="007D5F3E">
        <w:rPr>
          <w:rFonts w:ascii="Times New Roman" w:hAnsi="Times New Roman" w:cs="Times New Roman"/>
          <w:sz w:val="24"/>
          <w:szCs w:val="24"/>
        </w:rPr>
        <w:t xml:space="preserve"> all 18,353 transcripts analyzed. In general, the variance of each gene increases with the mean, which is expected. There are 28 genes that are considerably more variable than other genes with similar levels of expression (mean expression &lt; 100 and variance &gt; 700; cutoff determined visually). Enrichment analysis suggested that these genes are markers of tissue heterogeneity</w:t>
      </w:r>
      <w:r>
        <w:rPr>
          <w:rFonts w:ascii="Times New Roman" w:hAnsi="Times New Roman" w:cs="Times New Roman"/>
          <w:sz w:val="24"/>
          <w:szCs w:val="24"/>
        </w:rPr>
        <w:t xml:space="preserve"> (Table S1)</w:t>
      </w:r>
      <w:r w:rsidRPr="007D5F3E">
        <w:rPr>
          <w:rFonts w:ascii="Times New Roman" w:hAnsi="Times New Roman" w:cs="Times New Roman"/>
          <w:sz w:val="24"/>
          <w:szCs w:val="24"/>
        </w:rPr>
        <w:t xml:space="preserve">. These 28 genes were used to derive two proxy variables for the muscle and nerve composition of each adipose sample. These proxies were used as covariates for downstream analyses. </w:t>
      </w:r>
    </w:p>
    <w:p w:rsidR="00F615DF" w:rsidRPr="007D5F3E" w:rsidRDefault="00F615DF" w:rsidP="00F615DF">
      <w:pPr>
        <w:spacing w:line="480" w:lineRule="auto"/>
        <w:jc w:val="both"/>
        <w:rPr>
          <w:rFonts w:ascii="Times New Roman" w:hAnsi="Times New Roman" w:cs="Times New Roman"/>
          <w:b/>
          <w:sz w:val="24"/>
          <w:szCs w:val="24"/>
        </w:rPr>
      </w:pPr>
      <w:r w:rsidRPr="007D5F3E">
        <w:rPr>
          <w:rFonts w:ascii="Times New Roman" w:hAnsi="Times New Roman" w:cs="Times New Roman"/>
          <w:b/>
          <w:sz w:val="24"/>
          <w:szCs w:val="24"/>
        </w:rPr>
        <w:t>Supplemental Figure 2 Correlations between nerve and mus</w:t>
      </w:r>
      <w:r>
        <w:rPr>
          <w:rFonts w:ascii="Times New Roman" w:hAnsi="Times New Roman" w:cs="Times New Roman"/>
          <w:b/>
          <w:sz w:val="24"/>
          <w:szCs w:val="24"/>
        </w:rPr>
        <w:t xml:space="preserve">cle tissue proxies and </w:t>
      </w:r>
      <w:r w:rsidRPr="007D5F3E">
        <w:rPr>
          <w:rFonts w:ascii="Times New Roman" w:hAnsi="Times New Roman" w:cs="Times New Roman"/>
          <w:b/>
          <w:sz w:val="24"/>
          <w:szCs w:val="24"/>
        </w:rPr>
        <w:t xml:space="preserve">metabolic phenotypes in HS rats.  </w:t>
      </w:r>
    </w:p>
    <w:p w:rsidR="00F615DF" w:rsidRPr="007D5F3E" w:rsidRDefault="00F615DF" w:rsidP="00F615DF">
      <w:pPr>
        <w:spacing w:line="480" w:lineRule="auto"/>
        <w:jc w:val="both"/>
        <w:rPr>
          <w:rFonts w:ascii="Times New Roman" w:hAnsi="Times New Roman" w:cs="Times New Roman"/>
          <w:sz w:val="24"/>
          <w:szCs w:val="24"/>
        </w:rPr>
      </w:pPr>
      <w:r w:rsidRPr="007D5F3E">
        <w:rPr>
          <w:rFonts w:ascii="Times New Roman" w:hAnsi="Times New Roman" w:cs="Times New Roman"/>
          <w:sz w:val="24"/>
          <w:szCs w:val="24"/>
        </w:rPr>
        <w:t xml:space="preserve">Pearson correlations are shown, with blue being a positive correlation and red being a negative correlation.  The darker the color, the stronger the correlation.  </w:t>
      </w:r>
      <w:proofErr w:type="spellStart"/>
      <w:r w:rsidRPr="007D5F3E">
        <w:rPr>
          <w:rFonts w:ascii="Times New Roman" w:hAnsi="Times New Roman" w:cs="Times New Roman"/>
          <w:sz w:val="24"/>
          <w:szCs w:val="24"/>
        </w:rPr>
        <w:t>BWg</w:t>
      </w:r>
      <w:proofErr w:type="spellEnd"/>
      <w:r w:rsidRPr="007D5F3E">
        <w:rPr>
          <w:rFonts w:ascii="Times New Roman" w:hAnsi="Times New Roman" w:cs="Times New Roman"/>
          <w:sz w:val="24"/>
          <w:szCs w:val="24"/>
        </w:rPr>
        <w:t xml:space="preserve"> – bodyweight (g); </w:t>
      </w:r>
      <w:proofErr w:type="spellStart"/>
      <w:r w:rsidRPr="007D5F3E">
        <w:rPr>
          <w:rFonts w:ascii="Times New Roman" w:hAnsi="Times New Roman" w:cs="Times New Roman"/>
          <w:sz w:val="24"/>
          <w:szCs w:val="24"/>
        </w:rPr>
        <w:t>BLcm</w:t>
      </w:r>
      <w:proofErr w:type="spellEnd"/>
      <w:r w:rsidRPr="007D5F3E">
        <w:rPr>
          <w:rFonts w:ascii="Times New Roman" w:hAnsi="Times New Roman" w:cs="Times New Roman"/>
          <w:sz w:val="24"/>
          <w:szCs w:val="24"/>
        </w:rPr>
        <w:t xml:space="preserve"> – body length (cm); </w:t>
      </w:r>
      <w:proofErr w:type="spellStart"/>
      <w:r w:rsidRPr="007D5F3E">
        <w:rPr>
          <w:rFonts w:ascii="Times New Roman" w:hAnsi="Times New Roman" w:cs="Times New Roman"/>
          <w:sz w:val="24"/>
          <w:szCs w:val="24"/>
        </w:rPr>
        <w:t>EpiFatg</w:t>
      </w:r>
      <w:proofErr w:type="spellEnd"/>
      <w:r w:rsidRPr="007D5F3E">
        <w:rPr>
          <w:rFonts w:ascii="Times New Roman" w:hAnsi="Times New Roman" w:cs="Times New Roman"/>
          <w:sz w:val="24"/>
          <w:szCs w:val="24"/>
        </w:rPr>
        <w:t xml:space="preserve"> – </w:t>
      </w:r>
      <w:proofErr w:type="spellStart"/>
      <w:r w:rsidRPr="007D5F3E">
        <w:rPr>
          <w:rFonts w:ascii="Times New Roman" w:hAnsi="Times New Roman" w:cs="Times New Roman"/>
          <w:sz w:val="24"/>
          <w:szCs w:val="24"/>
        </w:rPr>
        <w:t>epididymal</w:t>
      </w:r>
      <w:proofErr w:type="spellEnd"/>
      <w:r w:rsidRPr="007D5F3E">
        <w:rPr>
          <w:rFonts w:ascii="Times New Roman" w:hAnsi="Times New Roman" w:cs="Times New Roman"/>
          <w:sz w:val="24"/>
          <w:szCs w:val="24"/>
        </w:rPr>
        <w:t xml:space="preserve"> fat pad weight (g); </w:t>
      </w:r>
      <w:proofErr w:type="spellStart"/>
      <w:r w:rsidRPr="007D5F3E">
        <w:rPr>
          <w:rFonts w:ascii="Times New Roman" w:hAnsi="Times New Roman" w:cs="Times New Roman"/>
          <w:sz w:val="24"/>
          <w:szCs w:val="24"/>
        </w:rPr>
        <w:t>RetroFatg</w:t>
      </w:r>
      <w:proofErr w:type="spellEnd"/>
      <w:r w:rsidRPr="007D5F3E">
        <w:rPr>
          <w:rFonts w:ascii="Times New Roman" w:hAnsi="Times New Roman" w:cs="Times New Roman"/>
          <w:sz w:val="24"/>
          <w:szCs w:val="24"/>
        </w:rPr>
        <w:t xml:space="preserve"> – retroperitoneal fat pad weight (g); Ins0 – fasting insulin at baseline (ng/ml); </w:t>
      </w:r>
      <w:proofErr w:type="spellStart"/>
      <w:r w:rsidRPr="007D5F3E">
        <w:rPr>
          <w:rFonts w:ascii="Times New Roman" w:hAnsi="Times New Roman" w:cs="Times New Roman"/>
          <w:sz w:val="24"/>
          <w:szCs w:val="24"/>
        </w:rPr>
        <w:t>InsAUC</w:t>
      </w:r>
      <w:proofErr w:type="spellEnd"/>
      <w:r w:rsidRPr="007D5F3E">
        <w:rPr>
          <w:rFonts w:ascii="Times New Roman" w:hAnsi="Times New Roman" w:cs="Times New Roman"/>
          <w:sz w:val="24"/>
          <w:szCs w:val="24"/>
        </w:rPr>
        <w:t xml:space="preserve"> – insulin area under the curve after glucose challenge; Gluc0 – fasting glucose at baseline (mg/</w:t>
      </w:r>
      <w:proofErr w:type="spellStart"/>
      <w:r w:rsidRPr="007D5F3E">
        <w:rPr>
          <w:rFonts w:ascii="Times New Roman" w:hAnsi="Times New Roman" w:cs="Times New Roman"/>
          <w:sz w:val="24"/>
          <w:szCs w:val="24"/>
        </w:rPr>
        <w:t>dL</w:t>
      </w:r>
      <w:proofErr w:type="spellEnd"/>
      <w:r w:rsidRPr="007D5F3E">
        <w:rPr>
          <w:rFonts w:ascii="Times New Roman" w:hAnsi="Times New Roman" w:cs="Times New Roman"/>
          <w:sz w:val="24"/>
          <w:szCs w:val="24"/>
        </w:rPr>
        <w:t xml:space="preserve">); </w:t>
      </w:r>
      <w:proofErr w:type="spellStart"/>
      <w:r w:rsidRPr="007D5F3E">
        <w:rPr>
          <w:rFonts w:ascii="Times New Roman" w:hAnsi="Times New Roman" w:cs="Times New Roman"/>
          <w:sz w:val="24"/>
          <w:szCs w:val="24"/>
        </w:rPr>
        <w:t>GlucAUC</w:t>
      </w:r>
      <w:proofErr w:type="spellEnd"/>
      <w:r w:rsidRPr="007D5F3E">
        <w:rPr>
          <w:rFonts w:ascii="Times New Roman" w:hAnsi="Times New Roman" w:cs="Times New Roman"/>
          <w:sz w:val="24"/>
          <w:szCs w:val="24"/>
        </w:rPr>
        <w:t xml:space="preserve"> – glucose area under the curve after glucose challenge; </w:t>
      </w:r>
      <w:proofErr w:type="spellStart"/>
      <w:r w:rsidRPr="007D5F3E">
        <w:rPr>
          <w:rFonts w:ascii="Times New Roman" w:hAnsi="Times New Roman" w:cs="Times New Roman"/>
          <w:sz w:val="24"/>
          <w:szCs w:val="24"/>
        </w:rPr>
        <w:t>Chol</w:t>
      </w:r>
      <w:proofErr w:type="spellEnd"/>
      <w:r w:rsidRPr="007D5F3E">
        <w:rPr>
          <w:rFonts w:ascii="Times New Roman" w:hAnsi="Times New Roman" w:cs="Times New Roman"/>
          <w:sz w:val="24"/>
          <w:szCs w:val="24"/>
        </w:rPr>
        <w:t xml:space="preserve"> – fasting total cholesterol (mg/</w:t>
      </w:r>
      <w:proofErr w:type="spellStart"/>
      <w:r w:rsidRPr="007D5F3E">
        <w:rPr>
          <w:rFonts w:ascii="Times New Roman" w:hAnsi="Times New Roman" w:cs="Times New Roman"/>
          <w:sz w:val="24"/>
          <w:szCs w:val="24"/>
        </w:rPr>
        <w:t>dL</w:t>
      </w:r>
      <w:proofErr w:type="spellEnd"/>
      <w:r w:rsidRPr="007D5F3E">
        <w:rPr>
          <w:rFonts w:ascii="Times New Roman" w:hAnsi="Times New Roman" w:cs="Times New Roman"/>
          <w:sz w:val="24"/>
          <w:szCs w:val="24"/>
        </w:rPr>
        <w:t>); Trig – fasting triglycerides (mg/</w:t>
      </w:r>
      <w:proofErr w:type="spellStart"/>
      <w:r w:rsidRPr="007D5F3E">
        <w:rPr>
          <w:rFonts w:ascii="Times New Roman" w:hAnsi="Times New Roman" w:cs="Times New Roman"/>
          <w:sz w:val="24"/>
          <w:szCs w:val="24"/>
        </w:rPr>
        <w:t>dL</w:t>
      </w:r>
      <w:proofErr w:type="spellEnd"/>
      <w:r w:rsidRPr="007D5F3E">
        <w:rPr>
          <w:rFonts w:ascii="Times New Roman" w:hAnsi="Times New Roman" w:cs="Times New Roman"/>
          <w:sz w:val="24"/>
          <w:szCs w:val="24"/>
        </w:rPr>
        <w:t xml:space="preserve">); </w:t>
      </w:r>
      <w:proofErr w:type="spellStart"/>
      <w:r w:rsidRPr="007D5F3E">
        <w:rPr>
          <w:rFonts w:ascii="Times New Roman" w:hAnsi="Times New Roman" w:cs="Times New Roman"/>
          <w:sz w:val="24"/>
          <w:szCs w:val="24"/>
        </w:rPr>
        <w:t>NerveProxy</w:t>
      </w:r>
      <w:proofErr w:type="spellEnd"/>
      <w:r w:rsidRPr="007D5F3E">
        <w:rPr>
          <w:rFonts w:ascii="Times New Roman" w:hAnsi="Times New Roman" w:cs="Times New Roman"/>
          <w:sz w:val="24"/>
          <w:szCs w:val="24"/>
        </w:rPr>
        <w:t xml:space="preserve"> – nerve tissue proxy; </w:t>
      </w:r>
      <w:proofErr w:type="spellStart"/>
      <w:r w:rsidRPr="007D5F3E">
        <w:rPr>
          <w:rFonts w:ascii="Times New Roman" w:hAnsi="Times New Roman" w:cs="Times New Roman"/>
          <w:sz w:val="24"/>
          <w:szCs w:val="24"/>
        </w:rPr>
        <w:t>MuscleProxy</w:t>
      </w:r>
      <w:proofErr w:type="spellEnd"/>
      <w:r w:rsidRPr="007D5F3E">
        <w:rPr>
          <w:rFonts w:ascii="Times New Roman" w:hAnsi="Times New Roman" w:cs="Times New Roman"/>
          <w:sz w:val="24"/>
          <w:szCs w:val="24"/>
        </w:rPr>
        <w:t xml:space="preserve"> – muscle tissue proxy. The nerve and muscle tissue proxies are positively correlated with each other, but negatively correlated with many metabolic phenotypes, and most strongly correlated with </w:t>
      </w:r>
      <w:proofErr w:type="spellStart"/>
      <w:r w:rsidRPr="007D5F3E">
        <w:rPr>
          <w:rFonts w:ascii="Times New Roman" w:hAnsi="Times New Roman" w:cs="Times New Roman"/>
          <w:sz w:val="24"/>
          <w:szCs w:val="24"/>
        </w:rPr>
        <w:t>RetroFatg</w:t>
      </w:r>
      <w:proofErr w:type="spellEnd"/>
      <w:r w:rsidRPr="007D5F3E">
        <w:rPr>
          <w:rFonts w:ascii="Times New Roman" w:hAnsi="Times New Roman" w:cs="Times New Roman"/>
          <w:sz w:val="24"/>
          <w:szCs w:val="24"/>
        </w:rPr>
        <w:t>, which is the source tissue for gene expression.</w:t>
      </w:r>
    </w:p>
    <w:p w:rsidR="00F615DF" w:rsidRPr="007D5F3E" w:rsidRDefault="00F615DF" w:rsidP="00F615DF">
      <w:pPr>
        <w:spacing w:line="480" w:lineRule="auto"/>
        <w:jc w:val="both"/>
        <w:rPr>
          <w:rFonts w:ascii="Times New Roman" w:hAnsi="Times New Roman" w:cs="Times New Roman"/>
          <w:b/>
          <w:sz w:val="24"/>
          <w:szCs w:val="24"/>
        </w:rPr>
      </w:pPr>
      <w:r w:rsidRPr="007D5F3E">
        <w:rPr>
          <w:rFonts w:ascii="Times New Roman" w:hAnsi="Times New Roman" w:cs="Times New Roman"/>
          <w:b/>
          <w:sz w:val="24"/>
          <w:szCs w:val="24"/>
        </w:rPr>
        <w:lastRenderedPageBreak/>
        <w:t>Supplemental Figure 3 – Scale independence and mean connectivity for WGCNA analysis of adipose gene expression</w:t>
      </w:r>
    </w:p>
    <w:p w:rsidR="00F615DF" w:rsidRPr="007D5F3E" w:rsidRDefault="00F615DF" w:rsidP="00F615DF">
      <w:pPr>
        <w:spacing w:line="480" w:lineRule="auto"/>
        <w:jc w:val="both"/>
        <w:rPr>
          <w:rFonts w:ascii="Times New Roman" w:hAnsi="Times New Roman" w:cs="Times New Roman"/>
          <w:sz w:val="24"/>
          <w:szCs w:val="24"/>
        </w:rPr>
      </w:pPr>
      <w:r w:rsidRPr="007D5F3E">
        <w:rPr>
          <w:rFonts w:ascii="Times New Roman" w:hAnsi="Times New Roman" w:cs="Times New Roman"/>
          <w:sz w:val="24"/>
          <w:szCs w:val="24"/>
        </w:rPr>
        <w:t xml:space="preserve">Different soft </w:t>
      </w:r>
      <w:proofErr w:type="spellStart"/>
      <w:r w:rsidRPr="007D5F3E">
        <w:rPr>
          <w:rFonts w:ascii="Times New Roman" w:hAnsi="Times New Roman" w:cs="Times New Roman"/>
          <w:sz w:val="24"/>
          <w:szCs w:val="24"/>
        </w:rPr>
        <w:t>thresholding</w:t>
      </w:r>
      <w:proofErr w:type="spellEnd"/>
      <w:r w:rsidRPr="007D5F3E">
        <w:rPr>
          <w:rFonts w:ascii="Times New Roman" w:hAnsi="Times New Roman" w:cs="Times New Roman"/>
          <w:sz w:val="24"/>
          <w:szCs w:val="24"/>
        </w:rPr>
        <w:t xml:space="preserve"> powers were used. The power was set to 5 based on a 0.9 threshold for the scale free topology index.</w:t>
      </w:r>
    </w:p>
    <w:p w:rsidR="00F615DF" w:rsidRPr="007D5F3E" w:rsidRDefault="00F615DF" w:rsidP="00F615DF">
      <w:pPr>
        <w:spacing w:line="480" w:lineRule="auto"/>
        <w:jc w:val="both"/>
        <w:rPr>
          <w:rFonts w:ascii="Times New Roman" w:hAnsi="Times New Roman" w:cs="Times New Roman"/>
          <w:sz w:val="24"/>
          <w:szCs w:val="24"/>
        </w:rPr>
      </w:pPr>
    </w:p>
    <w:p w:rsidR="00F615DF" w:rsidRPr="007D5F3E" w:rsidRDefault="00F615DF" w:rsidP="00F615DF">
      <w:pPr>
        <w:spacing w:line="480" w:lineRule="auto"/>
        <w:jc w:val="both"/>
        <w:rPr>
          <w:rFonts w:ascii="Times New Roman" w:hAnsi="Times New Roman" w:cs="Times New Roman"/>
          <w:b/>
          <w:sz w:val="24"/>
          <w:szCs w:val="24"/>
        </w:rPr>
      </w:pPr>
      <w:r w:rsidRPr="007D5F3E">
        <w:rPr>
          <w:rFonts w:ascii="Times New Roman" w:hAnsi="Times New Roman" w:cs="Times New Roman"/>
          <w:b/>
          <w:sz w:val="24"/>
          <w:szCs w:val="24"/>
        </w:rPr>
        <w:t>Supplemental Figure 4 - Canonical Pathway Enrichment Analysis of the Light Green Module</w:t>
      </w:r>
    </w:p>
    <w:p w:rsidR="00F615DF" w:rsidRPr="007D5F3E" w:rsidRDefault="00F615DF" w:rsidP="00F615DF">
      <w:pPr>
        <w:spacing w:line="480" w:lineRule="auto"/>
        <w:jc w:val="both"/>
        <w:rPr>
          <w:rFonts w:ascii="Times New Roman" w:hAnsi="Times New Roman" w:cs="Times New Roman"/>
          <w:sz w:val="24"/>
          <w:szCs w:val="24"/>
        </w:rPr>
      </w:pPr>
      <w:r w:rsidRPr="007D5F3E">
        <w:rPr>
          <w:rFonts w:ascii="Times New Roman" w:hAnsi="Times New Roman" w:cs="Times New Roman"/>
          <w:sz w:val="24"/>
          <w:szCs w:val="24"/>
        </w:rPr>
        <w:t xml:space="preserve">Canonical Pathway Enrichment Analysis of the </w:t>
      </w:r>
      <w:proofErr w:type="spellStart"/>
      <w:r w:rsidRPr="007D5F3E">
        <w:rPr>
          <w:rFonts w:ascii="Times New Roman" w:hAnsi="Times New Roman" w:cs="Times New Roman"/>
          <w:sz w:val="24"/>
          <w:szCs w:val="24"/>
        </w:rPr>
        <w:t>LightGreen</w:t>
      </w:r>
      <w:proofErr w:type="spellEnd"/>
      <w:r w:rsidRPr="007D5F3E">
        <w:rPr>
          <w:rFonts w:ascii="Times New Roman" w:hAnsi="Times New Roman" w:cs="Times New Roman"/>
          <w:sz w:val="24"/>
          <w:szCs w:val="24"/>
        </w:rPr>
        <w:t xml:space="preserve"> module identifies mu</w:t>
      </w:r>
      <w:r>
        <w:rPr>
          <w:rFonts w:ascii="Times New Roman" w:hAnsi="Times New Roman" w:cs="Times New Roman"/>
          <w:sz w:val="24"/>
          <w:szCs w:val="24"/>
        </w:rPr>
        <w:t>ltiple SMAD genes, supporting a role for</w:t>
      </w:r>
      <w:r w:rsidRPr="007D5F3E">
        <w:rPr>
          <w:rFonts w:ascii="Times New Roman" w:hAnsi="Times New Roman" w:cs="Times New Roman"/>
          <w:sz w:val="24"/>
          <w:szCs w:val="24"/>
        </w:rPr>
        <w:t xml:space="preserve"> this module </w:t>
      </w:r>
      <w:r>
        <w:rPr>
          <w:rFonts w:ascii="Times New Roman" w:hAnsi="Times New Roman" w:cs="Times New Roman"/>
          <w:sz w:val="24"/>
          <w:szCs w:val="24"/>
        </w:rPr>
        <w:t xml:space="preserve">in </w:t>
      </w:r>
      <w:r w:rsidRPr="007D5F3E">
        <w:rPr>
          <w:rFonts w:ascii="Times New Roman" w:hAnsi="Times New Roman" w:cs="Times New Roman"/>
          <w:sz w:val="24"/>
          <w:szCs w:val="24"/>
        </w:rPr>
        <w:t>SMAD phosphorylation.  Figure was created using Ingenuity Pathway Analysis software.</w:t>
      </w:r>
    </w:p>
    <w:p w:rsidR="00A04EA7" w:rsidRDefault="00A04EA7">
      <w:bookmarkStart w:id="0" w:name="_GoBack"/>
      <w:bookmarkEnd w:id="0"/>
    </w:p>
    <w:sectPr w:rsidR="00A04E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5DF"/>
    <w:rsid w:val="00A04EA7"/>
    <w:rsid w:val="00F61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F05E09-B4A7-4352-9AF3-70360FD53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5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WFBH</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Solberg Woods</dc:creator>
  <cp:keywords/>
  <dc:description/>
  <cp:lastModifiedBy>Leah Solberg Woods</cp:lastModifiedBy>
  <cp:revision>1</cp:revision>
  <dcterms:created xsi:type="dcterms:W3CDTF">2021-12-14T15:16:00Z</dcterms:created>
  <dcterms:modified xsi:type="dcterms:W3CDTF">2021-12-14T15:16:00Z</dcterms:modified>
</cp:coreProperties>
</file>