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t xml:space="preserve">S2 Appendix. Risk model based on ICD-10-groups. </w:t>
      </w:r>
      <w:r>
        <w:rPr>
          <w:sz w:val="24"/>
          <w:lang w:val="en-US"/>
        </w:rPr>
        <w:t xml:space="preserve">Table B </w:t>
      </w:r>
      <w:bookmarkStart w:id="0" w:name="_GoBack"/>
      <w:r>
        <w:rPr>
          <w:sz w:val="24"/>
          <w:lang w:val="en-US"/>
        </w:rPr>
        <w:t xml:space="preserve">shows the variables along with their coefficients and weights of the risk model based on </w:t>
      </w:r>
      <w:bookmarkEnd w:id="0"/>
      <w:r>
        <w:rPr>
          <w:sz w:val="24"/>
          <w:lang w:val="en-US"/>
        </w:rPr>
        <w:t>ICD-10-groups.</w:t>
      </w:r>
    </w:p>
    <w:p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t>S2 Table B.</w:t>
      </w:r>
    </w:p>
    <w:tbl>
      <w:tblPr>
        <w:tblW w:w="90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4"/>
        <w:gridCol w:w="4304"/>
        <w:gridCol w:w="1574"/>
        <w:gridCol w:w="891"/>
        <w:gridCol w:w="1129"/>
      </w:tblGrid>
      <w:tr>
        <w:trPr>
          <w:tblHeader/>
        </w:trPr>
        <w:tc>
          <w:tcPr>
            <w:tcW w:w="5468" w:type="dxa"/>
            <w:gridSpan w:val="2"/>
            <w:shd w:val="clear" w:color="auto" w:fill="D9D9D9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ICD-10-group</w:t>
            </w:r>
          </w:p>
        </w:tc>
        <w:tc>
          <w:tcPr>
            <w:tcW w:w="1574" w:type="dxa"/>
            <w:shd w:val="clear" w:color="auto" w:fill="D9D9D9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Coefficient β</w:t>
            </w:r>
          </w:p>
        </w:tc>
        <w:tc>
          <w:tcPr>
            <w:tcW w:w="891" w:type="dxa"/>
            <w:shd w:val="clear" w:color="auto" w:fill="D9D9D9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Weight</w:t>
            </w:r>
          </w:p>
        </w:tc>
        <w:tc>
          <w:tcPr>
            <w:tcW w:w="1129" w:type="dxa"/>
            <w:shd w:val="clear" w:color="auto" w:fill="D9D9D9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Inpatients</w:t>
            </w:r>
          </w:p>
        </w:tc>
      </w:tr>
      <w:tr>
        <w:trPr>
          <w:tblHeader/>
        </w:trPr>
        <w:tc>
          <w:tcPr>
            <w:tcW w:w="1164" w:type="dxa"/>
            <w:shd w:val="clear" w:color="auto" w:fill="D9D9D9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Code</w:t>
            </w:r>
          </w:p>
        </w:tc>
        <w:tc>
          <w:tcPr>
            <w:tcW w:w="4304" w:type="dxa"/>
            <w:shd w:val="clear" w:color="auto" w:fill="D9D9D9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Title</w:t>
            </w:r>
          </w:p>
        </w:tc>
        <w:tc>
          <w:tcPr>
            <w:tcW w:w="1574" w:type="dxa"/>
            <w:shd w:val="clear" w:color="auto" w:fill="D9D9D9"/>
          </w:tcPr>
          <w:p>
            <w:pPr>
              <w:jc w:val="right"/>
              <w:rPr>
                <w:lang w:val="en-US"/>
              </w:rPr>
            </w:pPr>
          </w:p>
        </w:tc>
        <w:tc>
          <w:tcPr>
            <w:tcW w:w="891" w:type="dxa"/>
            <w:shd w:val="clear" w:color="auto" w:fill="D9D9D9"/>
          </w:tcPr>
          <w:p>
            <w:pPr>
              <w:jc w:val="right"/>
              <w:rPr>
                <w:lang w:val="en-US"/>
              </w:rPr>
            </w:pPr>
          </w:p>
        </w:tc>
        <w:tc>
          <w:tcPr>
            <w:tcW w:w="1129" w:type="dxa"/>
            <w:shd w:val="clear" w:color="auto" w:fill="D9D9D9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Number</w:t>
            </w:r>
            <w:r>
              <w:rPr>
                <w:vertAlign w:val="superscript"/>
                <w:lang w:val="en-US"/>
              </w:rPr>
              <w:t>#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C00-C97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Malignant neoplasms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1.382322174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42,623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D10-D36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Benign neoplasms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-1.729370052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-5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11,125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D60-D64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Aplastic and other anaemias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0.360608328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27,400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D65-D69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Coagulation defects, purpura and other haemorrhagic conditions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0.406890185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11,725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E00-E07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Disorders of thyroid gland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-0.624463437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-2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35,255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E50-E64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Other nutritional deficiencies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-2.330218598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-7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2,927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E65-E68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Obesity and other hyperalimentation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-0.694485048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-2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20,070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F10-F19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Mental and behavioural disorders due to psychoactive substance use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-0.948333075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-3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17,105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F30-F39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Mood [affective] disorders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-1.01474928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-3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16,655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G10-G14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Systemic atrophies primarily affecting the central nervous system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1.629455981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369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G90-G99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Other disorders of the nervous system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1.105892816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3,428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H53-H54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Visual disturbances and blindness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-1.459865834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-4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2,887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I10-I15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Hypertensive diseases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-0.547487145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-2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164,888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I26-I28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Pulmonary heart disease and diseases of pulmonary circulation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0.586777751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5,510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I30-I52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Other forms of heart disease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0.954756847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79,932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I60-I69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Cerebrovascular diseases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0.784098054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23,570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I70-I79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Diseases of arteries, arterioles and capillaries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0.392941297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20,673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I80-I89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Diseases of veins, lymphatic vessels and lymph nodes, not elsewhere classified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-0.498530748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-1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14,802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J09-J18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Influenza and pneumonia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1.019041308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14,773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J30-J39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Other diseases of upper respiratory tract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-1.226031753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-3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11,621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J60-J70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Lung diseases due to external agents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1.615969507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2,544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J80-J84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Other respiratory diseases principally affecting the interstitium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1.150641776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1,258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lastRenderedPageBreak/>
              <w:t>J90-J94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Other diseases of pleura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0.59419548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10,150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J95-J99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Other diseases of the respiratory system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1.186743773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21,361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K35-K38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Diseases of appendix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-46.66377343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-131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3,350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K40-K46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Hernia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-0.801183181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-2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13,400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K55-K63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Other diseases of intestines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0.439516451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34,859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K65-K67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Diseases of peritoneum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0.979266753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5,724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K70-K77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Diseases of liver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0.65651189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8,997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L80-L99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Other disorders of the skin and subcutaneous tissue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1.234806235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11,906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M00-M25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Arthropathies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-0.847906446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-2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30,132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M40-M54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Dorsopathies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-0.951716303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-3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24,767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N17-N19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Renal failure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1.311218113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39,206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N25-N29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Other disorders of kidney and ureter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-1.301579848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-4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2,619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N30-N39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Other diseases of urinary system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-0.35952431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-1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30,850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Q35-Q37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Cleft lip and cleft palate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2.17741583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51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R10-R19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Symptoms and signs involving the digestive system and abdomen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0.740957219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48,049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R30-R39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Symptoms and signs involving the urinary system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0.357567453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26,612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R40-R46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Symptoms and signs involving cognition, perception, emotional state and behaviour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0.855376719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14,707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R50-R69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General symptoms and signs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1.184741694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46,312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T15-T19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Effects of foreign body entering through natural orifice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1.972671303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667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T80-T88</w:t>
            </w:r>
          </w:p>
        </w:tc>
        <w:tc>
          <w:tcPr>
            <w:tcW w:w="430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Complications of surgical and medical care, not elsewhere classified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-0.492815662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-1</w:t>
            </w:r>
          </w:p>
        </w:tc>
        <w:tc>
          <w:tcPr>
            <w:tcW w:w="1129" w:type="dxa"/>
          </w:tcPr>
          <w:p>
            <w:pPr>
              <w:jc w:val="right"/>
            </w:pPr>
            <w:r>
              <w:t>25,965</w:t>
            </w:r>
          </w:p>
        </w:tc>
      </w:tr>
      <w:tr>
        <w:tc>
          <w:tcPr>
            <w:tcW w:w="5468" w:type="dxa"/>
            <w:gridSpan w:val="2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Intercept</w:t>
            </w:r>
          </w:p>
        </w:tc>
        <w:tc>
          <w:tcPr>
            <w:tcW w:w="157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-5.137019062</w:t>
            </w:r>
          </w:p>
        </w:tc>
        <w:tc>
          <w:tcPr>
            <w:tcW w:w="891" w:type="dxa"/>
          </w:tcPr>
          <w:p>
            <w:pPr>
              <w:jc w:val="right"/>
              <w:rPr>
                <w:lang w:val="en-US"/>
              </w:rPr>
            </w:pPr>
          </w:p>
        </w:tc>
        <w:tc>
          <w:tcPr>
            <w:tcW w:w="1129" w:type="dxa"/>
          </w:tcPr>
          <w:p>
            <w:pPr>
              <w:jc w:val="right"/>
              <w:rPr>
                <w:lang w:val="en-US"/>
              </w:rPr>
            </w:pPr>
          </w:p>
        </w:tc>
      </w:tr>
    </w:tbl>
    <w:p/>
    <w:p>
      <w:pPr>
        <w:rPr>
          <w:lang w:val="en-US"/>
        </w:rPr>
      </w:pPr>
      <w:r>
        <w:rPr>
          <w:vertAlign w:val="superscript"/>
          <w:lang w:val="en-US"/>
        </w:rPr>
        <w:t>#</w:t>
      </w:r>
      <w:r>
        <w:rPr>
          <w:lang w:val="en-US"/>
        </w:rPr>
        <w:t>Number of inpatients in the evaluation data set with at least one code from the ICD-10-group as principal or as secondary diagnosis. The total nummer of inpatients was 435,076.</w:t>
      </w:r>
    </w:p>
    <w:p/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452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2015-11-07T11:05:00Z</dcterms:created>
  <dcterms:modified xsi:type="dcterms:W3CDTF">2015-12-01T15:53:00Z</dcterms:modified>
</cp:coreProperties>
</file>