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79E" w:rsidRDefault="00437113" w:rsidP="005F3B86">
      <w:pPr>
        <w:spacing w:after="60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Supplementary Table 2</w:t>
      </w:r>
      <w:r w:rsidR="006A679E">
        <w:rPr>
          <w:rFonts w:ascii="Arial" w:hAnsi="Arial" w:cs="Arial"/>
          <w:b/>
        </w:rPr>
        <w:t>.</w:t>
      </w:r>
      <w:proofErr w:type="gramEnd"/>
      <w:r w:rsidR="00D670E4">
        <w:rPr>
          <w:rFonts w:ascii="Arial" w:hAnsi="Arial" w:cs="Arial"/>
          <w:b/>
        </w:rPr>
        <w:t xml:space="preserve"> Normal versus abnormal total protein and albumin</w:t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582"/>
        <w:gridCol w:w="1300"/>
        <w:gridCol w:w="1366"/>
        <w:gridCol w:w="1170"/>
        <w:gridCol w:w="1405"/>
        <w:gridCol w:w="1353"/>
        <w:gridCol w:w="1400"/>
      </w:tblGrid>
      <w:tr w:rsidR="00D670E4" w:rsidRPr="002E5976" w:rsidTr="009B51DA">
        <w:tc>
          <w:tcPr>
            <w:tcW w:w="158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670E4" w:rsidRPr="002E5976" w:rsidRDefault="00D670E4" w:rsidP="00570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Laboratory test, with cutoff for normal range</w:t>
            </w:r>
          </w:p>
          <w:p w:rsidR="00D670E4" w:rsidRPr="002E5976" w:rsidRDefault="00D670E4" w:rsidP="00570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D670E4" w:rsidRPr="002E5976" w:rsidRDefault="00D670E4" w:rsidP="0057070A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US Cases</w:t>
            </w:r>
          </w:p>
          <w:p w:rsidR="00D670E4" w:rsidRPr="002E5976" w:rsidRDefault="00D670E4" w:rsidP="0057070A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% abnormal</w:t>
            </w:r>
          </w:p>
        </w:tc>
        <w:tc>
          <w:tcPr>
            <w:tcW w:w="136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670E4" w:rsidRPr="002E5976" w:rsidRDefault="00D670E4" w:rsidP="0057070A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US Controls</w:t>
            </w:r>
          </w:p>
          <w:p w:rsidR="00D670E4" w:rsidRPr="002E5976" w:rsidRDefault="00D670E4" w:rsidP="0057070A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% abnormal</w:t>
            </w:r>
          </w:p>
        </w:tc>
        <w:tc>
          <w:tcPr>
            <w:tcW w:w="117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670E4" w:rsidRDefault="00D670E4" w:rsidP="0057070A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p-value</w:t>
            </w:r>
          </w:p>
          <w:p w:rsidR="00D670E4" w:rsidRPr="002E5976" w:rsidRDefault="00D670E4" w:rsidP="0057070A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(cases vs controls)</w:t>
            </w:r>
          </w:p>
        </w:tc>
        <w:tc>
          <w:tcPr>
            <w:tcW w:w="14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D670E4" w:rsidRPr="002E5976" w:rsidRDefault="00D670E4" w:rsidP="0057070A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Chilean Cases</w:t>
            </w:r>
          </w:p>
          <w:p w:rsidR="00D670E4" w:rsidRPr="002E5976" w:rsidRDefault="00D670E4" w:rsidP="0057070A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% abnormal</w:t>
            </w:r>
          </w:p>
        </w:tc>
        <w:tc>
          <w:tcPr>
            <w:tcW w:w="135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670E4" w:rsidRPr="002E5976" w:rsidRDefault="00D670E4" w:rsidP="0057070A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Chilean controls</w:t>
            </w:r>
          </w:p>
          <w:p w:rsidR="00D670E4" w:rsidRPr="002E5976" w:rsidRDefault="00D670E4" w:rsidP="0057070A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% abnormal</w:t>
            </w:r>
          </w:p>
        </w:tc>
        <w:tc>
          <w:tcPr>
            <w:tcW w:w="140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670E4" w:rsidRDefault="00D670E4" w:rsidP="0057070A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p-value</w:t>
            </w:r>
          </w:p>
          <w:p w:rsidR="00D670E4" w:rsidRPr="002E5976" w:rsidRDefault="00D670E4" w:rsidP="0057070A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(cases vs controls)</w:t>
            </w:r>
          </w:p>
        </w:tc>
      </w:tr>
      <w:tr w:rsidR="00D670E4" w:rsidRPr="002E5976" w:rsidTr="009B51DA">
        <w:tc>
          <w:tcPr>
            <w:tcW w:w="1582" w:type="dxa"/>
            <w:tcBorders>
              <w:right w:val="single" w:sz="18" w:space="0" w:color="auto"/>
            </w:tcBorders>
            <w:vAlign w:val="center"/>
          </w:tcPr>
          <w:p w:rsidR="00D670E4" w:rsidRPr="002E5976" w:rsidRDefault="00D670E4" w:rsidP="00570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TP (Research)</w:t>
            </w:r>
          </w:p>
          <w:p w:rsidR="00D670E4" w:rsidRPr="002E5976" w:rsidRDefault="00D670E4" w:rsidP="00570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(</w:t>
            </w:r>
            <w:r w:rsidRPr="002E5976">
              <w:rPr>
                <w:rFonts w:ascii="Arial" w:hAnsi="Arial" w:cs="Arial"/>
                <w:color w:val="000000"/>
                <w:sz w:val="20"/>
                <w:szCs w:val="20"/>
              </w:rPr>
              <w:t>6.4-8.3</w:t>
            </w:r>
            <w:r w:rsidRPr="002E597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left w:val="single" w:sz="18" w:space="0" w:color="auto"/>
            </w:tcBorders>
            <w:vAlign w:val="center"/>
          </w:tcPr>
          <w:p w:rsidR="00D670E4" w:rsidRPr="002E5976" w:rsidRDefault="00D670E4" w:rsidP="00570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18% low</w:t>
            </w:r>
          </w:p>
        </w:tc>
        <w:tc>
          <w:tcPr>
            <w:tcW w:w="1366" w:type="dxa"/>
            <w:vAlign w:val="center"/>
          </w:tcPr>
          <w:p w:rsidR="00D670E4" w:rsidRPr="002E5976" w:rsidRDefault="00D670E4" w:rsidP="00570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20%</w:t>
            </w:r>
          </w:p>
        </w:tc>
        <w:tc>
          <w:tcPr>
            <w:tcW w:w="1170" w:type="dxa"/>
            <w:tcBorders>
              <w:right w:val="single" w:sz="18" w:space="0" w:color="auto"/>
            </w:tcBorders>
            <w:vAlign w:val="center"/>
          </w:tcPr>
          <w:p w:rsidR="00D670E4" w:rsidRPr="002E5976" w:rsidRDefault="00D670E4" w:rsidP="00570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0.8315</w:t>
            </w:r>
          </w:p>
        </w:tc>
        <w:tc>
          <w:tcPr>
            <w:tcW w:w="1405" w:type="dxa"/>
            <w:tcBorders>
              <w:left w:val="single" w:sz="18" w:space="0" w:color="auto"/>
            </w:tcBorders>
            <w:vAlign w:val="center"/>
          </w:tcPr>
          <w:p w:rsidR="00D670E4" w:rsidRPr="002E5976" w:rsidRDefault="00D670E4" w:rsidP="00570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23%</w:t>
            </w:r>
          </w:p>
        </w:tc>
        <w:tc>
          <w:tcPr>
            <w:tcW w:w="1353" w:type="dxa"/>
            <w:vAlign w:val="center"/>
          </w:tcPr>
          <w:p w:rsidR="00D670E4" w:rsidRPr="002E5976" w:rsidRDefault="00D670E4" w:rsidP="00570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12%</w:t>
            </w:r>
          </w:p>
        </w:tc>
        <w:tc>
          <w:tcPr>
            <w:tcW w:w="1400" w:type="dxa"/>
            <w:vAlign w:val="center"/>
          </w:tcPr>
          <w:p w:rsidR="00D670E4" w:rsidRPr="002E5976" w:rsidRDefault="00D670E4" w:rsidP="00570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0.0694</w:t>
            </w:r>
          </w:p>
        </w:tc>
      </w:tr>
      <w:tr w:rsidR="00D670E4" w:rsidRPr="002E5976" w:rsidTr="009B51DA">
        <w:tc>
          <w:tcPr>
            <w:tcW w:w="158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670E4" w:rsidRPr="002E5976" w:rsidRDefault="00D670E4" w:rsidP="00570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ALB (Research)</w:t>
            </w:r>
          </w:p>
          <w:p w:rsidR="00D670E4" w:rsidRPr="002E5976" w:rsidRDefault="00D670E4" w:rsidP="005707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5976">
              <w:rPr>
                <w:rFonts w:ascii="Arial" w:hAnsi="Arial" w:cs="Arial"/>
                <w:color w:val="000000"/>
                <w:sz w:val="20"/>
                <w:szCs w:val="20"/>
              </w:rPr>
              <w:t>(3.4-4.8)</w:t>
            </w:r>
          </w:p>
        </w:tc>
        <w:tc>
          <w:tcPr>
            <w:tcW w:w="1300" w:type="dxa"/>
            <w:tcBorders>
              <w:left w:val="single" w:sz="18" w:space="0" w:color="auto"/>
            </w:tcBorders>
            <w:vAlign w:val="center"/>
          </w:tcPr>
          <w:p w:rsidR="00D670E4" w:rsidRPr="002E5976" w:rsidRDefault="00D670E4" w:rsidP="00570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14% low</w:t>
            </w:r>
          </w:p>
        </w:tc>
        <w:tc>
          <w:tcPr>
            <w:tcW w:w="1366" w:type="dxa"/>
            <w:vAlign w:val="center"/>
          </w:tcPr>
          <w:p w:rsidR="00D670E4" w:rsidRPr="002E5976" w:rsidRDefault="00D670E4" w:rsidP="00570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3%</w:t>
            </w:r>
          </w:p>
        </w:tc>
        <w:tc>
          <w:tcPr>
            <w:tcW w:w="117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670E4" w:rsidRPr="002E5976" w:rsidRDefault="00D670E4" w:rsidP="005707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E5976">
              <w:rPr>
                <w:rFonts w:ascii="Arial" w:hAnsi="Arial" w:cs="Arial"/>
                <w:b/>
                <w:sz w:val="20"/>
                <w:szCs w:val="20"/>
              </w:rPr>
              <w:t>0.0313</w:t>
            </w:r>
          </w:p>
        </w:tc>
        <w:tc>
          <w:tcPr>
            <w:tcW w:w="1405" w:type="dxa"/>
            <w:tcBorders>
              <w:left w:val="single" w:sz="18" w:space="0" w:color="auto"/>
            </w:tcBorders>
            <w:vAlign w:val="center"/>
          </w:tcPr>
          <w:p w:rsidR="00D670E4" w:rsidRPr="002E5976" w:rsidRDefault="00D670E4" w:rsidP="00570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8%</w:t>
            </w:r>
          </w:p>
        </w:tc>
        <w:tc>
          <w:tcPr>
            <w:tcW w:w="1353" w:type="dxa"/>
            <w:vAlign w:val="center"/>
          </w:tcPr>
          <w:p w:rsidR="00D670E4" w:rsidRPr="002E5976" w:rsidRDefault="00D670E4" w:rsidP="00570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2%</w:t>
            </w:r>
          </w:p>
        </w:tc>
        <w:tc>
          <w:tcPr>
            <w:tcW w:w="1400" w:type="dxa"/>
            <w:vAlign w:val="center"/>
          </w:tcPr>
          <w:p w:rsidR="00D670E4" w:rsidRPr="002E5976" w:rsidRDefault="00D670E4" w:rsidP="00570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0.1010</w:t>
            </w:r>
          </w:p>
        </w:tc>
      </w:tr>
    </w:tbl>
    <w:p w:rsidR="00C07058" w:rsidRPr="00844AD9" w:rsidRDefault="00CA2016" w:rsidP="00437113">
      <w:pPr>
        <w:spacing w:before="60"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Supplementary Tables 1 and 2.</w:t>
      </w:r>
      <w:proofErr w:type="gramEnd"/>
      <w:r>
        <w:rPr>
          <w:rFonts w:ascii="Arial" w:hAnsi="Arial" w:cs="Arial"/>
          <w:b/>
        </w:rPr>
        <w:t xml:space="preserve"> </w:t>
      </w:r>
      <w:r w:rsidR="00C07058">
        <w:rPr>
          <w:rFonts w:ascii="Arial" w:hAnsi="Arial" w:cs="Arial"/>
          <w:b/>
        </w:rPr>
        <w:t>Total protein (TP) and albumin (ALB)</w:t>
      </w:r>
      <w:r w:rsidR="00C07058">
        <w:rPr>
          <w:rFonts w:ascii="Arial" w:hAnsi="Arial" w:cs="Arial"/>
        </w:rPr>
        <w:t xml:space="preserve"> assayed on study samples. In the Chilean sample, the distribution of TP and ALB was lower in cases than controls, but this trend was not apparent in the U.S</w:t>
      </w:r>
      <w:r w:rsidR="00437113">
        <w:rPr>
          <w:rFonts w:ascii="Arial" w:hAnsi="Arial" w:cs="Arial"/>
        </w:rPr>
        <w:t>. sample (Supplementary Table 1</w:t>
      </w:r>
      <w:r w:rsidR="00C07058">
        <w:rPr>
          <w:rFonts w:ascii="Arial" w:hAnsi="Arial" w:cs="Arial"/>
        </w:rPr>
        <w:t xml:space="preserve">). When results were dichotomized into normal or low, U.S. cases were more likely to have low values of ALB than were </w:t>
      </w:r>
      <w:r w:rsidR="00437113">
        <w:rPr>
          <w:rFonts w:ascii="Arial" w:hAnsi="Arial" w:cs="Arial"/>
        </w:rPr>
        <w:t>controls (Supplementary Table 2</w:t>
      </w:r>
      <w:r w:rsidR="00C07058">
        <w:rPr>
          <w:rFonts w:ascii="Arial" w:hAnsi="Arial" w:cs="Arial"/>
        </w:rPr>
        <w:t>).</w:t>
      </w:r>
      <w:r w:rsidR="00092FE9">
        <w:rPr>
          <w:rFonts w:ascii="Arial" w:hAnsi="Arial" w:cs="Arial"/>
        </w:rPr>
        <w:t xml:space="preserve"> Analyses were performed using th</w:t>
      </w:r>
      <w:r w:rsidR="00437113">
        <w:rPr>
          <w:rFonts w:ascii="Arial" w:hAnsi="Arial" w:cs="Arial"/>
        </w:rPr>
        <w:t>e t-test (Supplementary Table 1</w:t>
      </w:r>
      <w:r w:rsidR="00092FE9">
        <w:rPr>
          <w:rFonts w:ascii="Arial" w:hAnsi="Arial" w:cs="Arial"/>
        </w:rPr>
        <w:t>) and Fisher’s ex</w:t>
      </w:r>
      <w:r w:rsidR="00437113">
        <w:rPr>
          <w:rFonts w:ascii="Arial" w:hAnsi="Arial" w:cs="Arial"/>
        </w:rPr>
        <w:t>act test (Supplementary Table 2</w:t>
      </w:r>
      <w:r w:rsidR="00092FE9">
        <w:rPr>
          <w:rFonts w:ascii="Arial" w:hAnsi="Arial" w:cs="Arial"/>
        </w:rPr>
        <w:t>).</w:t>
      </w:r>
    </w:p>
    <w:p w:rsidR="004235FD" w:rsidRPr="00633630" w:rsidRDefault="004235FD" w:rsidP="00633630">
      <w:pPr>
        <w:rPr>
          <w:rFonts w:ascii="Arial" w:hAnsi="Arial" w:cs="Arial"/>
          <w:b/>
        </w:rPr>
      </w:pPr>
      <w:bookmarkStart w:id="0" w:name="_GoBack"/>
      <w:bookmarkEnd w:id="0"/>
    </w:p>
    <w:sectPr w:rsidR="004235FD" w:rsidRPr="00633630" w:rsidSect="00AD73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DCE" w:rsidRDefault="00864DCE" w:rsidP="00A72ADE">
      <w:pPr>
        <w:spacing w:after="0" w:line="240" w:lineRule="auto"/>
      </w:pPr>
      <w:r>
        <w:separator/>
      </w:r>
    </w:p>
  </w:endnote>
  <w:endnote w:type="continuationSeparator" w:id="0">
    <w:p w:rsidR="00864DCE" w:rsidRDefault="00864DCE" w:rsidP="00A72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DCE" w:rsidRDefault="00864DCE" w:rsidP="00A72ADE">
      <w:pPr>
        <w:spacing w:after="0" w:line="240" w:lineRule="auto"/>
      </w:pPr>
      <w:r>
        <w:separator/>
      </w:r>
    </w:p>
  </w:footnote>
  <w:footnote w:type="continuationSeparator" w:id="0">
    <w:p w:rsidR="00864DCE" w:rsidRDefault="00864DCE" w:rsidP="00A72A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F64FE"/>
    <w:multiLevelType w:val="hybridMultilevel"/>
    <w:tmpl w:val="AE160C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025524"/>
    <w:multiLevelType w:val="hybridMultilevel"/>
    <w:tmpl w:val="4FEEEDC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D5FFD"/>
    <w:multiLevelType w:val="multilevel"/>
    <w:tmpl w:val="99280000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B74"/>
    <w:rsid w:val="000006BE"/>
    <w:rsid w:val="0000519E"/>
    <w:rsid w:val="0001171C"/>
    <w:rsid w:val="00012A08"/>
    <w:rsid w:val="00013690"/>
    <w:rsid w:val="00032B02"/>
    <w:rsid w:val="000407AA"/>
    <w:rsid w:val="00047ACA"/>
    <w:rsid w:val="00067A6C"/>
    <w:rsid w:val="00071430"/>
    <w:rsid w:val="0007697A"/>
    <w:rsid w:val="000858BC"/>
    <w:rsid w:val="00090F24"/>
    <w:rsid w:val="00092FE9"/>
    <w:rsid w:val="0009469D"/>
    <w:rsid w:val="00094B5E"/>
    <w:rsid w:val="000A0352"/>
    <w:rsid w:val="000A1780"/>
    <w:rsid w:val="000C2FEE"/>
    <w:rsid w:val="000C4355"/>
    <w:rsid w:val="000C6A66"/>
    <w:rsid w:val="000C6E20"/>
    <w:rsid w:val="000D65C9"/>
    <w:rsid w:val="000E00FE"/>
    <w:rsid w:val="000F44C2"/>
    <w:rsid w:val="000F71FF"/>
    <w:rsid w:val="00100939"/>
    <w:rsid w:val="001019E4"/>
    <w:rsid w:val="00107943"/>
    <w:rsid w:val="0011226C"/>
    <w:rsid w:val="00115BB6"/>
    <w:rsid w:val="00132364"/>
    <w:rsid w:val="00132EC7"/>
    <w:rsid w:val="00155E08"/>
    <w:rsid w:val="00161447"/>
    <w:rsid w:val="00164901"/>
    <w:rsid w:val="0017116B"/>
    <w:rsid w:val="00171368"/>
    <w:rsid w:val="00174B02"/>
    <w:rsid w:val="00191580"/>
    <w:rsid w:val="00192BD5"/>
    <w:rsid w:val="00193A79"/>
    <w:rsid w:val="00197492"/>
    <w:rsid w:val="001A13BE"/>
    <w:rsid w:val="001A1E41"/>
    <w:rsid w:val="001A4ECC"/>
    <w:rsid w:val="001B0A97"/>
    <w:rsid w:val="001B2695"/>
    <w:rsid w:val="001C4A33"/>
    <w:rsid w:val="001D4FA0"/>
    <w:rsid w:val="001E27C7"/>
    <w:rsid w:val="001E73B7"/>
    <w:rsid w:val="00200A73"/>
    <w:rsid w:val="0021308D"/>
    <w:rsid w:val="00227DB7"/>
    <w:rsid w:val="00244439"/>
    <w:rsid w:val="00246377"/>
    <w:rsid w:val="00250B89"/>
    <w:rsid w:val="00256A57"/>
    <w:rsid w:val="00264A34"/>
    <w:rsid w:val="00276146"/>
    <w:rsid w:val="002873E4"/>
    <w:rsid w:val="002974D0"/>
    <w:rsid w:val="002D304E"/>
    <w:rsid w:val="002E1E56"/>
    <w:rsid w:val="002E23FF"/>
    <w:rsid w:val="002E4E0D"/>
    <w:rsid w:val="002E5976"/>
    <w:rsid w:val="002F1E9E"/>
    <w:rsid w:val="00305B5E"/>
    <w:rsid w:val="00333604"/>
    <w:rsid w:val="003373D3"/>
    <w:rsid w:val="00340821"/>
    <w:rsid w:val="00350AEF"/>
    <w:rsid w:val="00351303"/>
    <w:rsid w:val="00362B64"/>
    <w:rsid w:val="003A5EDD"/>
    <w:rsid w:val="003B2B74"/>
    <w:rsid w:val="003B5B05"/>
    <w:rsid w:val="003C3C12"/>
    <w:rsid w:val="003D061F"/>
    <w:rsid w:val="003D3B8F"/>
    <w:rsid w:val="003D5329"/>
    <w:rsid w:val="003D6C77"/>
    <w:rsid w:val="003E0734"/>
    <w:rsid w:val="003E08B0"/>
    <w:rsid w:val="003E2716"/>
    <w:rsid w:val="003E5087"/>
    <w:rsid w:val="00402620"/>
    <w:rsid w:val="00405D98"/>
    <w:rsid w:val="004235FD"/>
    <w:rsid w:val="00437113"/>
    <w:rsid w:val="00440B2D"/>
    <w:rsid w:val="0045630E"/>
    <w:rsid w:val="0046223F"/>
    <w:rsid w:val="00472F1E"/>
    <w:rsid w:val="00482EDA"/>
    <w:rsid w:val="00484027"/>
    <w:rsid w:val="00495216"/>
    <w:rsid w:val="004962BD"/>
    <w:rsid w:val="004B01B1"/>
    <w:rsid w:val="004C06A0"/>
    <w:rsid w:val="004C57A6"/>
    <w:rsid w:val="004E04E1"/>
    <w:rsid w:val="004E0CFD"/>
    <w:rsid w:val="004F0122"/>
    <w:rsid w:val="004F589A"/>
    <w:rsid w:val="00506B4C"/>
    <w:rsid w:val="00516AD3"/>
    <w:rsid w:val="005405E1"/>
    <w:rsid w:val="00542ABB"/>
    <w:rsid w:val="0055035F"/>
    <w:rsid w:val="00551B2D"/>
    <w:rsid w:val="00556832"/>
    <w:rsid w:val="00562C29"/>
    <w:rsid w:val="005643C6"/>
    <w:rsid w:val="00566DF9"/>
    <w:rsid w:val="0057062A"/>
    <w:rsid w:val="0057070A"/>
    <w:rsid w:val="00591883"/>
    <w:rsid w:val="00595313"/>
    <w:rsid w:val="005A02BE"/>
    <w:rsid w:val="005A226D"/>
    <w:rsid w:val="005A2B90"/>
    <w:rsid w:val="005B2104"/>
    <w:rsid w:val="005B4364"/>
    <w:rsid w:val="005F2801"/>
    <w:rsid w:val="005F3B86"/>
    <w:rsid w:val="005F7BF7"/>
    <w:rsid w:val="00600378"/>
    <w:rsid w:val="00605633"/>
    <w:rsid w:val="0062669C"/>
    <w:rsid w:val="00631ABE"/>
    <w:rsid w:val="00633630"/>
    <w:rsid w:val="006351FE"/>
    <w:rsid w:val="00645B9C"/>
    <w:rsid w:val="00656A1F"/>
    <w:rsid w:val="00664B71"/>
    <w:rsid w:val="006723AD"/>
    <w:rsid w:val="006A2631"/>
    <w:rsid w:val="006A39FF"/>
    <w:rsid w:val="006A679E"/>
    <w:rsid w:val="006A7EDF"/>
    <w:rsid w:val="006B3B59"/>
    <w:rsid w:val="006E0C0C"/>
    <w:rsid w:val="006E16FD"/>
    <w:rsid w:val="006E5FF5"/>
    <w:rsid w:val="006F3E18"/>
    <w:rsid w:val="006F4658"/>
    <w:rsid w:val="006F4A42"/>
    <w:rsid w:val="00710AF4"/>
    <w:rsid w:val="00721CBA"/>
    <w:rsid w:val="00723AF3"/>
    <w:rsid w:val="007246CE"/>
    <w:rsid w:val="007453EA"/>
    <w:rsid w:val="007558D6"/>
    <w:rsid w:val="00756A2E"/>
    <w:rsid w:val="0077247C"/>
    <w:rsid w:val="007736E7"/>
    <w:rsid w:val="00777A65"/>
    <w:rsid w:val="00783AA9"/>
    <w:rsid w:val="00787794"/>
    <w:rsid w:val="007A03BA"/>
    <w:rsid w:val="007B0B85"/>
    <w:rsid w:val="007B5543"/>
    <w:rsid w:val="007C0E0F"/>
    <w:rsid w:val="007D5F43"/>
    <w:rsid w:val="007D78EB"/>
    <w:rsid w:val="007D7E61"/>
    <w:rsid w:val="00802F5A"/>
    <w:rsid w:val="00807095"/>
    <w:rsid w:val="0082121E"/>
    <w:rsid w:val="00823CDA"/>
    <w:rsid w:val="00832385"/>
    <w:rsid w:val="00852BB8"/>
    <w:rsid w:val="00860E98"/>
    <w:rsid w:val="00861EFF"/>
    <w:rsid w:val="00864DCE"/>
    <w:rsid w:val="00872C13"/>
    <w:rsid w:val="00892ECD"/>
    <w:rsid w:val="00893DC8"/>
    <w:rsid w:val="008A6177"/>
    <w:rsid w:val="008B5B14"/>
    <w:rsid w:val="008C69E7"/>
    <w:rsid w:val="008D4100"/>
    <w:rsid w:val="008D5839"/>
    <w:rsid w:val="008F3A62"/>
    <w:rsid w:val="00901A9B"/>
    <w:rsid w:val="009030DA"/>
    <w:rsid w:val="0090315D"/>
    <w:rsid w:val="0090731B"/>
    <w:rsid w:val="0092257F"/>
    <w:rsid w:val="00924ACC"/>
    <w:rsid w:val="00927E1B"/>
    <w:rsid w:val="0093325D"/>
    <w:rsid w:val="00945B8E"/>
    <w:rsid w:val="00964523"/>
    <w:rsid w:val="00971558"/>
    <w:rsid w:val="00971F3E"/>
    <w:rsid w:val="0097372F"/>
    <w:rsid w:val="009856BE"/>
    <w:rsid w:val="009906B3"/>
    <w:rsid w:val="009947D1"/>
    <w:rsid w:val="009B1133"/>
    <w:rsid w:val="009B41FF"/>
    <w:rsid w:val="009B4FE5"/>
    <w:rsid w:val="009B51DA"/>
    <w:rsid w:val="009D1108"/>
    <w:rsid w:val="009D73CD"/>
    <w:rsid w:val="009F70B9"/>
    <w:rsid w:val="00A00761"/>
    <w:rsid w:val="00A05B1C"/>
    <w:rsid w:val="00A079C2"/>
    <w:rsid w:val="00A22F38"/>
    <w:rsid w:val="00A24040"/>
    <w:rsid w:val="00A3178E"/>
    <w:rsid w:val="00A338FA"/>
    <w:rsid w:val="00A43DA3"/>
    <w:rsid w:val="00A4652E"/>
    <w:rsid w:val="00A54E3A"/>
    <w:rsid w:val="00A72ADE"/>
    <w:rsid w:val="00AA0825"/>
    <w:rsid w:val="00AA23C2"/>
    <w:rsid w:val="00AB014B"/>
    <w:rsid w:val="00AB049F"/>
    <w:rsid w:val="00AB1E52"/>
    <w:rsid w:val="00AC3D2F"/>
    <w:rsid w:val="00AD5AA5"/>
    <w:rsid w:val="00AD72EC"/>
    <w:rsid w:val="00AD73F1"/>
    <w:rsid w:val="00AE107A"/>
    <w:rsid w:val="00AF670E"/>
    <w:rsid w:val="00AF7AAB"/>
    <w:rsid w:val="00B03EBC"/>
    <w:rsid w:val="00B047D9"/>
    <w:rsid w:val="00B04990"/>
    <w:rsid w:val="00B1104B"/>
    <w:rsid w:val="00B13875"/>
    <w:rsid w:val="00B21D15"/>
    <w:rsid w:val="00B4179F"/>
    <w:rsid w:val="00B431D1"/>
    <w:rsid w:val="00B54B9F"/>
    <w:rsid w:val="00B55798"/>
    <w:rsid w:val="00B609B5"/>
    <w:rsid w:val="00B61030"/>
    <w:rsid w:val="00B649E5"/>
    <w:rsid w:val="00B6632A"/>
    <w:rsid w:val="00B7634D"/>
    <w:rsid w:val="00B91C1B"/>
    <w:rsid w:val="00B97E83"/>
    <w:rsid w:val="00BC3DD1"/>
    <w:rsid w:val="00BC7F4C"/>
    <w:rsid w:val="00BD33DC"/>
    <w:rsid w:val="00BD737A"/>
    <w:rsid w:val="00BE6C26"/>
    <w:rsid w:val="00BF14A3"/>
    <w:rsid w:val="00BF428B"/>
    <w:rsid w:val="00BF4AB0"/>
    <w:rsid w:val="00BF5AA5"/>
    <w:rsid w:val="00C07058"/>
    <w:rsid w:val="00C14DE9"/>
    <w:rsid w:val="00C20246"/>
    <w:rsid w:val="00C22F65"/>
    <w:rsid w:val="00C333D1"/>
    <w:rsid w:val="00C36FB5"/>
    <w:rsid w:val="00C40C58"/>
    <w:rsid w:val="00C80774"/>
    <w:rsid w:val="00C94EBD"/>
    <w:rsid w:val="00CA2016"/>
    <w:rsid w:val="00CA5189"/>
    <w:rsid w:val="00CB34BA"/>
    <w:rsid w:val="00CB616D"/>
    <w:rsid w:val="00CD288A"/>
    <w:rsid w:val="00CF3AD5"/>
    <w:rsid w:val="00D30EDE"/>
    <w:rsid w:val="00D37592"/>
    <w:rsid w:val="00D40E7C"/>
    <w:rsid w:val="00D51B6D"/>
    <w:rsid w:val="00D670E4"/>
    <w:rsid w:val="00D729E9"/>
    <w:rsid w:val="00D85804"/>
    <w:rsid w:val="00D86B15"/>
    <w:rsid w:val="00D96B2C"/>
    <w:rsid w:val="00DA0B6C"/>
    <w:rsid w:val="00DA0F0D"/>
    <w:rsid w:val="00DB1216"/>
    <w:rsid w:val="00DB660F"/>
    <w:rsid w:val="00DB71BF"/>
    <w:rsid w:val="00DC3F67"/>
    <w:rsid w:val="00DC70B3"/>
    <w:rsid w:val="00DE67F3"/>
    <w:rsid w:val="00DF17F1"/>
    <w:rsid w:val="00DF3277"/>
    <w:rsid w:val="00E01B67"/>
    <w:rsid w:val="00E05725"/>
    <w:rsid w:val="00E30615"/>
    <w:rsid w:val="00E62213"/>
    <w:rsid w:val="00E622ED"/>
    <w:rsid w:val="00E81C71"/>
    <w:rsid w:val="00E87D17"/>
    <w:rsid w:val="00E91D24"/>
    <w:rsid w:val="00EB4F21"/>
    <w:rsid w:val="00EC435E"/>
    <w:rsid w:val="00EC4B2B"/>
    <w:rsid w:val="00EE2268"/>
    <w:rsid w:val="00EF0B33"/>
    <w:rsid w:val="00EF5A56"/>
    <w:rsid w:val="00F06719"/>
    <w:rsid w:val="00F12CE7"/>
    <w:rsid w:val="00F2290D"/>
    <w:rsid w:val="00F25A92"/>
    <w:rsid w:val="00F41E63"/>
    <w:rsid w:val="00F41F1B"/>
    <w:rsid w:val="00F4340E"/>
    <w:rsid w:val="00F46901"/>
    <w:rsid w:val="00F507F1"/>
    <w:rsid w:val="00F52B58"/>
    <w:rsid w:val="00F772E1"/>
    <w:rsid w:val="00F80C68"/>
    <w:rsid w:val="00F80FED"/>
    <w:rsid w:val="00F840F2"/>
    <w:rsid w:val="00F911B3"/>
    <w:rsid w:val="00FA3C86"/>
    <w:rsid w:val="00FA6D13"/>
    <w:rsid w:val="00FB22EA"/>
    <w:rsid w:val="00FB296B"/>
    <w:rsid w:val="00FB303F"/>
    <w:rsid w:val="00FC13F2"/>
    <w:rsid w:val="00FD20A6"/>
    <w:rsid w:val="00FD479E"/>
    <w:rsid w:val="00FD7402"/>
    <w:rsid w:val="00FE1C42"/>
    <w:rsid w:val="00FE490C"/>
    <w:rsid w:val="00FE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7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D73C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73C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73CD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3C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9188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1E6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1E6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72A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2ADE"/>
  </w:style>
  <w:style w:type="paragraph" w:styleId="Footer">
    <w:name w:val="footer"/>
    <w:basedOn w:val="Normal"/>
    <w:link w:val="FooterChar"/>
    <w:uiPriority w:val="99"/>
    <w:unhideWhenUsed/>
    <w:rsid w:val="00A72A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2ADE"/>
  </w:style>
  <w:style w:type="character" w:styleId="PlaceholderText">
    <w:name w:val="Placeholder Text"/>
    <w:basedOn w:val="DefaultParagraphFont"/>
    <w:uiPriority w:val="99"/>
    <w:semiHidden/>
    <w:rsid w:val="00556832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7D5F4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7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D73C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73C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73CD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3C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9188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1E6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1E6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72A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2ADE"/>
  </w:style>
  <w:style w:type="paragraph" w:styleId="Footer">
    <w:name w:val="footer"/>
    <w:basedOn w:val="Normal"/>
    <w:link w:val="FooterChar"/>
    <w:uiPriority w:val="99"/>
    <w:unhideWhenUsed/>
    <w:rsid w:val="00A72A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2ADE"/>
  </w:style>
  <w:style w:type="character" w:styleId="PlaceholderText">
    <w:name w:val="Placeholder Text"/>
    <w:basedOn w:val="DefaultParagraphFont"/>
    <w:uiPriority w:val="99"/>
    <w:semiHidden/>
    <w:rsid w:val="00556832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7D5F4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UCSF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Bull, Laura</dc:creator>
  <cp:lastModifiedBy>Bull, Laura</cp:lastModifiedBy>
  <cp:revision>3</cp:revision>
  <cp:lastPrinted>2015-01-15T18:00:00Z</cp:lastPrinted>
  <dcterms:created xsi:type="dcterms:W3CDTF">2015-05-28T22:58:00Z</dcterms:created>
  <dcterms:modified xsi:type="dcterms:W3CDTF">2015-05-28T22:58:00Z</dcterms:modified>
</cp:coreProperties>
</file>