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F9707" w14:textId="3684D6DC" w:rsidR="00476005" w:rsidRDefault="00476005" w:rsidP="00476005">
      <w:pPr>
        <w:pStyle w:val="Beschriftung"/>
        <w:rPr>
          <w:lang w:val="en-US"/>
        </w:rPr>
      </w:pPr>
      <w:bookmarkStart w:id="0" w:name="_Hlk48909262"/>
      <w:r>
        <w:rPr>
          <w:lang w:val="en-US"/>
        </w:rPr>
        <w:t xml:space="preserve">Supplement </w:t>
      </w:r>
      <w:r w:rsidRPr="000F07D8">
        <w:rPr>
          <w:lang w:val="en-US"/>
        </w:rPr>
        <w:t xml:space="preserve">Figure </w:t>
      </w:r>
      <w:r>
        <w:rPr>
          <w:lang w:val="en-US"/>
        </w:rPr>
        <w:t>3</w:t>
      </w:r>
      <w:r w:rsidRPr="000F07D8">
        <w:rPr>
          <w:lang w:val="en-US"/>
        </w:rPr>
        <w:t xml:space="preserve">: Comparison of PROSa participants </w:t>
      </w:r>
      <w:r>
        <w:rPr>
          <w:lang w:val="en-US"/>
        </w:rPr>
        <w:t>with</w:t>
      </w:r>
      <w:r w:rsidRPr="000F07D8">
        <w:rPr>
          <w:lang w:val="en-US"/>
        </w:rPr>
        <w:t xml:space="preserve"> </w:t>
      </w:r>
      <w:r>
        <w:rPr>
          <w:lang w:val="en-US"/>
        </w:rPr>
        <w:t xml:space="preserve">data of </w:t>
      </w:r>
      <w:r w:rsidRPr="000F07D8">
        <w:rPr>
          <w:lang w:val="en-US"/>
        </w:rPr>
        <w:t xml:space="preserve">non-participants </w:t>
      </w:r>
      <w:r>
        <w:rPr>
          <w:lang w:val="en-US"/>
        </w:rPr>
        <w:t>and with</w:t>
      </w:r>
      <w:r w:rsidRPr="000F07D8">
        <w:rPr>
          <w:lang w:val="en-US"/>
        </w:rPr>
        <w:t xml:space="preserve"> cancer registry data.</w:t>
      </w:r>
    </w:p>
    <w:p w14:paraId="12AF5631" w14:textId="77777777" w:rsidR="00476005" w:rsidRDefault="009447E7" w:rsidP="00476005">
      <w:pPr>
        <w:keepNext/>
      </w:pPr>
      <w:r>
        <w:rPr>
          <w:noProof/>
          <w:lang w:eastAsia="de-DE"/>
        </w:rPr>
        <w:drawing>
          <wp:inline distT="0" distB="0" distL="0" distR="0" wp14:anchorId="26D529EA" wp14:editId="6D623DD7">
            <wp:extent cx="5759450" cy="6969125"/>
            <wp:effectExtent l="0" t="0" r="0" b="3175"/>
            <wp:docPr id="4" name="Diagramm 4">
              <a:extLst xmlns:a="http://schemas.openxmlformats.org/drawingml/2006/main">
                <a:ext uri="{FF2B5EF4-FFF2-40B4-BE49-F238E27FC236}">
                  <a16:creationId xmlns:a16="http://schemas.microsoft.com/office/drawing/2014/main" id="{37BBDF23-B04D-4466-9E02-96FF9B6F995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3AC59F06" w14:textId="518BB555" w:rsidR="009447E7" w:rsidRDefault="00476005" w:rsidP="00563947">
      <w:pPr>
        <w:pStyle w:val="Beschriftung"/>
        <w:rPr>
          <w:lang w:val="en-US"/>
        </w:rPr>
      </w:pPr>
      <w:r>
        <w:rPr>
          <w:lang w:val="en-US"/>
        </w:rPr>
        <w:t>IQR= interquartile range.</w:t>
      </w:r>
      <w:bookmarkStart w:id="1" w:name="_Hlk49410589"/>
      <w:bookmarkEnd w:id="1"/>
      <w:r>
        <w:rPr>
          <w:lang w:val="en-US"/>
        </w:rPr>
        <w:t xml:space="preserve"> Ressing 2018= Cancer Registry Data (DOI: </w:t>
      </w:r>
      <w:r w:rsidRPr="00476005">
        <w:rPr>
          <w:lang w:val="en-US"/>
        </w:rPr>
        <w:t>10.1186/s12889-018-5131-4</w:t>
      </w:r>
      <w:r>
        <w:rPr>
          <w:lang w:val="en-US"/>
        </w:rPr>
        <w:t>).</w:t>
      </w:r>
    </w:p>
    <w:p w14:paraId="3F265370" w14:textId="3C5BC2DC" w:rsidR="004345C8" w:rsidRDefault="004345C8" w:rsidP="009447E7">
      <w:pPr>
        <w:rPr>
          <w:lang w:val="en-US"/>
        </w:rPr>
      </w:pPr>
    </w:p>
    <w:p w14:paraId="274F3D3A" w14:textId="25ECA29A" w:rsidR="004345C8" w:rsidRDefault="004345C8" w:rsidP="009447E7">
      <w:pPr>
        <w:rPr>
          <w:lang w:val="en-US"/>
        </w:rPr>
      </w:pPr>
    </w:p>
    <w:p w14:paraId="47EB6C63" w14:textId="77777777" w:rsidR="009447E7" w:rsidRPr="009447E7" w:rsidRDefault="009447E7" w:rsidP="009447E7">
      <w:pPr>
        <w:rPr>
          <w:lang w:val="en-US"/>
        </w:rPr>
      </w:pPr>
    </w:p>
    <w:bookmarkEnd w:id="0"/>
    <w:p w14:paraId="037F1E3B" w14:textId="36D7691F" w:rsidR="005771AB" w:rsidRDefault="005771AB"/>
    <w:sectPr w:rsidR="005771AB" w:rsidSect="009447E7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5455D"/>
    <w:multiLevelType w:val="multilevel"/>
    <w:tmpl w:val="8848BBF8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 w15:restartNumberingAfterBreak="0">
    <w:nsid w:val="26C45FAB"/>
    <w:multiLevelType w:val="hybridMultilevel"/>
    <w:tmpl w:val="EE50FA4C"/>
    <w:lvl w:ilvl="0" w:tplc="83F825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64587"/>
    <w:multiLevelType w:val="hybridMultilevel"/>
    <w:tmpl w:val="5224B82E"/>
    <w:lvl w:ilvl="0" w:tplc="207A7066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314B1"/>
    <w:multiLevelType w:val="hybridMultilevel"/>
    <w:tmpl w:val="E4BCA2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75685"/>
    <w:multiLevelType w:val="hybridMultilevel"/>
    <w:tmpl w:val="F6E206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15911"/>
    <w:multiLevelType w:val="hybridMultilevel"/>
    <w:tmpl w:val="4A502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8D2FB3"/>
    <w:multiLevelType w:val="hybridMultilevel"/>
    <w:tmpl w:val="9230DC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60ADE"/>
    <w:multiLevelType w:val="hybridMultilevel"/>
    <w:tmpl w:val="7FAED512"/>
    <w:lvl w:ilvl="0" w:tplc="94701F8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D27DDD"/>
    <w:multiLevelType w:val="hybridMultilevel"/>
    <w:tmpl w:val="9AE009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E7933"/>
    <w:multiLevelType w:val="hybridMultilevel"/>
    <w:tmpl w:val="4A02C496"/>
    <w:lvl w:ilvl="0" w:tplc="2A740CB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70C60"/>
    <w:multiLevelType w:val="hybridMultilevel"/>
    <w:tmpl w:val="1FE4D862"/>
    <w:lvl w:ilvl="0" w:tplc="6B7E54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9"/>
  </w:num>
  <w:num w:numId="5">
    <w:abstractNumId w:val="2"/>
  </w:num>
  <w:num w:numId="6">
    <w:abstractNumId w:val="10"/>
  </w:num>
  <w:num w:numId="7">
    <w:abstractNumId w:val="3"/>
  </w:num>
  <w:num w:numId="8">
    <w:abstractNumId w:val="5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E0NLe0NDa2MDe1MDNV0lEKTi0uzszPAymwrAUAkvbIxCwAAAA="/>
  </w:docVars>
  <w:rsids>
    <w:rsidRoot w:val="005771AB"/>
    <w:rsid w:val="00086F8A"/>
    <w:rsid w:val="000B3648"/>
    <w:rsid w:val="000B3E56"/>
    <w:rsid w:val="000C6A82"/>
    <w:rsid w:val="001D1631"/>
    <w:rsid w:val="00265D9A"/>
    <w:rsid w:val="002B39FD"/>
    <w:rsid w:val="00333C22"/>
    <w:rsid w:val="00373816"/>
    <w:rsid w:val="003C2FDE"/>
    <w:rsid w:val="004345C8"/>
    <w:rsid w:val="00476005"/>
    <w:rsid w:val="004E4F51"/>
    <w:rsid w:val="004F6FA1"/>
    <w:rsid w:val="00563947"/>
    <w:rsid w:val="005771AB"/>
    <w:rsid w:val="005B0CE2"/>
    <w:rsid w:val="005D110D"/>
    <w:rsid w:val="0063164B"/>
    <w:rsid w:val="00684968"/>
    <w:rsid w:val="006D131E"/>
    <w:rsid w:val="007D5CB8"/>
    <w:rsid w:val="008535C5"/>
    <w:rsid w:val="009111D1"/>
    <w:rsid w:val="009447E7"/>
    <w:rsid w:val="00A65381"/>
    <w:rsid w:val="00AC348A"/>
    <w:rsid w:val="00C2111A"/>
    <w:rsid w:val="00E06EBF"/>
    <w:rsid w:val="00EB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B0337"/>
  <w15:chartTrackingRefBased/>
  <w15:docId w15:val="{63B92A9E-2BBB-44AF-B16E-84372439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447E7"/>
    <w:pPr>
      <w:keepNext/>
      <w:keepLines/>
      <w:spacing w:before="240" w:after="100" w:afterAutospacing="1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771AB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13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447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5771A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label">
    <w:name w:val="label"/>
    <w:basedOn w:val="Absatz-Standardschriftart"/>
    <w:rsid w:val="005771AB"/>
  </w:style>
  <w:style w:type="character" w:customStyle="1" w:styleId="st">
    <w:name w:val="st"/>
    <w:basedOn w:val="Absatz-Standardschriftart"/>
    <w:rsid w:val="005771AB"/>
  </w:style>
  <w:style w:type="paragraph" w:styleId="Beschriftung">
    <w:name w:val="caption"/>
    <w:basedOn w:val="Standard"/>
    <w:next w:val="Standard"/>
    <w:uiPriority w:val="35"/>
    <w:unhideWhenUsed/>
    <w:qFormat/>
    <w:rsid w:val="006D131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D131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D131E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131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447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447E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47E7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9447E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44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447E7"/>
  </w:style>
  <w:style w:type="paragraph" w:styleId="Fuzeile">
    <w:name w:val="footer"/>
    <w:basedOn w:val="Standard"/>
    <w:link w:val="FuzeileZchn"/>
    <w:uiPriority w:val="99"/>
    <w:unhideWhenUsed/>
    <w:rsid w:val="00944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447E7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447E7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94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447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447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447E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447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447E7"/>
    <w:rPr>
      <w:b/>
      <w:bCs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unhideWhenUsed/>
    <w:rsid w:val="009447E7"/>
    <w:pPr>
      <w:tabs>
        <w:tab w:val="left" w:pos="384"/>
      </w:tabs>
      <w:spacing w:after="240" w:line="240" w:lineRule="auto"/>
      <w:ind w:left="384" w:hanging="384"/>
    </w:pPr>
  </w:style>
  <w:style w:type="character" w:customStyle="1" w:styleId="rphighlightallclass">
    <w:name w:val="rphighlightallclass"/>
    <w:basedOn w:val="Absatz-Standardschriftart"/>
    <w:rsid w:val="009447E7"/>
  </w:style>
  <w:style w:type="character" w:customStyle="1" w:styleId="acopre">
    <w:name w:val="acopre"/>
    <w:basedOn w:val="Absatz-Standardschriftart"/>
    <w:rsid w:val="009447E7"/>
  </w:style>
  <w:style w:type="paragraph" w:customStyle="1" w:styleId="xmsonormal">
    <w:name w:val="x_msonormal"/>
    <w:basedOn w:val="Standard"/>
    <w:rsid w:val="0094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944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de-DE"/>
              <a:t>PROSa participants - comparison to cancer registry data and to non particpant data  </a:t>
            </a:r>
          </a:p>
        </c:rich>
      </c:tx>
      <c:layout>
        <c:manualLayout>
          <c:xMode val="edge"/>
          <c:yMode val="edge"/>
          <c:x val="0.13937858649697457"/>
          <c:y val="1.783035890445356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>
        <c:manualLayout>
          <c:layoutTarget val="inner"/>
          <c:xMode val="edge"/>
          <c:yMode val="edge"/>
          <c:x val="0.49802570958363213"/>
          <c:y val="0.13809273683328474"/>
          <c:w val="0.73871285232169093"/>
          <c:h val="0.71167511293792673"/>
        </c:manualLayout>
      </c:layout>
      <c:barChart>
        <c:barDir val="bar"/>
        <c:grouping val="stacked"/>
        <c:varyColors val="0"/>
        <c:ser>
          <c:idx val="0"/>
          <c:order val="0"/>
          <c:spPr>
            <a:gradFill rotWithShape="1">
              <a:gsLst>
                <a:gs pos="0">
                  <a:schemeClr val="accent2">
                    <a:shade val="65000"/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hade val="65000"/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shade val="65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Pt>
            <c:idx val="12"/>
            <c:invertIfNegative val="0"/>
            <c:bubble3D val="0"/>
            <c:spPr>
              <a:gradFill rotWithShape="1">
                <a:gsLst>
                  <a:gs pos="0">
                    <a:schemeClr val="accent2">
                      <a:shade val="65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hade val="65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shade val="65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D7FC-434F-BE7C-19CBD19F7FDB}"/>
              </c:ext>
            </c:extLst>
          </c:dPt>
          <c:dPt>
            <c:idx val="13"/>
            <c:invertIfNegative val="0"/>
            <c:bubble3D val="0"/>
            <c:spPr>
              <a:gradFill rotWithShape="1">
                <a:gsLst>
                  <a:gs pos="0">
                    <a:schemeClr val="accent2">
                      <a:shade val="65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hade val="65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shade val="65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D7FC-434F-BE7C-19CBD19F7FDB}"/>
              </c:ext>
            </c:extLst>
          </c:dPt>
          <c:dPt>
            <c:idx val="15"/>
            <c:invertIfNegative val="0"/>
            <c:bubble3D val="0"/>
            <c:spPr>
              <a:gradFill rotWithShape="1">
                <a:gsLst>
                  <a:gs pos="0">
                    <a:schemeClr val="accent2">
                      <a:shade val="65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hade val="65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shade val="65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D7FC-434F-BE7C-19CBD19F7FDB}"/>
              </c:ext>
            </c:extLst>
          </c:dPt>
          <c:dPt>
            <c:idx val="16"/>
            <c:invertIfNegative val="0"/>
            <c:bubble3D val="0"/>
            <c:spPr>
              <a:gradFill rotWithShape="1">
                <a:gsLst>
                  <a:gs pos="0">
                    <a:schemeClr val="accent2">
                      <a:shade val="65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hade val="65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shade val="65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D7FC-434F-BE7C-19CBD19F7FDB}"/>
              </c:ext>
            </c:extLst>
          </c:dPt>
          <c:dPt>
            <c:idx val="18"/>
            <c:invertIfNegative val="0"/>
            <c:bubble3D val="0"/>
            <c:spPr>
              <a:gradFill rotWithShape="1">
                <a:gsLst>
                  <a:gs pos="0">
                    <a:schemeClr val="accent2">
                      <a:shade val="65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hade val="65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shade val="65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D7FC-434F-BE7C-19CBD19F7FDB}"/>
              </c:ext>
            </c:extLst>
          </c:dPt>
          <c:dPt>
            <c:idx val="19"/>
            <c:invertIfNegative val="0"/>
            <c:bubble3D val="0"/>
            <c:spPr>
              <a:gradFill rotWithShape="1">
                <a:gsLst>
                  <a:gs pos="0">
                    <a:schemeClr val="accent2">
                      <a:shade val="65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hade val="65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shade val="65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D7FC-434F-BE7C-19CBD19F7FDB}"/>
              </c:ext>
            </c:extLst>
          </c:dPt>
          <c:dPt>
            <c:idx val="20"/>
            <c:invertIfNegative val="0"/>
            <c:bubble3D val="0"/>
            <c:spPr>
              <a:gradFill rotWithShape="1">
                <a:gsLst>
                  <a:gs pos="0">
                    <a:schemeClr val="accent2">
                      <a:shade val="65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hade val="65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shade val="65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D7FC-434F-BE7C-19CBD19F7FDB}"/>
              </c:ext>
            </c:extLst>
          </c:dPt>
          <c:dPt>
            <c:idx val="22"/>
            <c:invertIfNegative val="0"/>
            <c:bubble3D val="0"/>
            <c:spPr>
              <a:gradFill rotWithShape="1">
                <a:gsLst>
                  <a:gs pos="0">
                    <a:schemeClr val="accent2">
                      <a:shade val="65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hade val="65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shade val="65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D7FC-434F-BE7C-19CBD19F7FDB}"/>
              </c:ext>
            </c:extLst>
          </c:dPt>
          <c:dPt>
            <c:idx val="24"/>
            <c:invertIfNegative val="0"/>
            <c:bubble3D val="0"/>
            <c:spPr>
              <a:gradFill rotWithShape="1">
                <a:gsLst>
                  <a:gs pos="0">
                    <a:schemeClr val="accent2">
                      <a:shade val="65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hade val="65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shade val="65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D7FC-434F-BE7C-19CBD19F7FDB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22%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2-D7FC-434F-BE7C-19CBD19F7FDB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12.2%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3-D7FC-434F-BE7C-19CBD19F7FDB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9%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4-D7FC-434F-BE7C-19CBD19F7FDB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18.1%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5-D7FC-434F-BE7C-19CBD19F7FDB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70%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6-D7FC-434F-BE7C-19CBD19F7FDB}"/>
                </c:ext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69.7%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7-D7FC-434F-BE7C-19CBD19F7FDB}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2.7 (0.8; 7.1)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8-D7FC-434F-BE7C-19CBD19F7FDB}"/>
                </c:ext>
              </c:extLst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2.3 (0.7; 5.9)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9-D7FC-434F-BE7C-19CBD19F7FDB}"/>
                </c:ext>
              </c:extLst>
            </c:dLbl>
            <c:dLbl>
              <c:idx val="13"/>
              <c:tx>
                <c:rich>
                  <a:bodyPr/>
                  <a:lstStyle/>
                  <a:p>
                    <a:r>
                      <a:rPr lang="en-US"/>
                      <a:t>58.3 (49.4; 66.6)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D7FC-434F-BE7C-19CBD19F7FDB}"/>
                </c:ext>
              </c:extLst>
            </c:dLbl>
            <c:dLbl>
              <c:idx val="16"/>
              <c:tx>
                <c:rich>
                  <a:bodyPr/>
                  <a:lstStyle/>
                  <a:p>
                    <a:r>
                      <a:rPr lang="en-US"/>
                      <a:t>36.2 (22.0; 53.7)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D7FC-434F-BE7C-19CBD19F7FDB}"/>
                </c:ext>
              </c:extLst>
            </c:dLbl>
            <c:dLbl>
              <c:idx val="19"/>
              <c:tx>
                <c:rich>
                  <a:bodyPr/>
                  <a:lstStyle/>
                  <a:p>
                    <a:r>
                      <a:rPr lang="en-US"/>
                      <a:t>65 (51; 75)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B-D7FC-434F-BE7C-19CBD19F7FDB}"/>
                </c:ext>
              </c:extLst>
            </c:dLbl>
            <c:dLbl>
              <c:idx val="20"/>
              <c:tx>
                <c:rich>
                  <a:bodyPr/>
                  <a:lstStyle/>
                  <a:p>
                    <a:r>
                      <a:rPr lang="en-US"/>
                      <a:t>55.8 (46.5; 65.5)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D-D7FC-434F-BE7C-19CBD19F7FDB}"/>
                </c:ext>
              </c:extLst>
            </c:dLbl>
            <c:dLbl>
              <c:idx val="23"/>
              <c:tx>
                <c:rich>
                  <a:bodyPr/>
                  <a:lstStyle/>
                  <a:p>
                    <a:r>
                      <a:rPr lang="en-US"/>
                      <a:t>51.9 (32.6; 68.3)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A-D7FC-434F-BE7C-19CBD19F7FDB}"/>
                </c:ext>
              </c:extLst>
            </c:dLbl>
            <c:dLbl>
              <c:idx val="24"/>
              <c:tx>
                <c:rich>
                  <a:bodyPr/>
                  <a:lstStyle/>
                  <a:p>
                    <a:r>
                      <a:rPr lang="en-US"/>
                      <a:t>54.1 (41.8; 64.2)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1-D7FC-434F-BE7C-19CBD19F7FDB}"/>
                </c:ext>
              </c:extLst>
            </c:dLbl>
            <c:dLbl>
              <c:idx val="26"/>
              <c:tx>
                <c:rich>
                  <a:bodyPr/>
                  <a:lstStyle/>
                  <a:p>
                    <a:fld id="{ADB6B20E-0F6F-449B-B773-EE6D21A84CE9}" type="VALUE">
                      <a:rPr lang="en-US"/>
                      <a:pPr/>
                      <a:t>[WERT]</a:t>
                    </a:fld>
                    <a:r>
                      <a:rPr lang="en-US"/>
                      <a:t>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B-D7FC-434F-BE7C-19CBD19F7FDB}"/>
                </c:ext>
              </c:extLst>
            </c:dLbl>
            <c:dLbl>
              <c:idx val="27"/>
              <c:tx>
                <c:rich>
                  <a:bodyPr/>
                  <a:lstStyle/>
                  <a:p>
                    <a:fld id="{A2840974-E6CD-4E49-B892-38A73BE97C70}" type="VALUE">
                      <a:rPr lang="en-US"/>
                      <a:pPr/>
                      <a:t>[WERT]</a:t>
                    </a:fld>
                    <a:r>
                      <a:rPr lang="en-US"/>
                      <a:t>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C-D7FC-434F-BE7C-19CBD19F7FDB}"/>
                </c:ext>
              </c:extLst>
            </c:dLbl>
            <c:dLbl>
              <c:idx val="28"/>
              <c:tx>
                <c:rich>
                  <a:bodyPr/>
                  <a:lstStyle/>
                  <a:p>
                    <a:fld id="{7EA0F47D-B582-4FA1-A248-1AF2E718F83A}" type="VALUE">
                      <a:rPr lang="en-US"/>
                      <a:pPr/>
                      <a:t>[WERT]</a:t>
                    </a:fld>
                    <a:r>
                      <a:rPr lang="en-US"/>
                      <a:t>%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D-D7FC-434F-BE7C-19CBD19F7FD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Tabelle1!$A$197:$C$225</c:f>
              <c:multiLvlStrCache>
                <c:ptCount val="29"/>
                <c:lvl>
                  <c:pt idx="0">
                    <c:v>Ressing 2018</c:v>
                  </c:pt>
                  <c:pt idx="1">
                    <c:v>PROSa </c:v>
                  </c:pt>
                  <c:pt idx="3">
                    <c:v>Ressing 2018</c:v>
                  </c:pt>
                  <c:pt idx="4">
                    <c:v>PROSa </c:v>
                  </c:pt>
                  <c:pt idx="6">
                    <c:v>Ressing 2018</c:v>
                  </c:pt>
                  <c:pt idx="7">
                    <c:v>PROSa </c:v>
                  </c:pt>
                  <c:pt idx="9">
                    <c:v>PROSa Non Particpants (N=231)</c:v>
                  </c:pt>
                  <c:pt idx="10">
                    <c:v>PROSa Participants (N=1306)</c:v>
                  </c:pt>
                  <c:pt idx="12">
                    <c:v>Ressing 2018</c:v>
                  </c:pt>
                  <c:pt idx="13">
                    <c:v>PROSa </c:v>
                  </c:pt>
                  <c:pt idx="15">
                    <c:v>Ressing 2018</c:v>
                  </c:pt>
                  <c:pt idx="16">
                    <c:v>PROSa</c:v>
                  </c:pt>
                  <c:pt idx="18">
                    <c:v>Ressing 2018</c:v>
                  </c:pt>
                  <c:pt idx="19">
                    <c:v>Saltus 2018 (N=33 803)</c:v>
                  </c:pt>
                  <c:pt idx="20">
                    <c:v>PROSa</c:v>
                  </c:pt>
                  <c:pt idx="22">
                    <c:v>Ressing 2018 (N=6846)</c:v>
                  </c:pt>
                  <c:pt idx="23">
                    <c:v>PROSa Non Particpants (N=249)</c:v>
                  </c:pt>
                  <c:pt idx="24">
                    <c:v>PROSa Participants (N=1306)</c:v>
                  </c:pt>
                  <c:pt idx="26">
                    <c:v>Ressing 2018 </c:v>
                  </c:pt>
                  <c:pt idx="27">
                    <c:v>PROSa Non Particpants (N=278)</c:v>
                  </c:pt>
                  <c:pt idx="28">
                    <c:v>PROSa Participants (N=1307)</c:v>
                  </c:pt>
                </c:lvl>
                <c:lvl>
                  <c:pt idx="0">
                    <c:v>GIST</c:v>
                  </c:pt>
                  <c:pt idx="2">
                    <c:v>Bone Sarcoma</c:v>
                  </c:pt>
                  <c:pt idx="5">
                    <c:v>Soft Tissue Sarcoma</c:v>
                  </c:pt>
                  <c:pt idx="11">
                    <c:v>GIST</c:v>
                  </c:pt>
                  <c:pt idx="14">
                    <c:v>Bone Sarcoma</c:v>
                  </c:pt>
                  <c:pt idx="17">
                    <c:v>Soft Tissue Sarcoma</c:v>
                  </c:pt>
                  <c:pt idx="21">
                    <c:v>Sarcoma</c:v>
                  </c:pt>
                  <c:pt idx="25">
                    <c:v>female</c:v>
                  </c:pt>
                </c:lvl>
                <c:lvl>
                  <c:pt idx="0">
                    <c:v>Sarcoma types - proportion</c:v>
                  </c:pt>
                  <c:pt idx="8">
                    <c:v>Time since diagnosis in years - median (IQR)</c:v>
                  </c:pt>
                  <c:pt idx="11">
                    <c:v>Age at Diagnosis - median (IQR)</c:v>
                  </c:pt>
                  <c:pt idx="25">
                    <c:v>Sex - proportion</c:v>
                  </c:pt>
                </c:lvl>
              </c:multiLvlStrCache>
            </c:multiLvlStrRef>
          </c:cat>
          <c:val>
            <c:numRef>
              <c:f>Tabelle1!$D$197:$D$225</c:f>
              <c:numCache>
                <c:formatCode>0.00</c:formatCode>
                <c:ptCount val="29"/>
                <c:pt idx="0">
                  <c:v>22</c:v>
                </c:pt>
                <c:pt idx="1">
                  <c:v>11.7</c:v>
                </c:pt>
                <c:pt idx="3">
                  <c:v>9</c:v>
                </c:pt>
                <c:pt idx="4">
                  <c:v>17.8</c:v>
                </c:pt>
                <c:pt idx="6">
                  <c:v>70</c:v>
                </c:pt>
                <c:pt idx="7">
                  <c:v>70.5</c:v>
                </c:pt>
                <c:pt idx="9" formatCode="#,#00">
                  <c:v>54</c:v>
                </c:pt>
                <c:pt idx="10" formatCode="#,#00">
                  <c:v>46</c:v>
                </c:pt>
                <c:pt idx="12" formatCode="#,#00">
                  <c:v>69.8</c:v>
                </c:pt>
                <c:pt idx="13" formatCode="#,#00">
                  <c:v>58.3</c:v>
                </c:pt>
                <c:pt idx="15" formatCode="#,#00">
                  <c:v>52</c:v>
                </c:pt>
                <c:pt idx="16" formatCode="#,#00">
                  <c:v>36.200000000000003</c:v>
                </c:pt>
                <c:pt idx="18" formatCode="#,#00">
                  <c:v>68.2</c:v>
                </c:pt>
                <c:pt idx="19" formatCode="#,#00">
                  <c:v>65</c:v>
                </c:pt>
                <c:pt idx="20" formatCode="#,#00">
                  <c:v>55.8</c:v>
                </c:pt>
                <c:pt idx="22" formatCode="#,#00">
                  <c:v>67.5</c:v>
                </c:pt>
                <c:pt idx="23" formatCode="#,#00">
                  <c:v>51.9</c:v>
                </c:pt>
                <c:pt idx="24" formatCode="#,#00">
                  <c:v>54.1</c:v>
                </c:pt>
                <c:pt idx="26" formatCode="#,#00">
                  <c:v>50</c:v>
                </c:pt>
                <c:pt idx="27" formatCode="#,#00">
                  <c:v>49.3</c:v>
                </c:pt>
                <c:pt idx="28" formatCode="#,#00">
                  <c:v>47.7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E-D7FC-434F-BE7C-19CBD19F7FDB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934745727"/>
        <c:axId val="1945270655"/>
        <c:extLst>
          <c:ext xmlns:c15="http://schemas.microsoft.com/office/drawing/2012/chart" uri="{02D57815-91ED-43cb-92C2-25804820EDAC}">
            <c15:filteredBarSeries>
              <c15:ser>
                <c:idx val="1"/>
                <c:order val="1"/>
                <c:spPr>
                  <a:gradFill rotWithShape="1">
                    <a:gsLst>
                      <a:gs pos="0">
                        <a:schemeClr val="accent2">
                          <a:satMod val="103000"/>
                          <a:lumMod val="102000"/>
                          <a:tint val="94000"/>
                        </a:schemeClr>
                      </a:gs>
                      <a:gs pos="50000">
                        <a:schemeClr val="accent2">
                          <a:satMod val="110000"/>
                          <a:lumMod val="100000"/>
                          <a:shade val="100000"/>
                        </a:schemeClr>
                      </a:gs>
                      <a:gs pos="100000">
                        <a:schemeClr val="accent2">
                          <a:lumMod val="99000"/>
                          <a:satMod val="120000"/>
                          <a:shade val="78000"/>
                        </a:schemeClr>
                      </a:gs>
                    </a:gsLst>
                    <a:lin ang="5400000" scaled="0"/>
                  </a:gradFill>
                  <a:ln>
                    <a:noFill/>
                  </a:ln>
                  <a:effectLst>
                    <a:outerShdw blurRad="57150" dist="19050" dir="5400000" algn="ctr" rotWithShape="0">
                      <a:srgbClr val="000000">
                        <a:alpha val="63000"/>
                      </a:srgbClr>
                    </a:outerShdw>
                  </a:effectLst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lt1">
                              <a:lumMod val="8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de-DE"/>
                    </a:p>
                  </c:txPr>
                  <c:dLblPos val="ctr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lt1">
                                <a:lumMod val="95000"/>
                                <a:alpha val="54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multiLvlStrRef>
                    <c:extLst>
                      <c:ext uri="{02D57815-91ED-43cb-92C2-25804820EDAC}">
                        <c15:formulaRef>
                          <c15:sqref>Tabelle1!$A$197:$C$225</c15:sqref>
                        </c15:formulaRef>
                      </c:ext>
                    </c:extLst>
                    <c:multiLvlStrCache>
                      <c:ptCount val="29"/>
                      <c:lvl>
                        <c:pt idx="0">
                          <c:v>Ressing 2018</c:v>
                        </c:pt>
                        <c:pt idx="1">
                          <c:v>PROSa </c:v>
                        </c:pt>
                        <c:pt idx="3">
                          <c:v>Ressing 2018</c:v>
                        </c:pt>
                        <c:pt idx="4">
                          <c:v>PROSa </c:v>
                        </c:pt>
                        <c:pt idx="6">
                          <c:v>Ressing 2018</c:v>
                        </c:pt>
                        <c:pt idx="7">
                          <c:v>PROSa </c:v>
                        </c:pt>
                        <c:pt idx="9">
                          <c:v>PROSa Non Particpants (N=231)</c:v>
                        </c:pt>
                        <c:pt idx="10">
                          <c:v>PROSa Participants (N=1306)</c:v>
                        </c:pt>
                        <c:pt idx="12">
                          <c:v>Ressing 2018</c:v>
                        </c:pt>
                        <c:pt idx="13">
                          <c:v>PROSa </c:v>
                        </c:pt>
                        <c:pt idx="15">
                          <c:v>Ressing 2018</c:v>
                        </c:pt>
                        <c:pt idx="16">
                          <c:v>PROSa</c:v>
                        </c:pt>
                        <c:pt idx="18">
                          <c:v>Ressing 2018</c:v>
                        </c:pt>
                        <c:pt idx="19">
                          <c:v>Saltus 2018 (N=33 803)</c:v>
                        </c:pt>
                        <c:pt idx="20">
                          <c:v>PROSa</c:v>
                        </c:pt>
                        <c:pt idx="22">
                          <c:v>Ressing 2018 (N=6846)</c:v>
                        </c:pt>
                        <c:pt idx="23">
                          <c:v>PROSa Non Particpants (N=249)</c:v>
                        </c:pt>
                        <c:pt idx="24">
                          <c:v>PROSa Participants (N=1306)</c:v>
                        </c:pt>
                        <c:pt idx="26">
                          <c:v>Ressing 2018 </c:v>
                        </c:pt>
                        <c:pt idx="27">
                          <c:v>PROSa Non Particpants (N=278)</c:v>
                        </c:pt>
                        <c:pt idx="28">
                          <c:v>PROSa Participants (N=1307)</c:v>
                        </c:pt>
                      </c:lvl>
                      <c:lvl>
                        <c:pt idx="0">
                          <c:v>GIST</c:v>
                        </c:pt>
                        <c:pt idx="2">
                          <c:v>Bone Sarcoma</c:v>
                        </c:pt>
                        <c:pt idx="5">
                          <c:v>Soft Tissue Sarcoma</c:v>
                        </c:pt>
                        <c:pt idx="11">
                          <c:v>GIST</c:v>
                        </c:pt>
                        <c:pt idx="14">
                          <c:v>Bone Sarcoma</c:v>
                        </c:pt>
                        <c:pt idx="17">
                          <c:v>Soft Tissue Sarcoma</c:v>
                        </c:pt>
                        <c:pt idx="21">
                          <c:v>Sarcoma</c:v>
                        </c:pt>
                        <c:pt idx="25">
                          <c:v>female</c:v>
                        </c:pt>
                      </c:lvl>
                      <c:lvl>
                        <c:pt idx="0">
                          <c:v>Sarcoma types - proportion</c:v>
                        </c:pt>
                        <c:pt idx="8">
                          <c:v>Time since diagnosis in years - median (IQR)</c:v>
                        </c:pt>
                        <c:pt idx="11">
                          <c:v>Age at Diagnosis - median (IQR)</c:v>
                        </c:pt>
                        <c:pt idx="25">
                          <c:v>Sex - proportion</c:v>
                        </c:pt>
                      </c:lvl>
                    </c:multiLvlStrCache>
                  </c:multiLvlStrRef>
                </c:cat>
                <c:val>
                  <c:numRef>
                    <c:extLst>
                      <c:ext uri="{02D57815-91ED-43cb-92C2-25804820EDAC}">
                        <c15:formulaRef>
                          <c15:sqref>Tabelle1!$E$1264:$E$1364</c15:sqref>
                        </c15:formulaRef>
                      </c:ext>
                    </c:extLst>
                    <c:numCache>
                      <c:formatCode>0</c:formatCode>
                      <c:ptCount val="101"/>
                      <c:pt idx="0">
                        <c:v>10</c:v>
                      </c:pt>
                      <c:pt idx="1">
                        <c:v>1</c:v>
                      </c:pt>
                      <c:pt idx="2" formatCode="0.00">
                        <c:v>6</c:v>
                      </c:pt>
                      <c:pt idx="3" formatCode="0.00">
                        <c:v>2</c:v>
                      </c:pt>
                      <c:pt idx="4">
                        <c:v>1</c:v>
                      </c:pt>
                      <c:pt idx="25" formatCode="0.00">
                        <c:v>0</c:v>
                      </c:pt>
                      <c:pt idx="26">
                        <c:v>51</c:v>
                      </c:pt>
                      <c:pt idx="27">
                        <c:v>239</c:v>
                      </c:pt>
                      <c:pt idx="28">
                        <c:v>1019</c:v>
                      </c:pt>
                      <c:pt idx="29">
                        <c:v>1156</c:v>
                      </c:pt>
                      <c:pt idx="30" formatCode="0.00">
                        <c:v>150</c:v>
                      </c:pt>
                      <c:pt idx="31" formatCode="0.00">
                        <c:v>54</c:v>
                      </c:pt>
                      <c:pt idx="32" formatCode="0.00">
                        <c:v>134</c:v>
                      </c:pt>
                      <c:pt idx="33" formatCode="0.00">
                        <c:v>89</c:v>
                      </c:pt>
                      <c:pt idx="34" formatCode="0.00">
                        <c:v>526</c:v>
                      </c:pt>
                      <c:pt idx="35">
                        <c:v>462</c:v>
                      </c:pt>
                      <c:pt idx="60">
                        <c:v>0</c:v>
                      </c:pt>
                      <c:pt idx="61">
                        <c:v>185</c:v>
                      </c:pt>
                      <c:pt idx="62">
                        <c:v>21</c:v>
                      </c:pt>
                      <c:pt idx="63">
                        <c:v>10</c:v>
                      </c:pt>
                      <c:pt idx="64">
                        <c:v>200</c:v>
                      </c:pt>
                      <c:pt idx="65">
                        <c:v>1</c:v>
                      </c:pt>
                      <c:pt idx="66">
                        <c:v>27</c:v>
                      </c:pt>
                      <c:pt idx="67">
                        <c:v>180</c:v>
                      </c:pt>
                      <c:pt idx="68">
                        <c:v>11</c:v>
                      </c:pt>
                      <c:pt idx="69">
                        <c:v>36</c:v>
                      </c:pt>
                      <c:pt idx="70">
                        <c:v>116</c:v>
                      </c:pt>
                      <c:pt idx="71">
                        <c:v>60</c:v>
                      </c:pt>
                      <c:pt idx="72">
                        <c:v>51</c:v>
                      </c:pt>
                      <c:pt idx="73">
                        <c:v>73</c:v>
                      </c:pt>
                      <c:pt idx="74">
                        <c:v>123</c:v>
                      </c:pt>
                      <c:pt idx="75">
                        <c:v>26</c:v>
                      </c:pt>
                      <c:pt idx="76">
                        <c:v>74</c:v>
                      </c:pt>
                      <c:pt idx="77">
                        <c:v>120</c:v>
                      </c:pt>
                      <c:pt idx="78">
                        <c:v>33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1F-D7FC-434F-BE7C-19CBD19F7FDB}"/>
                  </c:ext>
                </c:extLst>
              </c15:ser>
            </c15:filteredBarSeries>
            <c15:filteredBarSeries>
              <c15:ser>
                <c:idx val="2"/>
                <c:order val="2"/>
                <c:spPr>
                  <a:gradFill rotWithShape="1">
                    <a:gsLst>
                      <a:gs pos="0">
                        <a:schemeClr val="accent2">
                          <a:tint val="65000"/>
                          <a:satMod val="103000"/>
                          <a:lumMod val="102000"/>
                          <a:tint val="94000"/>
                        </a:schemeClr>
                      </a:gs>
                      <a:gs pos="50000">
                        <a:schemeClr val="accent2">
                          <a:tint val="65000"/>
                          <a:satMod val="110000"/>
                          <a:lumMod val="100000"/>
                          <a:shade val="100000"/>
                        </a:schemeClr>
                      </a:gs>
                      <a:gs pos="100000">
                        <a:schemeClr val="accent2">
                          <a:tint val="65000"/>
                          <a:lumMod val="99000"/>
                          <a:satMod val="120000"/>
                          <a:shade val="78000"/>
                        </a:schemeClr>
                      </a:gs>
                    </a:gsLst>
                    <a:lin ang="5400000" scaled="0"/>
                  </a:gradFill>
                  <a:ln>
                    <a:noFill/>
                  </a:ln>
                  <a:effectLst>
                    <a:outerShdw blurRad="57150" dist="19050" dir="5400000" algn="ctr" rotWithShape="0">
                      <a:srgbClr val="000000">
                        <a:alpha val="63000"/>
                      </a:srgbClr>
                    </a:outerShdw>
                  </a:effectLst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lt1">
                              <a:lumMod val="8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de-DE"/>
                    </a:p>
                  </c:txPr>
                  <c:dLblPos val="ctr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>
                            <a:solidFill>
                              <a:schemeClr val="lt1">
                                <a:lumMod val="95000"/>
                                <a:alpha val="54000"/>
                              </a:schemeClr>
                            </a:solidFill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multiLvl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Tabelle1!$A$197:$C$225</c15:sqref>
                        </c15:formulaRef>
                      </c:ext>
                    </c:extLst>
                    <c:multiLvlStrCache>
                      <c:ptCount val="29"/>
                      <c:lvl>
                        <c:pt idx="0">
                          <c:v>Ressing 2018</c:v>
                        </c:pt>
                        <c:pt idx="1">
                          <c:v>PROSa </c:v>
                        </c:pt>
                        <c:pt idx="3">
                          <c:v>Ressing 2018</c:v>
                        </c:pt>
                        <c:pt idx="4">
                          <c:v>PROSa </c:v>
                        </c:pt>
                        <c:pt idx="6">
                          <c:v>Ressing 2018</c:v>
                        </c:pt>
                        <c:pt idx="7">
                          <c:v>PROSa </c:v>
                        </c:pt>
                        <c:pt idx="9">
                          <c:v>PROSa Non Particpants (N=231)</c:v>
                        </c:pt>
                        <c:pt idx="10">
                          <c:v>PROSa Participants (N=1306)</c:v>
                        </c:pt>
                        <c:pt idx="12">
                          <c:v>Ressing 2018</c:v>
                        </c:pt>
                        <c:pt idx="13">
                          <c:v>PROSa </c:v>
                        </c:pt>
                        <c:pt idx="15">
                          <c:v>Ressing 2018</c:v>
                        </c:pt>
                        <c:pt idx="16">
                          <c:v>PROSa</c:v>
                        </c:pt>
                        <c:pt idx="18">
                          <c:v>Ressing 2018</c:v>
                        </c:pt>
                        <c:pt idx="19">
                          <c:v>Saltus 2018 (N=33 803)</c:v>
                        </c:pt>
                        <c:pt idx="20">
                          <c:v>PROSa</c:v>
                        </c:pt>
                        <c:pt idx="22">
                          <c:v>Ressing 2018 (N=6846)</c:v>
                        </c:pt>
                        <c:pt idx="23">
                          <c:v>PROSa Non Particpants (N=249)</c:v>
                        </c:pt>
                        <c:pt idx="24">
                          <c:v>PROSa Participants (N=1306)</c:v>
                        </c:pt>
                        <c:pt idx="26">
                          <c:v>Ressing 2018 </c:v>
                        </c:pt>
                        <c:pt idx="27">
                          <c:v>PROSa Non Particpants (N=278)</c:v>
                        </c:pt>
                        <c:pt idx="28">
                          <c:v>PROSa Participants (N=1307)</c:v>
                        </c:pt>
                      </c:lvl>
                      <c:lvl>
                        <c:pt idx="0">
                          <c:v>GIST</c:v>
                        </c:pt>
                        <c:pt idx="2">
                          <c:v>Bone Sarcoma</c:v>
                        </c:pt>
                        <c:pt idx="5">
                          <c:v>Soft Tissue Sarcoma</c:v>
                        </c:pt>
                        <c:pt idx="11">
                          <c:v>GIST</c:v>
                        </c:pt>
                        <c:pt idx="14">
                          <c:v>Bone Sarcoma</c:v>
                        </c:pt>
                        <c:pt idx="17">
                          <c:v>Soft Tissue Sarcoma</c:v>
                        </c:pt>
                        <c:pt idx="21">
                          <c:v>Sarcoma</c:v>
                        </c:pt>
                        <c:pt idx="25">
                          <c:v>female</c:v>
                        </c:pt>
                      </c:lvl>
                      <c:lvl>
                        <c:pt idx="0">
                          <c:v>Sarcoma types - proportion</c:v>
                        </c:pt>
                        <c:pt idx="8">
                          <c:v>Time since diagnosis in years - median (IQR)</c:v>
                        </c:pt>
                        <c:pt idx="11">
                          <c:v>Age at Diagnosis - median (IQR)</c:v>
                        </c:pt>
                        <c:pt idx="25">
                          <c:v>Sex - proportion</c:v>
                        </c:pt>
                      </c:lvl>
                    </c:multiLvlStrCache>
                  </c:multiLvl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Tabelle1!$F$1264:$F$1364</c15:sqref>
                        </c15:formulaRef>
                      </c:ext>
                    </c:extLst>
                    <c:numCache>
                      <c:formatCode>0</c:formatCode>
                      <c:ptCount val="101"/>
                      <c:pt idx="0">
                        <c:v>19</c:v>
                      </c:pt>
                      <c:pt idx="1">
                        <c:v>0</c:v>
                      </c:pt>
                      <c:pt idx="2" formatCode="0.00">
                        <c:v>1</c:v>
                      </c:pt>
                      <c:pt idx="3" formatCode="0.00">
                        <c:v>0</c:v>
                      </c:pt>
                      <c:pt idx="4">
                        <c:v>3</c:v>
                      </c:pt>
                      <c:pt idx="60">
                        <c:v>0</c:v>
                      </c:pt>
                      <c:pt idx="61">
                        <c:v>62</c:v>
                      </c:pt>
                      <c:pt idx="62">
                        <c:v>38</c:v>
                      </c:pt>
                      <c:pt idx="63">
                        <c:v>47</c:v>
                      </c:pt>
                      <c:pt idx="64">
                        <c:v>96</c:v>
                      </c:pt>
                      <c:pt idx="65">
                        <c:v>16</c:v>
                      </c:pt>
                      <c:pt idx="66">
                        <c:v>40</c:v>
                      </c:pt>
                      <c:pt idx="67">
                        <c:v>72</c:v>
                      </c:pt>
                      <c:pt idx="68">
                        <c:v>72</c:v>
                      </c:pt>
                      <c:pt idx="69">
                        <c:v>55</c:v>
                      </c:pt>
                      <c:pt idx="70">
                        <c:v>87</c:v>
                      </c:pt>
                      <c:pt idx="71">
                        <c:v>19</c:v>
                      </c:pt>
                      <c:pt idx="72">
                        <c:v>48</c:v>
                      </c:pt>
                      <c:pt idx="73">
                        <c:v>129</c:v>
                      </c:pt>
                      <c:pt idx="74">
                        <c:v>12</c:v>
                      </c:pt>
                      <c:pt idx="75">
                        <c:v>12</c:v>
                      </c:pt>
                      <c:pt idx="76">
                        <c:v>38</c:v>
                      </c:pt>
                      <c:pt idx="77">
                        <c:v>87</c:v>
                      </c:pt>
                      <c:pt idx="78">
                        <c:v>24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20-D7FC-434F-BE7C-19CBD19F7FDB}"/>
                  </c:ext>
                </c:extLst>
              </c15:ser>
            </c15:filteredBarSeries>
          </c:ext>
        </c:extLst>
      </c:barChart>
      <c:catAx>
        <c:axId val="193474572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945270655"/>
        <c:crosses val="autoZero"/>
        <c:auto val="1"/>
        <c:lblAlgn val="ctr"/>
        <c:lblOffset val="100"/>
        <c:noMultiLvlLbl val="0"/>
      </c:catAx>
      <c:valAx>
        <c:axId val="1945270655"/>
        <c:scaling>
          <c:orientation val="minMax"/>
          <c:max val="80"/>
          <c:min val="0"/>
        </c:scaling>
        <c:delete val="1"/>
        <c:axPos val="b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0" sourceLinked="0"/>
        <c:majorTickMark val="none"/>
        <c:minorTickMark val="none"/>
        <c:tickLblPos val="nextTo"/>
        <c:crossAx val="193474572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5">
  <a:schemeClr val="accent2"/>
</cs:colorStyle>
</file>

<file path=word/charts/style1.xml><?xml version="1.0" encoding="utf-8"?>
<cs:chartStyle xmlns:cs="http://schemas.microsoft.com/office/drawing/2012/chartStyle" xmlns:a="http://schemas.openxmlformats.org/drawingml/2006/main" id="304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Eichler</dc:creator>
  <cp:keywords/>
  <dc:description/>
  <cp:lastModifiedBy>Martin Eichler</cp:lastModifiedBy>
  <cp:revision>3</cp:revision>
  <dcterms:created xsi:type="dcterms:W3CDTF">2021-03-17T10:25:00Z</dcterms:created>
  <dcterms:modified xsi:type="dcterms:W3CDTF">2021-03-17T10:25:00Z</dcterms:modified>
</cp:coreProperties>
</file>