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F96B7" w14:textId="77777777" w:rsidR="007D6064" w:rsidRPr="00A37233" w:rsidRDefault="007D6064" w:rsidP="007D6064">
      <w:pPr>
        <w:spacing w:line="480" w:lineRule="auto"/>
        <w:rPr>
          <w:b/>
        </w:rPr>
      </w:pPr>
      <w:r>
        <w:rPr>
          <w:b/>
          <w:noProof/>
        </w:rPr>
        <w:drawing>
          <wp:inline distT="0" distB="0" distL="0" distR="0" wp14:anchorId="6C8C5180" wp14:editId="5E1F817A">
            <wp:extent cx="5943600" cy="2892624"/>
            <wp:effectExtent l="0" t="0" r="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92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59B09" w14:textId="77777777" w:rsidR="007D6064" w:rsidRPr="00A37233" w:rsidRDefault="007D6064" w:rsidP="007D6064">
      <w:pPr>
        <w:spacing w:line="480" w:lineRule="auto"/>
      </w:pPr>
      <w:r w:rsidRPr="00A37233">
        <w:rPr>
          <w:b/>
        </w:rPr>
        <w:t>Figure S</w:t>
      </w:r>
      <w:r>
        <w:rPr>
          <w:b/>
        </w:rPr>
        <w:t>2</w:t>
      </w:r>
      <w:r w:rsidRPr="00A37233">
        <w:rPr>
          <w:b/>
        </w:rPr>
        <w:t>.</w:t>
      </w:r>
      <w:r w:rsidRPr="00A37233">
        <w:t xml:space="preserve"> </w:t>
      </w:r>
      <w:bookmarkStart w:id="0" w:name="_GoBack"/>
      <w:proofErr w:type="gramStart"/>
      <w:r w:rsidRPr="008974E7">
        <w:t>Variation in four aspects of immune function, within and among populations.</w:t>
      </w:r>
      <w:proofErr w:type="gramEnd"/>
      <w:r>
        <w:rPr>
          <w:b/>
        </w:rPr>
        <w:t xml:space="preserve"> </w:t>
      </w:r>
      <w:bookmarkEnd w:id="0"/>
      <w:r w:rsidRPr="00A37233">
        <w:t>Population means are indicated with larger points with one standard error bars</w:t>
      </w:r>
      <w:r>
        <w:t>. T</w:t>
      </w:r>
      <w:r w:rsidRPr="00A37233">
        <w:t xml:space="preserve">he percentage of granulocytes is higher in Farewell and Lower Stella stickleback than in Gosling, which in turn has more granulocytes than </w:t>
      </w:r>
      <w:proofErr w:type="spellStart"/>
      <w:r w:rsidRPr="00A37233">
        <w:t>Blackwater</w:t>
      </w:r>
      <w:proofErr w:type="spellEnd"/>
      <w:r w:rsidRPr="00A37233">
        <w:t xml:space="preserve"> stickleback (panel A, ANOVA F</w:t>
      </w:r>
      <w:r w:rsidRPr="00A37233">
        <w:rPr>
          <w:vertAlign w:val="subscript"/>
        </w:rPr>
        <w:t>3</w:t>
      </w:r>
      <w:proofErr w:type="gramStart"/>
      <w:r w:rsidRPr="00A37233">
        <w:rPr>
          <w:vertAlign w:val="subscript"/>
        </w:rPr>
        <w:t>,135</w:t>
      </w:r>
      <w:proofErr w:type="gramEnd"/>
      <w:r w:rsidRPr="00A37233">
        <w:t xml:space="preserve"> = 4.0, P = 0.009). The activity level of these cells also differs between populations (panel B). Median ROS burst is highest in </w:t>
      </w:r>
      <w:proofErr w:type="spellStart"/>
      <w:r w:rsidRPr="00A37233">
        <w:t>Blackwater</w:t>
      </w:r>
      <w:proofErr w:type="spellEnd"/>
      <w:r w:rsidRPr="00A37233">
        <w:t>, and 35%, 75% and 95% lower in Gosling, Lower Stella, and Farewell respectively (F</w:t>
      </w:r>
      <w:r w:rsidRPr="00A37233">
        <w:rPr>
          <w:vertAlign w:val="subscript"/>
        </w:rPr>
        <w:t>3</w:t>
      </w:r>
      <w:proofErr w:type="gramStart"/>
      <w:r w:rsidRPr="00A37233">
        <w:rPr>
          <w:vertAlign w:val="subscript"/>
        </w:rPr>
        <w:t>,135</w:t>
      </w:r>
      <w:proofErr w:type="gramEnd"/>
      <w:r w:rsidRPr="00A37233">
        <w:t xml:space="preserve"> = 12.5, P &lt; 0.001). This among-lake variation remains significant (F</w:t>
      </w:r>
      <w:r w:rsidRPr="00A37233">
        <w:rPr>
          <w:vertAlign w:val="subscript"/>
        </w:rPr>
        <w:t>3</w:t>
      </w:r>
      <w:proofErr w:type="gramStart"/>
      <w:r w:rsidRPr="00A37233">
        <w:rPr>
          <w:vertAlign w:val="subscript"/>
        </w:rPr>
        <w:t>,132</w:t>
      </w:r>
      <w:proofErr w:type="gramEnd"/>
      <w:r w:rsidRPr="00A37233">
        <w:t xml:space="preserve"> = 4.5, P &lt; 0.001) after accounting for confounding effects of cell abundance (F</w:t>
      </w:r>
      <w:r w:rsidRPr="00A37233">
        <w:rPr>
          <w:vertAlign w:val="subscript"/>
        </w:rPr>
        <w:t>1,132</w:t>
      </w:r>
      <w:r w:rsidRPr="00A37233">
        <w:t xml:space="preserve"> = 21.6, P &lt; 0.001). On average, 69%, 52%, 39%, and 38% of granulocytes were phagocytic, in fish from Lower Stella, Farewell, Gosling, and </w:t>
      </w:r>
      <w:proofErr w:type="spellStart"/>
      <w:r w:rsidRPr="00A37233">
        <w:t>Blackwater</w:t>
      </w:r>
      <w:proofErr w:type="spellEnd"/>
      <w:r w:rsidRPr="00A37233">
        <w:t xml:space="preserve"> Lakes, respectively (panel B, F</w:t>
      </w:r>
      <w:r w:rsidRPr="00A37233">
        <w:rPr>
          <w:vertAlign w:val="subscript"/>
        </w:rPr>
        <w:t>3</w:t>
      </w:r>
      <w:proofErr w:type="gramStart"/>
      <w:r w:rsidRPr="00A37233">
        <w:rPr>
          <w:vertAlign w:val="subscript"/>
        </w:rPr>
        <w:t>,138</w:t>
      </w:r>
      <w:proofErr w:type="gramEnd"/>
      <w:r w:rsidRPr="00A37233">
        <w:t xml:space="preserve"> = 24.9, P &lt; 0.001), and this remains significant after accounting for cell abundance (ANOVA cell count F</w:t>
      </w:r>
      <w:r w:rsidRPr="00A37233">
        <w:rPr>
          <w:vertAlign w:val="subscript"/>
        </w:rPr>
        <w:t>1,125</w:t>
      </w:r>
      <w:r w:rsidRPr="00A37233">
        <w:t xml:space="preserve"> = 48.04, P &lt; 0.001, lake F</w:t>
      </w:r>
      <w:r w:rsidRPr="00A37233">
        <w:rPr>
          <w:vertAlign w:val="subscript"/>
        </w:rPr>
        <w:t>2,125</w:t>
      </w:r>
      <w:r w:rsidRPr="00A37233">
        <w:t xml:space="preserve"> = 18.2, P &lt; 0.001). </w:t>
      </w:r>
    </w:p>
    <w:p w14:paraId="393976B8" w14:textId="77777777" w:rsidR="00E80F75" w:rsidRDefault="00E80F75"/>
    <w:sectPr w:rsidR="00E80F75" w:rsidSect="00AF5389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064"/>
    <w:rsid w:val="00294C4D"/>
    <w:rsid w:val="007D6064"/>
    <w:rsid w:val="008974E7"/>
    <w:rsid w:val="00A758EC"/>
    <w:rsid w:val="00AF5389"/>
    <w:rsid w:val="00E80F75"/>
    <w:rsid w:val="00F409B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A3CB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0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0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06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0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60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06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929</Characters>
  <Application>Microsoft Macintosh Word</Application>
  <DocSecurity>0</DocSecurity>
  <Lines>7</Lines>
  <Paragraphs>2</Paragraphs>
  <ScaleCrop>false</ScaleCrop>
  <Company>The University of Texas at Austin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Bolnick</dc:creator>
  <cp:keywords/>
  <dc:description/>
  <cp:lastModifiedBy>Dan Bolnick</cp:lastModifiedBy>
  <cp:revision>2</cp:revision>
  <dcterms:created xsi:type="dcterms:W3CDTF">2015-02-13T03:42:00Z</dcterms:created>
  <dcterms:modified xsi:type="dcterms:W3CDTF">2015-02-13T05:53:00Z</dcterms:modified>
</cp:coreProperties>
</file>