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21F" w:rsidRPr="00495A44" w:rsidRDefault="0036621F" w:rsidP="0036621F">
      <w:pPr>
        <w:rPr>
          <w:b/>
          <w:lang w:val="en-CA"/>
        </w:rPr>
      </w:pPr>
      <w:r>
        <w:rPr>
          <w:b/>
          <w:lang w:val="en-CA"/>
        </w:rPr>
        <w:t>Table S2.</w:t>
      </w:r>
      <w:r w:rsidRPr="00533211">
        <w:rPr>
          <w:lang w:val="en-CA"/>
        </w:rPr>
        <w:t xml:space="preserve"> </w:t>
      </w:r>
      <w:r>
        <w:rPr>
          <w:lang w:val="en-CA"/>
        </w:rPr>
        <w:t>Bivariate linear growth model fitted to PD and PAL adjusted for sex and age</w:t>
      </w:r>
    </w:p>
    <w:p w:rsidR="0036621F" w:rsidRDefault="0036621F" w:rsidP="0036621F">
      <w:pPr>
        <w:rPr>
          <w:lang w:val="en-CA"/>
        </w:rPr>
      </w:pPr>
    </w:p>
    <w:tbl>
      <w:tblPr>
        <w:tblStyle w:val="Grilledutableau"/>
        <w:tblW w:w="11866" w:type="dxa"/>
        <w:tblInd w:w="-170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567"/>
        <w:gridCol w:w="1560"/>
        <w:gridCol w:w="1559"/>
        <w:gridCol w:w="1551"/>
        <w:gridCol w:w="1409"/>
        <w:gridCol w:w="1668"/>
      </w:tblGrid>
      <w:tr w:rsidR="0036621F" w:rsidRPr="001A5EDB" w:rsidTr="008C48C3">
        <w:trPr>
          <w:trHeight w:val="77"/>
        </w:trPr>
        <w:tc>
          <w:tcPr>
            <w:tcW w:w="2552" w:type="dxa"/>
            <w:tcBorders>
              <w:bottom w:val="single" w:sz="4" w:space="0" w:color="auto"/>
            </w:tcBorders>
          </w:tcPr>
          <w:p w:rsidR="0036621F" w:rsidRPr="001A5EDB" w:rsidRDefault="0036621F" w:rsidP="008C48C3">
            <w:pPr>
              <w:rPr>
                <w:sz w:val="22"/>
                <w:szCs w:val="22"/>
                <w:lang w:val="en-CA"/>
              </w:rPr>
            </w:pPr>
          </w:p>
        </w:tc>
        <w:tc>
          <w:tcPr>
            <w:tcW w:w="1567" w:type="dxa"/>
            <w:tcBorders>
              <w:bottom w:val="single" w:sz="4" w:space="0" w:color="auto"/>
            </w:tcBorders>
          </w:tcPr>
          <w:p w:rsidR="0036621F" w:rsidRPr="001A5EDB" w:rsidRDefault="0036621F" w:rsidP="008C48C3">
            <w:pPr>
              <w:jc w:val="center"/>
              <w:rPr>
                <w:b/>
                <w:sz w:val="22"/>
                <w:szCs w:val="22"/>
                <w:lang w:val="en-CA"/>
              </w:rPr>
            </w:pPr>
            <w:r w:rsidRPr="001A5EDB">
              <w:rPr>
                <w:b/>
                <w:sz w:val="22"/>
                <w:szCs w:val="22"/>
                <w:lang w:val="en-CA"/>
              </w:rPr>
              <w:t>OT</w:t>
            </w:r>
          </w:p>
        </w:tc>
        <w:tc>
          <w:tcPr>
            <w:tcW w:w="1560" w:type="dxa"/>
            <w:tcBorders>
              <w:bottom w:val="single" w:sz="4" w:space="0" w:color="auto"/>
            </w:tcBorders>
          </w:tcPr>
          <w:p w:rsidR="0036621F" w:rsidRPr="001A5EDB" w:rsidRDefault="0036621F" w:rsidP="008C48C3">
            <w:pPr>
              <w:jc w:val="center"/>
              <w:rPr>
                <w:b/>
                <w:sz w:val="22"/>
                <w:szCs w:val="22"/>
                <w:lang w:val="en-CA"/>
              </w:rPr>
            </w:pPr>
            <w:r w:rsidRPr="001A5EDB">
              <w:rPr>
                <w:b/>
                <w:sz w:val="22"/>
                <w:szCs w:val="22"/>
                <w:lang w:val="en-CA"/>
              </w:rPr>
              <w:t>LKF</w:t>
            </w:r>
          </w:p>
        </w:tc>
        <w:tc>
          <w:tcPr>
            <w:tcW w:w="1559" w:type="dxa"/>
            <w:tcBorders>
              <w:bottom w:val="single" w:sz="4" w:space="0" w:color="auto"/>
            </w:tcBorders>
          </w:tcPr>
          <w:p w:rsidR="0036621F" w:rsidRPr="001A5EDB" w:rsidRDefault="0036621F" w:rsidP="008C48C3">
            <w:pPr>
              <w:jc w:val="center"/>
              <w:rPr>
                <w:b/>
                <w:sz w:val="22"/>
                <w:szCs w:val="22"/>
                <w:lang w:val="en-CA"/>
              </w:rPr>
            </w:pPr>
            <w:proofErr w:type="spellStart"/>
            <w:r>
              <w:rPr>
                <w:b/>
                <w:sz w:val="22"/>
                <w:szCs w:val="22"/>
                <w:lang w:val="en-CA"/>
              </w:rPr>
              <w:t>Leukop</w:t>
            </w:r>
            <w:proofErr w:type="spellEnd"/>
          </w:p>
        </w:tc>
        <w:tc>
          <w:tcPr>
            <w:tcW w:w="1551" w:type="dxa"/>
            <w:tcBorders>
              <w:bottom w:val="single" w:sz="4" w:space="0" w:color="auto"/>
            </w:tcBorders>
          </w:tcPr>
          <w:p w:rsidR="0036621F" w:rsidRPr="001A5EDB" w:rsidRDefault="0036621F" w:rsidP="008C48C3">
            <w:pPr>
              <w:jc w:val="center"/>
              <w:rPr>
                <w:b/>
                <w:sz w:val="22"/>
                <w:szCs w:val="22"/>
                <w:lang w:val="en-CA"/>
              </w:rPr>
            </w:pPr>
            <w:r w:rsidRPr="001A5EDB">
              <w:rPr>
                <w:b/>
                <w:sz w:val="22"/>
                <w:szCs w:val="22"/>
                <w:lang w:val="en-CA"/>
              </w:rPr>
              <w:t>Micronut</w:t>
            </w:r>
          </w:p>
        </w:tc>
        <w:tc>
          <w:tcPr>
            <w:tcW w:w="1409" w:type="dxa"/>
            <w:tcBorders>
              <w:bottom w:val="single" w:sz="4" w:space="0" w:color="auto"/>
            </w:tcBorders>
          </w:tcPr>
          <w:p w:rsidR="0036621F" w:rsidRPr="001A5EDB" w:rsidRDefault="0036621F" w:rsidP="008C48C3">
            <w:pPr>
              <w:jc w:val="center"/>
              <w:rPr>
                <w:b/>
                <w:sz w:val="22"/>
                <w:szCs w:val="22"/>
                <w:lang w:val="en-CA"/>
              </w:rPr>
            </w:pPr>
            <w:r w:rsidRPr="001A5EDB">
              <w:rPr>
                <w:b/>
                <w:sz w:val="22"/>
                <w:szCs w:val="22"/>
                <w:lang w:val="en-CA"/>
              </w:rPr>
              <w:t>Lipids</w:t>
            </w:r>
          </w:p>
        </w:tc>
        <w:tc>
          <w:tcPr>
            <w:tcW w:w="1668" w:type="dxa"/>
            <w:tcBorders>
              <w:bottom w:val="single" w:sz="4" w:space="0" w:color="auto"/>
            </w:tcBorders>
          </w:tcPr>
          <w:p w:rsidR="0036621F" w:rsidRPr="001A5EDB" w:rsidRDefault="0036621F" w:rsidP="008C48C3">
            <w:pPr>
              <w:jc w:val="center"/>
              <w:rPr>
                <w:b/>
                <w:sz w:val="22"/>
                <w:szCs w:val="22"/>
                <w:lang w:val="en-CA"/>
              </w:rPr>
            </w:pPr>
            <w:r w:rsidRPr="001A5EDB">
              <w:rPr>
                <w:b/>
                <w:sz w:val="22"/>
                <w:szCs w:val="22"/>
                <w:lang w:val="en-CA"/>
              </w:rPr>
              <w:t>Global</w:t>
            </w:r>
          </w:p>
        </w:tc>
      </w:tr>
      <w:tr w:rsidR="0036621F" w:rsidRPr="001A5EDB" w:rsidTr="008C48C3">
        <w:trPr>
          <w:trHeight w:val="77"/>
        </w:trPr>
        <w:tc>
          <w:tcPr>
            <w:tcW w:w="2552" w:type="dxa"/>
            <w:tcBorders>
              <w:top w:val="single" w:sz="4" w:space="0" w:color="auto"/>
              <w:bottom w:val="single" w:sz="4" w:space="0" w:color="auto"/>
            </w:tcBorders>
          </w:tcPr>
          <w:p w:rsidR="0036621F" w:rsidRPr="001A5EDB" w:rsidRDefault="0036621F" w:rsidP="008C48C3">
            <w:pPr>
              <w:jc w:val="center"/>
              <w:rPr>
                <w:b/>
                <w:sz w:val="22"/>
                <w:szCs w:val="22"/>
                <w:lang w:val="en-CA"/>
              </w:rPr>
            </w:pPr>
            <w:r w:rsidRPr="001A5EDB">
              <w:rPr>
                <w:b/>
                <w:sz w:val="22"/>
                <w:szCs w:val="22"/>
                <w:lang w:val="en-CA"/>
              </w:rPr>
              <w:t>Covariances</w:t>
            </w:r>
          </w:p>
        </w:tc>
        <w:tc>
          <w:tcPr>
            <w:tcW w:w="1567" w:type="dxa"/>
            <w:tcBorders>
              <w:bottom w:val="single" w:sz="4" w:space="0" w:color="auto"/>
            </w:tcBorders>
          </w:tcPr>
          <w:p w:rsidR="0036621F" w:rsidRPr="001A5EDB" w:rsidRDefault="0036621F" w:rsidP="008C48C3">
            <w:pPr>
              <w:jc w:val="center"/>
              <w:rPr>
                <w:sz w:val="22"/>
                <w:szCs w:val="22"/>
                <w:lang w:val="en-CA"/>
              </w:rPr>
            </w:pPr>
            <w:r w:rsidRPr="001A5EDB">
              <w:rPr>
                <w:rFonts w:ascii="Times" w:hAnsi="Times" w:cs="Times"/>
                <w:bCs/>
                <w:color w:val="000000"/>
                <w:sz w:val="22"/>
                <w:szCs w:val="22"/>
                <w:lang w:val="en-CA"/>
              </w:rPr>
              <w:t>β (SE)</w:t>
            </w:r>
          </w:p>
        </w:tc>
        <w:tc>
          <w:tcPr>
            <w:tcW w:w="1560" w:type="dxa"/>
            <w:tcBorders>
              <w:bottom w:val="single" w:sz="4" w:space="0" w:color="auto"/>
            </w:tcBorders>
          </w:tcPr>
          <w:p w:rsidR="0036621F" w:rsidRPr="001A5EDB" w:rsidRDefault="0036621F" w:rsidP="008C48C3">
            <w:pPr>
              <w:jc w:val="center"/>
              <w:rPr>
                <w:sz w:val="22"/>
                <w:szCs w:val="22"/>
                <w:lang w:val="en-CA"/>
              </w:rPr>
            </w:pPr>
            <w:r w:rsidRPr="001A5EDB">
              <w:rPr>
                <w:rFonts w:ascii="Times" w:hAnsi="Times" w:cs="Times"/>
                <w:bCs/>
                <w:color w:val="000000"/>
                <w:sz w:val="22"/>
                <w:szCs w:val="22"/>
                <w:lang w:val="en-CA"/>
              </w:rPr>
              <w:t>β (SE)</w:t>
            </w:r>
          </w:p>
        </w:tc>
        <w:tc>
          <w:tcPr>
            <w:tcW w:w="1559" w:type="dxa"/>
            <w:tcBorders>
              <w:bottom w:val="single" w:sz="4" w:space="0" w:color="auto"/>
            </w:tcBorders>
          </w:tcPr>
          <w:p w:rsidR="0036621F" w:rsidRPr="001A5EDB" w:rsidRDefault="0036621F" w:rsidP="008C48C3">
            <w:pPr>
              <w:jc w:val="center"/>
              <w:rPr>
                <w:sz w:val="22"/>
                <w:szCs w:val="22"/>
                <w:lang w:val="en-CA"/>
              </w:rPr>
            </w:pPr>
            <w:r w:rsidRPr="001A5EDB">
              <w:rPr>
                <w:rFonts w:ascii="Times" w:hAnsi="Times" w:cs="Times"/>
                <w:bCs/>
                <w:color w:val="000000"/>
                <w:sz w:val="22"/>
                <w:szCs w:val="22"/>
                <w:lang w:val="en-CA"/>
              </w:rPr>
              <w:t>β (SE)</w:t>
            </w:r>
          </w:p>
        </w:tc>
        <w:tc>
          <w:tcPr>
            <w:tcW w:w="1551" w:type="dxa"/>
            <w:tcBorders>
              <w:bottom w:val="single" w:sz="4" w:space="0" w:color="auto"/>
            </w:tcBorders>
          </w:tcPr>
          <w:p w:rsidR="0036621F" w:rsidRPr="001A5EDB" w:rsidRDefault="0036621F" w:rsidP="008C48C3">
            <w:pPr>
              <w:jc w:val="center"/>
              <w:rPr>
                <w:sz w:val="22"/>
                <w:szCs w:val="22"/>
                <w:lang w:val="en-CA"/>
              </w:rPr>
            </w:pPr>
            <w:r w:rsidRPr="001A5EDB">
              <w:rPr>
                <w:rFonts w:ascii="Times" w:hAnsi="Times" w:cs="Times"/>
                <w:bCs/>
                <w:color w:val="000000"/>
                <w:sz w:val="22"/>
                <w:szCs w:val="22"/>
                <w:lang w:val="en-CA"/>
              </w:rPr>
              <w:t>β (SE)</w:t>
            </w:r>
          </w:p>
        </w:tc>
        <w:tc>
          <w:tcPr>
            <w:tcW w:w="1409" w:type="dxa"/>
            <w:tcBorders>
              <w:bottom w:val="single" w:sz="4" w:space="0" w:color="auto"/>
            </w:tcBorders>
          </w:tcPr>
          <w:p w:rsidR="0036621F" w:rsidRPr="001A5EDB" w:rsidRDefault="0036621F" w:rsidP="008C48C3">
            <w:pPr>
              <w:jc w:val="center"/>
              <w:rPr>
                <w:sz w:val="22"/>
                <w:szCs w:val="22"/>
                <w:lang w:val="en-CA"/>
              </w:rPr>
            </w:pPr>
            <w:r w:rsidRPr="001A5EDB">
              <w:rPr>
                <w:rFonts w:ascii="Times" w:hAnsi="Times" w:cs="Times"/>
                <w:bCs/>
                <w:color w:val="000000"/>
                <w:sz w:val="22"/>
                <w:szCs w:val="22"/>
                <w:lang w:val="en-CA"/>
              </w:rPr>
              <w:t>β (SE)</w:t>
            </w:r>
          </w:p>
        </w:tc>
        <w:tc>
          <w:tcPr>
            <w:tcW w:w="1668" w:type="dxa"/>
            <w:tcBorders>
              <w:bottom w:val="single" w:sz="4" w:space="0" w:color="auto"/>
            </w:tcBorders>
          </w:tcPr>
          <w:p w:rsidR="0036621F" w:rsidRPr="001A5EDB" w:rsidRDefault="0036621F" w:rsidP="008C48C3">
            <w:pPr>
              <w:jc w:val="center"/>
              <w:rPr>
                <w:sz w:val="22"/>
                <w:szCs w:val="22"/>
                <w:lang w:val="en-CA"/>
              </w:rPr>
            </w:pPr>
            <w:r w:rsidRPr="001A5EDB">
              <w:rPr>
                <w:rFonts w:ascii="Times" w:hAnsi="Times" w:cs="Times"/>
                <w:bCs/>
                <w:color w:val="000000"/>
                <w:sz w:val="22"/>
                <w:szCs w:val="22"/>
                <w:lang w:val="en-CA"/>
              </w:rPr>
              <w:t>β (SE)</w:t>
            </w:r>
          </w:p>
        </w:tc>
      </w:tr>
      <w:tr w:rsidR="0036621F" w:rsidRPr="001A5EDB" w:rsidTr="008C48C3">
        <w:trPr>
          <w:trHeight w:val="77"/>
        </w:trPr>
        <w:tc>
          <w:tcPr>
            <w:tcW w:w="2552" w:type="dxa"/>
            <w:tcBorders>
              <w:top w:val="single" w:sz="4" w:space="0" w:color="auto"/>
            </w:tcBorders>
          </w:tcPr>
          <w:p w:rsidR="0036621F" w:rsidRPr="001A5EDB" w:rsidRDefault="0036621F" w:rsidP="008C48C3">
            <w:pPr>
              <w:rPr>
                <w:sz w:val="22"/>
                <w:szCs w:val="22"/>
                <w:lang w:val="en-CA"/>
              </w:rPr>
            </w:pPr>
            <w:r w:rsidRPr="001A5EDB">
              <w:rPr>
                <w:sz w:val="22"/>
                <w:szCs w:val="22"/>
                <w:lang w:val="en-CA"/>
              </w:rPr>
              <w:t>Slope (PAL) – slope (PD)</w:t>
            </w:r>
          </w:p>
        </w:tc>
        <w:tc>
          <w:tcPr>
            <w:tcW w:w="1567" w:type="dxa"/>
            <w:tcBorders>
              <w:top w:val="single" w:sz="4" w:space="0" w:color="auto"/>
            </w:tcBorders>
          </w:tcPr>
          <w:p w:rsidR="0036621F" w:rsidRPr="001A5EDB" w:rsidRDefault="0036621F" w:rsidP="008C48C3">
            <w:pPr>
              <w:jc w:val="center"/>
              <w:rPr>
                <w:sz w:val="22"/>
                <w:szCs w:val="22"/>
                <w:lang w:val="en-CA"/>
              </w:rPr>
            </w:pPr>
            <w:r w:rsidRPr="001A5EDB">
              <w:rPr>
                <w:sz w:val="22"/>
                <w:szCs w:val="22"/>
                <w:lang w:val="en-CA"/>
              </w:rPr>
              <w:t>0.001 (0.001)</w:t>
            </w:r>
          </w:p>
        </w:tc>
        <w:tc>
          <w:tcPr>
            <w:tcW w:w="1560" w:type="dxa"/>
            <w:tcBorders>
              <w:top w:val="single" w:sz="4" w:space="0" w:color="auto"/>
            </w:tcBorders>
          </w:tcPr>
          <w:p w:rsidR="0036621F" w:rsidRPr="001A5EDB" w:rsidRDefault="0036621F" w:rsidP="008C48C3">
            <w:pPr>
              <w:jc w:val="center"/>
              <w:rPr>
                <w:sz w:val="22"/>
                <w:szCs w:val="22"/>
                <w:lang w:val="en-CA"/>
              </w:rPr>
            </w:pPr>
            <w:r w:rsidRPr="001A5EDB">
              <w:rPr>
                <w:sz w:val="22"/>
                <w:szCs w:val="22"/>
                <w:lang w:val="en-CA"/>
              </w:rPr>
              <w:t>0.001 (0.002)</w:t>
            </w:r>
          </w:p>
        </w:tc>
        <w:tc>
          <w:tcPr>
            <w:tcW w:w="1559" w:type="dxa"/>
            <w:tcBorders>
              <w:top w:val="single" w:sz="4" w:space="0" w:color="auto"/>
            </w:tcBorders>
          </w:tcPr>
          <w:p w:rsidR="0036621F" w:rsidRPr="001A5EDB" w:rsidRDefault="0036621F" w:rsidP="008C48C3">
            <w:pPr>
              <w:jc w:val="center"/>
              <w:rPr>
                <w:sz w:val="22"/>
                <w:szCs w:val="22"/>
                <w:lang w:val="en-CA"/>
              </w:rPr>
            </w:pPr>
            <w:r w:rsidRPr="001A5EDB">
              <w:rPr>
                <w:sz w:val="22"/>
                <w:szCs w:val="22"/>
                <w:lang w:val="en-CA"/>
              </w:rPr>
              <w:t>0.001 (0.001)</w:t>
            </w:r>
          </w:p>
        </w:tc>
        <w:tc>
          <w:tcPr>
            <w:tcW w:w="1551" w:type="dxa"/>
            <w:tcBorders>
              <w:top w:val="single" w:sz="4" w:space="0" w:color="auto"/>
            </w:tcBorders>
          </w:tcPr>
          <w:p w:rsidR="0036621F" w:rsidRPr="001A5EDB" w:rsidRDefault="0036621F" w:rsidP="008C48C3">
            <w:pPr>
              <w:jc w:val="center"/>
              <w:rPr>
                <w:sz w:val="22"/>
                <w:szCs w:val="22"/>
                <w:lang w:val="en-CA"/>
              </w:rPr>
            </w:pPr>
            <w:r w:rsidRPr="001A5EDB">
              <w:rPr>
                <w:sz w:val="22"/>
                <w:szCs w:val="22"/>
                <w:lang w:val="en-CA"/>
              </w:rPr>
              <w:t>0.001 (0.001)</w:t>
            </w:r>
          </w:p>
        </w:tc>
        <w:tc>
          <w:tcPr>
            <w:tcW w:w="1409" w:type="dxa"/>
            <w:tcBorders>
              <w:top w:val="single" w:sz="4" w:space="0" w:color="auto"/>
            </w:tcBorders>
          </w:tcPr>
          <w:p w:rsidR="0036621F" w:rsidRPr="001A5EDB" w:rsidRDefault="0036621F" w:rsidP="008C48C3">
            <w:pPr>
              <w:jc w:val="center"/>
              <w:rPr>
                <w:sz w:val="22"/>
                <w:szCs w:val="22"/>
                <w:lang w:val="en-CA"/>
              </w:rPr>
            </w:pPr>
            <w:r w:rsidRPr="001A5EDB">
              <w:rPr>
                <w:sz w:val="22"/>
                <w:szCs w:val="22"/>
                <w:lang w:val="en-CA"/>
              </w:rPr>
              <w:t>0.001 (0.001)</w:t>
            </w:r>
          </w:p>
        </w:tc>
        <w:tc>
          <w:tcPr>
            <w:tcW w:w="1668" w:type="dxa"/>
            <w:tcBorders>
              <w:top w:val="single" w:sz="4" w:space="0" w:color="auto"/>
            </w:tcBorders>
          </w:tcPr>
          <w:p w:rsidR="0036621F" w:rsidRPr="001A5EDB" w:rsidRDefault="0036621F" w:rsidP="008C48C3">
            <w:pPr>
              <w:jc w:val="center"/>
              <w:rPr>
                <w:sz w:val="22"/>
                <w:szCs w:val="22"/>
                <w:lang w:val="en-CA"/>
              </w:rPr>
            </w:pPr>
            <w:r w:rsidRPr="001A5EDB">
              <w:rPr>
                <w:sz w:val="22"/>
                <w:szCs w:val="22"/>
                <w:lang w:val="en-CA"/>
              </w:rPr>
              <w:t>0.001 (0.001)</w:t>
            </w:r>
          </w:p>
        </w:tc>
      </w:tr>
      <w:tr w:rsidR="0036621F" w:rsidRPr="001A5EDB" w:rsidTr="008C48C3">
        <w:trPr>
          <w:trHeight w:val="157"/>
        </w:trPr>
        <w:tc>
          <w:tcPr>
            <w:tcW w:w="2552" w:type="dxa"/>
          </w:tcPr>
          <w:p w:rsidR="0036621F" w:rsidRPr="001A5EDB" w:rsidRDefault="0036621F" w:rsidP="008C48C3">
            <w:pPr>
              <w:rPr>
                <w:sz w:val="22"/>
                <w:szCs w:val="22"/>
                <w:lang w:val="en-CA"/>
              </w:rPr>
            </w:pPr>
            <w:r w:rsidRPr="001A5EDB">
              <w:rPr>
                <w:sz w:val="22"/>
                <w:szCs w:val="22"/>
                <w:lang w:val="en-CA"/>
              </w:rPr>
              <w:t>OSR (PAL) – OSR (PD)</w:t>
            </w:r>
          </w:p>
        </w:tc>
        <w:tc>
          <w:tcPr>
            <w:tcW w:w="1567" w:type="dxa"/>
          </w:tcPr>
          <w:p w:rsidR="0036621F" w:rsidRPr="001A5EDB" w:rsidRDefault="0036621F" w:rsidP="008C48C3">
            <w:pPr>
              <w:jc w:val="center"/>
              <w:rPr>
                <w:b/>
                <w:sz w:val="22"/>
                <w:szCs w:val="22"/>
                <w:lang w:val="en-CA"/>
              </w:rPr>
            </w:pPr>
            <w:r w:rsidRPr="001A5EDB">
              <w:rPr>
                <w:b/>
                <w:sz w:val="22"/>
                <w:szCs w:val="22"/>
                <w:lang w:val="en-CA"/>
              </w:rPr>
              <w:t xml:space="preserve">-0.01 (0.004) * </w:t>
            </w:r>
          </w:p>
        </w:tc>
        <w:tc>
          <w:tcPr>
            <w:tcW w:w="1560" w:type="dxa"/>
          </w:tcPr>
          <w:p w:rsidR="0036621F" w:rsidRPr="001A5EDB" w:rsidRDefault="0036621F" w:rsidP="008C48C3">
            <w:pPr>
              <w:jc w:val="center"/>
              <w:rPr>
                <w:b/>
                <w:sz w:val="22"/>
                <w:szCs w:val="22"/>
                <w:lang w:val="en-CA"/>
              </w:rPr>
            </w:pPr>
            <w:r w:rsidRPr="001A5EDB">
              <w:rPr>
                <w:b/>
                <w:sz w:val="22"/>
                <w:szCs w:val="22"/>
                <w:lang w:val="en-CA"/>
              </w:rPr>
              <w:t>-0.01 (0.005) *</w:t>
            </w:r>
          </w:p>
        </w:tc>
        <w:tc>
          <w:tcPr>
            <w:tcW w:w="1559" w:type="dxa"/>
          </w:tcPr>
          <w:p w:rsidR="0036621F" w:rsidRPr="001A5EDB" w:rsidRDefault="0036621F" w:rsidP="008C48C3">
            <w:pPr>
              <w:jc w:val="center"/>
              <w:rPr>
                <w:sz w:val="22"/>
                <w:szCs w:val="22"/>
                <w:lang w:val="en-CA"/>
              </w:rPr>
            </w:pPr>
            <w:r w:rsidRPr="001A5EDB">
              <w:rPr>
                <w:sz w:val="22"/>
                <w:szCs w:val="22"/>
                <w:lang w:val="en-CA"/>
              </w:rPr>
              <w:t>-0.006 (0.004)</w:t>
            </w:r>
          </w:p>
        </w:tc>
        <w:tc>
          <w:tcPr>
            <w:tcW w:w="1551" w:type="dxa"/>
          </w:tcPr>
          <w:p w:rsidR="0036621F" w:rsidRPr="001A5EDB" w:rsidRDefault="0036621F" w:rsidP="008C48C3">
            <w:pPr>
              <w:jc w:val="center"/>
              <w:rPr>
                <w:sz w:val="22"/>
                <w:szCs w:val="22"/>
                <w:lang w:val="en-CA"/>
              </w:rPr>
            </w:pPr>
            <w:r w:rsidRPr="001A5EDB">
              <w:rPr>
                <w:sz w:val="22"/>
                <w:szCs w:val="22"/>
                <w:lang w:val="en-CA"/>
              </w:rPr>
              <w:t>-0.009 (0.006)</w:t>
            </w:r>
          </w:p>
        </w:tc>
        <w:tc>
          <w:tcPr>
            <w:tcW w:w="1409" w:type="dxa"/>
          </w:tcPr>
          <w:p w:rsidR="0036621F" w:rsidRPr="001A5EDB" w:rsidRDefault="0036621F" w:rsidP="008C48C3">
            <w:pPr>
              <w:jc w:val="center"/>
              <w:rPr>
                <w:sz w:val="22"/>
                <w:szCs w:val="22"/>
                <w:lang w:val="en-CA"/>
              </w:rPr>
            </w:pPr>
            <w:r w:rsidRPr="001A5EDB">
              <w:rPr>
                <w:sz w:val="22"/>
                <w:szCs w:val="22"/>
                <w:lang w:val="en-CA"/>
              </w:rPr>
              <w:t>0.005 (0.005)</w:t>
            </w:r>
          </w:p>
        </w:tc>
        <w:tc>
          <w:tcPr>
            <w:tcW w:w="1668" w:type="dxa"/>
          </w:tcPr>
          <w:p w:rsidR="0036621F" w:rsidRPr="001A5EDB" w:rsidRDefault="0036621F" w:rsidP="008C48C3">
            <w:pPr>
              <w:jc w:val="center"/>
              <w:rPr>
                <w:b/>
                <w:sz w:val="22"/>
                <w:szCs w:val="22"/>
                <w:lang w:val="en-CA"/>
              </w:rPr>
            </w:pPr>
            <w:r w:rsidRPr="001A5EDB">
              <w:rPr>
                <w:b/>
                <w:sz w:val="22"/>
                <w:szCs w:val="22"/>
                <w:lang w:val="en-CA"/>
              </w:rPr>
              <w:t>-0.01 (0.006) *</w:t>
            </w:r>
          </w:p>
        </w:tc>
      </w:tr>
    </w:tbl>
    <w:p w:rsidR="0036621F" w:rsidRDefault="0036621F" w:rsidP="0036621F">
      <w:pPr>
        <w:rPr>
          <w:lang w:val="en-CA"/>
        </w:rPr>
      </w:pPr>
    </w:p>
    <w:p w:rsidR="0036621F" w:rsidRDefault="0036621F" w:rsidP="0036621F">
      <w:pPr>
        <w:jc w:val="both"/>
        <w:rPr>
          <w:lang w:val="en-CA"/>
        </w:rPr>
      </w:pPr>
      <w:r>
        <w:rPr>
          <w:lang w:val="en-CA"/>
        </w:rPr>
        <w:t>Results are presented as regression coefficient estimate (</w:t>
      </w:r>
      <w:r w:rsidRPr="00533211">
        <w:rPr>
          <w:lang w:val="en-CA"/>
        </w:rPr>
        <w:t>β</w:t>
      </w:r>
      <w:r>
        <w:rPr>
          <w:lang w:val="en-CA"/>
        </w:rPr>
        <w:t>) and standard errors (SE). All models were adjusted for age and sex.</w:t>
      </w:r>
    </w:p>
    <w:p w:rsidR="0036621F" w:rsidRDefault="0036621F" w:rsidP="0036621F">
      <w:pPr>
        <w:jc w:val="both"/>
        <w:rPr>
          <w:lang w:val="en-CA"/>
        </w:rPr>
      </w:pPr>
      <w:r>
        <w:rPr>
          <w:lang w:val="en-CA"/>
        </w:rPr>
        <w:t xml:space="preserve">By modeling the correlation between slope physical activity level (PAL) and slope physiological dysregulation (PD), this permits us to assess if the change in PAL is related to the change in PD. By modeling the correlation between the occasion-specific residuals (OSR) of PAL and PD, this permits us to assess if individuals whose PAL measures deviate the most from the mean PAL also deviate the most from the mean PD at each occasion. OT: oxygen transport; LKF: liver/kidney function; </w:t>
      </w:r>
      <w:proofErr w:type="spellStart"/>
      <w:r>
        <w:rPr>
          <w:lang w:val="en-CA"/>
        </w:rPr>
        <w:t>Leukop</w:t>
      </w:r>
      <w:proofErr w:type="spellEnd"/>
      <w:r>
        <w:rPr>
          <w:lang w:val="en-CA"/>
        </w:rPr>
        <w:t xml:space="preserve">: </w:t>
      </w:r>
      <w:r>
        <w:rPr>
          <w:rFonts w:ascii="Times" w:hAnsi="Times"/>
          <w:lang w:val="en-CA"/>
        </w:rPr>
        <w:t>L</w:t>
      </w:r>
      <w:r w:rsidRPr="007864AC">
        <w:rPr>
          <w:rFonts w:ascii="Times" w:hAnsi="Times"/>
          <w:lang w:val="en-CA"/>
        </w:rPr>
        <w:t>eukopoiesis</w:t>
      </w:r>
      <w:r>
        <w:rPr>
          <w:lang w:val="en-CA"/>
        </w:rPr>
        <w:t xml:space="preserve">; Micronut: micronutrients. </w:t>
      </w:r>
    </w:p>
    <w:p w:rsidR="0036621F" w:rsidRDefault="0036621F" w:rsidP="0036621F">
      <w:pPr>
        <w:jc w:val="both"/>
        <w:rPr>
          <w:lang w:val="en-CA"/>
        </w:rPr>
      </w:pPr>
      <w:r>
        <w:rPr>
          <w:lang w:val="en-CA"/>
        </w:rPr>
        <w:t>*</w:t>
      </w:r>
      <w:r w:rsidRPr="001D7F28">
        <w:rPr>
          <w:i/>
          <w:lang w:val="en-CA"/>
        </w:rPr>
        <w:t>P</w:t>
      </w:r>
      <w:r w:rsidRPr="001D7F28">
        <w:rPr>
          <w:lang w:val="en-CA"/>
        </w:rPr>
        <w:t xml:space="preserve"> &lt; 0.05  </w:t>
      </w:r>
    </w:p>
    <w:p w:rsidR="00CA47E8" w:rsidRDefault="0036621F">
      <w:bookmarkStart w:id="0" w:name="_GoBack"/>
      <w:bookmarkEnd w:id="0"/>
    </w:p>
    <w:sectPr w:rsidR="00CA47E8" w:rsidSect="00AC64A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005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21F"/>
    <w:rsid w:val="00025276"/>
    <w:rsid w:val="000953BF"/>
    <w:rsid w:val="00140C5F"/>
    <w:rsid w:val="00144C58"/>
    <w:rsid w:val="0016080C"/>
    <w:rsid w:val="00183636"/>
    <w:rsid w:val="001F0DB8"/>
    <w:rsid w:val="00261A15"/>
    <w:rsid w:val="002C0EF9"/>
    <w:rsid w:val="003236CA"/>
    <w:rsid w:val="0036621F"/>
    <w:rsid w:val="003776D6"/>
    <w:rsid w:val="003A6463"/>
    <w:rsid w:val="003D6107"/>
    <w:rsid w:val="00467ADA"/>
    <w:rsid w:val="00476315"/>
    <w:rsid w:val="004F3913"/>
    <w:rsid w:val="0054663D"/>
    <w:rsid w:val="00656745"/>
    <w:rsid w:val="00695B7B"/>
    <w:rsid w:val="007047FC"/>
    <w:rsid w:val="00744112"/>
    <w:rsid w:val="00747773"/>
    <w:rsid w:val="007C3403"/>
    <w:rsid w:val="008C3DFA"/>
    <w:rsid w:val="008C51DB"/>
    <w:rsid w:val="00941B77"/>
    <w:rsid w:val="00AC3F18"/>
    <w:rsid w:val="00AC64A5"/>
    <w:rsid w:val="00B10A04"/>
    <w:rsid w:val="00B11526"/>
    <w:rsid w:val="00B173BC"/>
    <w:rsid w:val="00B92503"/>
    <w:rsid w:val="00C80DD1"/>
    <w:rsid w:val="00CE62CA"/>
    <w:rsid w:val="00D96296"/>
    <w:rsid w:val="00DC3CFD"/>
    <w:rsid w:val="00E656C5"/>
    <w:rsid w:val="00FB61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BF1FEFC"/>
  <w14:defaultImageDpi w14:val="32767"/>
  <w15:chartTrackingRefBased/>
  <w15:docId w15:val="{7B88B118-1373-5B44-84AD-2DA79A5C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6621F"/>
    <w:rPr>
      <w:rFonts w:ascii="Times New Roman" w:eastAsiaTheme="minorEastAsia"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6621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918</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Ghachem</dc:creator>
  <cp:keywords/>
  <dc:description/>
  <cp:lastModifiedBy>Ahmed Ghachem</cp:lastModifiedBy>
  <cp:revision>1</cp:revision>
  <dcterms:created xsi:type="dcterms:W3CDTF">2020-11-30T14:30:00Z</dcterms:created>
  <dcterms:modified xsi:type="dcterms:W3CDTF">2020-11-30T14:30:00Z</dcterms:modified>
</cp:coreProperties>
</file>