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F03DA9" w14:textId="51500AC6" w:rsidR="002B5760" w:rsidRPr="000A4076" w:rsidRDefault="002B5760" w:rsidP="00951610">
      <w:pPr>
        <w:adjustRightInd w:val="0"/>
        <w:snapToGrid w:val="0"/>
        <w:spacing w:line="480" w:lineRule="auto"/>
        <w:rPr>
          <w:rFonts w:ascii="Arial" w:hAnsi="Arial" w:cs="Arial"/>
          <w:color w:val="000000" w:themeColor="text1"/>
        </w:rPr>
      </w:pPr>
      <w:r w:rsidRPr="000A4076">
        <w:rPr>
          <w:rFonts w:ascii="Arial" w:hAnsi="Arial" w:cs="Arial"/>
          <w:color w:val="000000" w:themeColor="text1"/>
        </w:rPr>
        <w:t>Supplemental Methods</w:t>
      </w:r>
    </w:p>
    <w:p w14:paraId="30987D3C" w14:textId="6FEDA608" w:rsidR="00780C4C" w:rsidRPr="000A4076" w:rsidRDefault="00780C4C" w:rsidP="00780C4C">
      <w:pPr>
        <w:adjustRightInd w:val="0"/>
        <w:snapToGrid w:val="0"/>
        <w:spacing w:line="480" w:lineRule="auto"/>
        <w:rPr>
          <w:rFonts w:ascii="Times New Roman" w:hAnsi="Times New Roman" w:cs="Times New Roman"/>
          <w:i/>
          <w:color w:val="000000" w:themeColor="text1"/>
        </w:rPr>
      </w:pPr>
      <w:r w:rsidRPr="000A4076">
        <w:rPr>
          <w:rFonts w:ascii="Times New Roman" w:hAnsi="Times New Roman" w:cs="Times New Roman"/>
          <w:i/>
          <w:color w:val="000000" w:themeColor="text1"/>
        </w:rPr>
        <w:t>FSR</w:t>
      </w:r>
      <w:r w:rsidR="00BB5095" w:rsidRPr="000A4076">
        <w:rPr>
          <w:rFonts w:ascii="Times New Roman" w:hAnsi="Times New Roman" w:cs="Times New Roman"/>
          <w:i/>
          <w:color w:val="000000" w:themeColor="text1"/>
        </w:rPr>
        <w:t>-</w:t>
      </w:r>
      <w:r w:rsidR="0066010E" w:rsidRPr="000A4076">
        <w:rPr>
          <w:rFonts w:ascii="Times New Roman" w:hAnsi="Times New Roman" w:cs="Times New Roman"/>
          <w:i/>
          <w:color w:val="000000" w:themeColor="text1"/>
        </w:rPr>
        <w:t>p</w:t>
      </w:r>
      <w:r w:rsidRPr="000A4076">
        <w:rPr>
          <w:rFonts w:ascii="Times New Roman" w:hAnsi="Times New Roman" w:cs="Times New Roman"/>
          <w:i/>
          <w:color w:val="000000" w:themeColor="text1"/>
        </w:rPr>
        <w:t xml:space="preserve">articipating </w:t>
      </w:r>
      <w:r w:rsidR="0066010E" w:rsidRPr="000A4076">
        <w:rPr>
          <w:rFonts w:ascii="Times New Roman" w:hAnsi="Times New Roman" w:cs="Times New Roman"/>
          <w:i/>
          <w:color w:val="000000" w:themeColor="text1"/>
        </w:rPr>
        <w:t>h</w:t>
      </w:r>
      <w:r w:rsidRPr="000A4076">
        <w:rPr>
          <w:rFonts w:ascii="Times New Roman" w:hAnsi="Times New Roman" w:cs="Times New Roman"/>
          <w:i/>
          <w:color w:val="000000" w:themeColor="text1"/>
        </w:rPr>
        <w:t>ospitals</w:t>
      </w:r>
    </w:p>
    <w:p w14:paraId="650938C4" w14:textId="0590173F" w:rsidR="00780C4C" w:rsidRPr="000A4076" w:rsidRDefault="00BB5095" w:rsidP="0066010E">
      <w:pPr>
        <w:widowControl/>
        <w:adjustRightInd w:val="0"/>
        <w:snapToGrid w:val="0"/>
        <w:spacing w:line="480" w:lineRule="auto"/>
        <w:ind w:firstLine="480"/>
        <w:jc w:val="left"/>
        <w:rPr>
          <w:rFonts w:ascii="Times New Roman" w:eastAsia="ＭＳ Ｐゴシック" w:hAnsi="Times New Roman" w:cs="Times New Roman"/>
          <w:color w:val="000000" w:themeColor="text1"/>
          <w:kern w:val="0"/>
        </w:rPr>
      </w:pPr>
      <w:r w:rsidRPr="000A4076">
        <w:rPr>
          <w:rFonts w:ascii="Times New Roman" w:eastAsia="ＭＳ Ｐゴシック" w:hAnsi="Times New Roman" w:cs="Times New Roman"/>
          <w:color w:val="000000" w:themeColor="text1"/>
          <w:kern w:val="0"/>
        </w:rPr>
        <w:t xml:space="preserve">Hospitals that participated in the </w:t>
      </w:r>
      <w:r w:rsidR="00365541" w:rsidRPr="000A4076">
        <w:rPr>
          <w:rFonts w:ascii="Times New Roman" w:eastAsia="ＭＳ Ｐゴシック" w:hAnsi="Times New Roman" w:cs="Times New Roman"/>
          <w:color w:val="000000" w:themeColor="text1"/>
          <w:kern w:val="0"/>
        </w:rPr>
        <w:t>FSR includ</w:t>
      </w:r>
      <w:r w:rsidRPr="000A4076">
        <w:rPr>
          <w:rFonts w:ascii="Times New Roman" w:eastAsia="ＭＳ Ｐゴシック" w:hAnsi="Times New Roman" w:cs="Times New Roman"/>
          <w:color w:val="000000" w:themeColor="text1"/>
          <w:kern w:val="0"/>
        </w:rPr>
        <w:t xml:space="preserve">ed </w:t>
      </w:r>
      <w:r w:rsidR="00780C4C" w:rsidRPr="000A4076">
        <w:rPr>
          <w:rFonts w:ascii="Times New Roman" w:eastAsia="ＭＳ Ｐゴシック" w:hAnsi="Times New Roman" w:cs="Times New Roman"/>
          <w:color w:val="000000" w:themeColor="text1"/>
          <w:kern w:val="0"/>
        </w:rPr>
        <w:t>Kyushu University Hospital, National Hospital Organization Kyushu Medical Center, National Hospital Organization Fukuoka Higashi Medical Center, Fukuoka Red Cross Hospital, St. Mary’s Hospital, Nippon Steel Yawata Memorial Hospital, and Japan Labour Health and Welfare Organization Kyushu Rosai Hospital.</w:t>
      </w:r>
    </w:p>
    <w:p w14:paraId="2DD3AC78" w14:textId="77777777" w:rsidR="00780C4C" w:rsidRPr="000A4076" w:rsidRDefault="00780C4C" w:rsidP="00780C4C">
      <w:pPr>
        <w:adjustRightInd w:val="0"/>
        <w:snapToGrid w:val="0"/>
        <w:spacing w:line="480" w:lineRule="auto"/>
        <w:rPr>
          <w:color w:val="000000" w:themeColor="text1"/>
        </w:rPr>
      </w:pPr>
    </w:p>
    <w:p w14:paraId="2C8C3556" w14:textId="49211D36" w:rsidR="00780C4C" w:rsidRPr="000A4076" w:rsidRDefault="00780C4C" w:rsidP="00780C4C">
      <w:pPr>
        <w:adjustRightInd w:val="0"/>
        <w:snapToGrid w:val="0"/>
        <w:spacing w:line="480" w:lineRule="auto"/>
        <w:rPr>
          <w:rFonts w:ascii="Times New Roman" w:hAnsi="Times New Roman" w:cs="Times New Roman"/>
          <w:i/>
          <w:color w:val="000000" w:themeColor="text1"/>
        </w:rPr>
      </w:pPr>
      <w:r w:rsidRPr="000A4076">
        <w:rPr>
          <w:rFonts w:ascii="Times New Roman" w:hAnsi="Times New Roman" w:cs="Times New Roman"/>
          <w:i/>
          <w:color w:val="000000" w:themeColor="text1"/>
        </w:rPr>
        <w:t xml:space="preserve">FSR </w:t>
      </w:r>
      <w:r w:rsidR="0066010E" w:rsidRPr="000A4076">
        <w:rPr>
          <w:rFonts w:ascii="Times New Roman" w:hAnsi="Times New Roman" w:cs="Times New Roman"/>
          <w:i/>
          <w:color w:val="000000" w:themeColor="text1"/>
        </w:rPr>
        <w:t>s</w:t>
      </w:r>
      <w:r w:rsidRPr="000A4076">
        <w:rPr>
          <w:rFonts w:ascii="Times New Roman" w:hAnsi="Times New Roman" w:cs="Times New Roman"/>
          <w:i/>
          <w:color w:val="000000" w:themeColor="text1"/>
        </w:rPr>
        <w:t xml:space="preserve">teering </w:t>
      </w:r>
      <w:r w:rsidR="0066010E" w:rsidRPr="000A4076">
        <w:rPr>
          <w:rFonts w:ascii="Times New Roman" w:hAnsi="Times New Roman" w:cs="Times New Roman"/>
          <w:i/>
          <w:color w:val="000000" w:themeColor="text1"/>
        </w:rPr>
        <w:t>c</w:t>
      </w:r>
      <w:r w:rsidRPr="000A4076">
        <w:rPr>
          <w:rFonts w:ascii="Times New Roman" w:hAnsi="Times New Roman" w:cs="Times New Roman"/>
          <w:i/>
          <w:color w:val="000000" w:themeColor="text1"/>
        </w:rPr>
        <w:t xml:space="preserve">ommittee and </w:t>
      </w:r>
      <w:r w:rsidR="0066010E" w:rsidRPr="000A4076">
        <w:rPr>
          <w:rFonts w:ascii="Times New Roman" w:hAnsi="Times New Roman" w:cs="Times New Roman"/>
          <w:i/>
          <w:color w:val="000000" w:themeColor="text1"/>
        </w:rPr>
        <w:t>r</w:t>
      </w:r>
      <w:r w:rsidRPr="000A4076">
        <w:rPr>
          <w:rFonts w:ascii="Times New Roman" w:hAnsi="Times New Roman" w:cs="Times New Roman"/>
          <w:i/>
          <w:color w:val="000000" w:themeColor="text1"/>
        </w:rPr>
        <w:t xml:space="preserve">esearch </w:t>
      </w:r>
      <w:r w:rsidR="0066010E" w:rsidRPr="000A4076">
        <w:rPr>
          <w:rFonts w:ascii="Times New Roman" w:hAnsi="Times New Roman" w:cs="Times New Roman"/>
          <w:i/>
          <w:color w:val="000000" w:themeColor="text1"/>
        </w:rPr>
        <w:t>w</w:t>
      </w:r>
      <w:r w:rsidRPr="000A4076">
        <w:rPr>
          <w:rFonts w:ascii="Times New Roman" w:hAnsi="Times New Roman" w:cs="Times New Roman"/>
          <w:i/>
          <w:color w:val="000000" w:themeColor="text1"/>
        </w:rPr>
        <w:t xml:space="preserve">orking </w:t>
      </w:r>
      <w:r w:rsidR="0066010E" w:rsidRPr="000A4076">
        <w:rPr>
          <w:rFonts w:ascii="Times New Roman" w:hAnsi="Times New Roman" w:cs="Times New Roman"/>
          <w:i/>
          <w:color w:val="000000" w:themeColor="text1"/>
        </w:rPr>
        <w:t>g</w:t>
      </w:r>
      <w:r w:rsidRPr="000A4076">
        <w:rPr>
          <w:rFonts w:ascii="Times New Roman" w:hAnsi="Times New Roman" w:cs="Times New Roman"/>
          <w:i/>
          <w:color w:val="000000" w:themeColor="text1"/>
        </w:rPr>
        <w:t>roup</w:t>
      </w:r>
    </w:p>
    <w:p w14:paraId="19E6F17F" w14:textId="5CCB6333" w:rsidR="00780C4C" w:rsidRPr="000A4076" w:rsidRDefault="00780C4C" w:rsidP="0066010E">
      <w:pPr>
        <w:widowControl/>
        <w:adjustRightInd w:val="0"/>
        <w:snapToGrid w:val="0"/>
        <w:spacing w:line="480" w:lineRule="auto"/>
        <w:ind w:firstLine="480"/>
        <w:jc w:val="left"/>
        <w:rPr>
          <w:rFonts w:ascii="Times New Roman" w:eastAsia="ＭＳ Ｐゴシック" w:hAnsi="Times New Roman" w:cs="Times New Roman"/>
          <w:color w:val="000000" w:themeColor="text1"/>
          <w:kern w:val="0"/>
        </w:rPr>
      </w:pPr>
      <w:r w:rsidRPr="000A4076">
        <w:rPr>
          <w:rFonts w:ascii="Times New Roman" w:eastAsia="ＭＳ Ｐゴシック" w:hAnsi="Times New Roman" w:cs="Times New Roman"/>
          <w:color w:val="000000" w:themeColor="text1"/>
          <w:kern w:val="0"/>
        </w:rPr>
        <w:t>The steering committee of the Fukuoka Stroke Registry included</w:t>
      </w:r>
      <w:r w:rsidR="00BB5095" w:rsidRPr="000A4076">
        <w:rPr>
          <w:rFonts w:ascii="Times New Roman" w:eastAsia="ＭＳ Ｐゴシック" w:hAnsi="Times New Roman" w:cs="Times New Roman"/>
          <w:color w:val="000000" w:themeColor="text1"/>
          <w:kern w:val="0"/>
        </w:rPr>
        <w:t xml:space="preserve"> the following</w:t>
      </w:r>
      <w:r w:rsidRPr="000A4076">
        <w:rPr>
          <w:rFonts w:ascii="Times New Roman" w:eastAsia="ＭＳ Ｐゴシック" w:hAnsi="Times New Roman" w:cs="Times New Roman"/>
          <w:color w:val="000000" w:themeColor="text1"/>
          <w:kern w:val="0"/>
        </w:rPr>
        <w:t xml:space="preserve">: Takao Ishitsuka (Fukuoka Mirai Hospital), Setsuro Ibayashi (Seiai Rehabilitation Hospital), Kenji Kusuda (Seiai Rehabilitation Hospital), Kenichiro Fujii (Japan Seafarers Relief Association Moji Ekisaikai Hospital), Tetsuhiko Nagao (Seiai Rehabilitation Hospital), Yasushi Okada (National Hospital Organization Kyushu Medical Center), Masahiro Yasaka (National Hospital Organization Kyushu Medical Center), Hiroaki Ooboshi (Fukuoka Dental College Medical and Dental Hospital), Takanari Kitazono (Kyushu University), Katsumi Irie (Hakujyuji Hospital), Tsuyoshi Omae (Imazu Red Cross Hospital), Kazunori Toyoda (National Cerebral and Cardiovascular Center), Hiroshi Nakane (National Hospital Organization Fukuoka-Higashi Medical Center), Masahiro Kamouchi (Kyushu University), Hiroshi Sugimori (Saga-Ken Medical Centre Koseikan), Shuji Arakawa (Steel Memorial Yawata Hospital), Kenji Fukuda (St. Mary’s Hospital), Ago Tetsuro (Kyushu University Hospital), Jiro Kitayama (Fukuoka Red Cross Hospital), Shigeru Fujimoto (Jichi Medical University), Shoji Arihiro (Japan Labor Health and Welfare Organization Kyushu Rosai Hospital), Junya Kuroda (National Hospital Organization Fukuoka-Higashi Medical Center), Yoshinobu Wakisaka (Kyushu University Hospital), Yoshihisa Fukushima (St. Mary’s </w:t>
      </w:r>
      <w:r w:rsidRPr="000A4076">
        <w:rPr>
          <w:rFonts w:ascii="Times New Roman" w:eastAsia="ＭＳ Ｐゴシック" w:hAnsi="Times New Roman" w:cs="Times New Roman"/>
          <w:color w:val="000000" w:themeColor="text1"/>
          <w:kern w:val="0"/>
        </w:rPr>
        <w:lastRenderedPageBreak/>
        <w:t>Hospital), Ryu Matsuo (Kyushu University), and Kuniyuki Nakamura (Kyushu University Hospital).</w:t>
      </w:r>
    </w:p>
    <w:p w14:paraId="28F462EE" w14:textId="2E3D6CA8" w:rsidR="00780C4C" w:rsidRPr="000A4076" w:rsidRDefault="00780C4C" w:rsidP="00951610">
      <w:pPr>
        <w:adjustRightInd w:val="0"/>
        <w:snapToGrid w:val="0"/>
        <w:spacing w:line="480" w:lineRule="auto"/>
        <w:rPr>
          <w:rFonts w:ascii="Arial" w:hAnsi="Arial" w:cs="Arial"/>
          <w:color w:val="000000" w:themeColor="text1"/>
        </w:rPr>
      </w:pPr>
    </w:p>
    <w:p w14:paraId="057E371D" w14:textId="5542C721" w:rsidR="0066010E" w:rsidRPr="000A4076" w:rsidRDefault="0066010E" w:rsidP="00951610">
      <w:pPr>
        <w:adjustRightInd w:val="0"/>
        <w:snapToGrid w:val="0"/>
        <w:spacing w:line="480" w:lineRule="auto"/>
        <w:rPr>
          <w:rFonts w:ascii="Times New Roman" w:hAnsi="Times New Roman" w:cs="Times New Roman"/>
          <w:i/>
          <w:color w:val="000000" w:themeColor="text1"/>
        </w:rPr>
      </w:pPr>
      <w:r w:rsidRPr="000A4076">
        <w:rPr>
          <w:rFonts w:ascii="Times New Roman" w:hAnsi="Times New Roman" w:cs="Times New Roman"/>
          <w:i/>
          <w:color w:val="000000" w:themeColor="text1"/>
        </w:rPr>
        <w:t xml:space="preserve">Clinical assessment </w:t>
      </w:r>
    </w:p>
    <w:p w14:paraId="3D0C2E8C" w14:textId="79383AC0" w:rsidR="00D422AC" w:rsidRPr="000A4076" w:rsidRDefault="002B5760" w:rsidP="008C45FB">
      <w:pPr>
        <w:adjustRightInd w:val="0"/>
        <w:snapToGrid w:val="0"/>
        <w:spacing w:line="480" w:lineRule="auto"/>
        <w:ind w:firstLine="480"/>
        <w:jc w:val="left"/>
        <w:rPr>
          <w:rFonts w:ascii="Times New Roman" w:hAnsi="Times New Roman" w:cs="Times New Roman"/>
          <w:color w:val="000000" w:themeColor="text1"/>
        </w:rPr>
      </w:pPr>
      <w:r w:rsidRPr="000A4076">
        <w:rPr>
          <w:rFonts w:ascii="Times New Roman" w:hAnsi="Times New Roman" w:cs="Times New Roman"/>
          <w:color w:val="000000" w:themeColor="text1"/>
        </w:rPr>
        <w:t>Hypertension was defined as systolic blood pressure ≥140 mmHg or diastolic pressure ≥90 mmHg in the chronic stage, or as current treatment with antihypertensive drugs</w:t>
      </w:r>
      <w:r w:rsidR="004D386B" w:rsidRPr="000A4076">
        <w:rPr>
          <w:rFonts w:ascii="Times New Roman" w:hAnsi="Times New Roman" w:cs="Times New Roman"/>
          <w:color w:val="000000" w:themeColor="text1"/>
        </w:rPr>
        <w:t xml:space="preserve"> [1]</w:t>
      </w:r>
      <w:r w:rsidRPr="000A4076">
        <w:rPr>
          <w:rFonts w:ascii="Times New Roman" w:hAnsi="Times New Roman" w:cs="Times New Roman"/>
          <w:color w:val="000000" w:themeColor="text1"/>
        </w:rPr>
        <w:t>. Dyslipidemia was defined as either low-density lipoprotein-cholesterol level</w:t>
      </w:r>
      <w:r w:rsidR="00BB5095" w:rsidRPr="000A4076">
        <w:rPr>
          <w:rFonts w:ascii="Times New Roman" w:hAnsi="Times New Roman" w:cs="Times New Roman"/>
          <w:color w:val="000000" w:themeColor="text1"/>
        </w:rPr>
        <w:t>s</w:t>
      </w:r>
      <w:r w:rsidRPr="000A4076">
        <w:rPr>
          <w:rFonts w:ascii="Times New Roman" w:hAnsi="Times New Roman" w:cs="Times New Roman"/>
          <w:color w:val="000000" w:themeColor="text1"/>
        </w:rPr>
        <w:t xml:space="preserve"> ≥3.62 mmol/L, high-density lipoprotein-cholesterol level</w:t>
      </w:r>
      <w:r w:rsidR="00BB5095" w:rsidRPr="000A4076">
        <w:rPr>
          <w:rFonts w:ascii="Times New Roman" w:hAnsi="Times New Roman" w:cs="Times New Roman"/>
          <w:color w:val="000000" w:themeColor="text1"/>
        </w:rPr>
        <w:t>s</w:t>
      </w:r>
      <w:r w:rsidRPr="000A4076">
        <w:rPr>
          <w:rFonts w:ascii="Times New Roman" w:hAnsi="Times New Roman" w:cs="Times New Roman"/>
          <w:color w:val="000000" w:themeColor="text1"/>
        </w:rPr>
        <w:t xml:space="preserve"> &lt;1.03 mmol/L, triglyceride</w:t>
      </w:r>
      <w:r w:rsidR="00BB5095" w:rsidRPr="000A4076">
        <w:rPr>
          <w:rFonts w:ascii="Times New Roman" w:hAnsi="Times New Roman" w:cs="Times New Roman"/>
          <w:color w:val="000000" w:themeColor="text1"/>
        </w:rPr>
        <w:t xml:space="preserve"> levels</w:t>
      </w:r>
      <w:r w:rsidRPr="000A4076">
        <w:rPr>
          <w:rFonts w:ascii="Times New Roman" w:hAnsi="Times New Roman" w:cs="Times New Roman"/>
          <w:color w:val="000000" w:themeColor="text1"/>
        </w:rPr>
        <w:t xml:space="preserve"> ≥1.69 mmol/L, or current treatment with a cholesterol-lowering drug</w:t>
      </w:r>
      <w:r w:rsidR="004D386B" w:rsidRPr="000A4076">
        <w:rPr>
          <w:rFonts w:ascii="Times New Roman" w:hAnsi="Times New Roman" w:cs="Times New Roman"/>
          <w:color w:val="000000" w:themeColor="text1"/>
        </w:rPr>
        <w:t xml:space="preserve"> [1]</w:t>
      </w:r>
      <w:r w:rsidRPr="000A4076">
        <w:rPr>
          <w:rFonts w:ascii="Times New Roman" w:hAnsi="Times New Roman" w:cs="Times New Roman"/>
          <w:color w:val="000000" w:themeColor="text1"/>
        </w:rPr>
        <w:t>. A diagnosis of diabetes mellitus was determined by the diagnostic criteria of the Japan Diabetes Society in the chronic stage or based on a medic</w:t>
      </w:r>
      <w:r w:rsidR="007D598B" w:rsidRPr="000A4076">
        <w:rPr>
          <w:rFonts w:ascii="Times New Roman" w:hAnsi="Times New Roman" w:cs="Times New Roman"/>
          <w:color w:val="000000" w:themeColor="text1"/>
        </w:rPr>
        <w:t>al history of diabetes mellitus</w:t>
      </w:r>
      <w:r w:rsidR="004D386B" w:rsidRPr="000A4076">
        <w:rPr>
          <w:rFonts w:ascii="Times New Roman" w:hAnsi="Times New Roman" w:cs="Times New Roman"/>
          <w:color w:val="000000" w:themeColor="text1"/>
        </w:rPr>
        <w:t xml:space="preserve"> [2]</w:t>
      </w:r>
      <w:r w:rsidRPr="000A4076">
        <w:rPr>
          <w:rFonts w:ascii="Times New Roman" w:hAnsi="Times New Roman" w:cs="Times New Roman"/>
          <w:color w:val="000000" w:themeColor="text1"/>
        </w:rPr>
        <w:t>. A</w:t>
      </w:r>
      <w:r w:rsidR="00FC54C5" w:rsidRPr="000A4076">
        <w:rPr>
          <w:rFonts w:ascii="Times New Roman" w:hAnsi="Times New Roman" w:cs="Times New Roman"/>
          <w:color w:val="000000" w:themeColor="text1"/>
        </w:rPr>
        <w:t>trial fibrillation was diagnosed</w:t>
      </w:r>
      <w:r w:rsidRPr="000A4076">
        <w:rPr>
          <w:rFonts w:ascii="Times New Roman" w:hAnsi="Times New Roman" w:cs="Times New Roman"/>
          <w:color w:val="000000" w:themeColor="text1"/>
        </w:rPr>
        <w:t xml:space="preserve"> on </w:t>
      </w:r>
      <w:r w:rsidR="00BB5095" w:rsidRPr="000A4076">
        <w:rPr>
          <w:rFonts w:ascii="Times New Roman" w:hAnsi="Times New Roman" w:cs="Times New Roman"/>
          <w:color w:val="000000" w:themeColor="text1"/>
        </w:rPr>
        <w:t xml:space="preserve">the basis of </w:t>
      </w:r>
      <w:r w:rsidRPr="000A4076">
        <w:rPr>
          <w:rFonts w:ascii="Times New Roman" w:hAnsi="Times New Roman" w:cs="Times New Roman"/>
          <w:color w:val="000000" w:themeColor="text1"/>
        </w:rPr>
        <w:t>electrocardiographic findings on admission or during hospitalization</w:t>
      </w:r>
      <w:r w:rsidR="004D386B" w:rsidRPr="000A4076">
        <w:rPr>
          <w:rFonts w:ascii="Times New Roman" w:hAnsi="Times New Roman" w:cs="Times New Roman"/>
          <w:color w:val="000000" w:themeColor="text1"/>
        </w:rPr>
        <w:t xml:space="preserve"> [1]</w:t>
      </w:r>
      <w:r w:rsidRPr="000A4076">
        <w:rPr>
          <w:rFonts w:ascii="Times New Roman" w:hAnsi="Times New Roman" w:cs="Times New Roman"/>
          <w:color w:val="000000" w:themeColor="text1"/>
        </w:rPr>
        <w:t xml:space="preserve">. Ischemic heart disease was defined as a previous history of angina pectoris, myocardial infarction, </w:t>
      </w:r>
      <w:r w:rsidR="00BB5095" w:rsidRPr="000A4076">
        <w:rPr>
          <w:rFonts w:ascii="Times New Roman" w:hAnsi="Times New Roman" w:cs="Times New Roman"/>
          <w:color w:val="000000" w:themeColor="text1"/>
        </w:rPr>
        <w:t xml:space="preserve">or </w:t>
      </w:r>
      <w:r w:rsidRPr="000A4076">
        <w:rPr>
          <w:rFonts w:ascii="Times New Roman" w:hAnsi="Times New Roman" w:cs="Times New Roman"/>
          <w:color w:val="000000" w:themeColor="text1"/>
        </w:rPr>
        <w:t>percutaneous coronary intervention or coronary artery bypass graft surgery</w:t>
      </w:r>
      <w:r w:rsidR="004D386B" w:rsidRPr="000A4076">
        <w:rPr>
          <w:rFonts w:ascii="Times New Roman" w:hAnsi="Times New Roman" w:cs="Times New Roman"/>
          <w:color w:val="000000" w:themeColor="text1"/>
        </w:rPr>
        <w:t xml:space="preserve"> [1]</w:t>
      </w:r>
      <w:r w:rsidRPr="000A4076">
        <w:rPr>
          <w:rFonts w:ascii="Times New Roman" w:hAnsi="Times New Roman" w:cs="Times New Roman"/>
          <w:color w:val="000000" w:themeColor="text1"/>
        </w:rPr>
        <w:t>.</w:t>
      </w:r>
      <w:r w:rsidR="007D598B" w:rsidRPr="000A4076">
        <w:rPr>
          <w:rFonts w:ascii="Times New Roman" w:hAnsi="Times New Roman" w:cs="Times New Roman"/>
          <w:color w:val="000000" w:themeColor="text1"/>
        </w:rPr>
        <w:t xml:space="preserve"> </w:t>
      </w:r>
      <w:r w:rsidRPr="000A4076">
        <w:rPr>
          <w:rFonts w:ascii="Times New Roman" w:hAnsi="Times New Roman" w:cs="Times New Roman"/>
          <w:color w:val="000000" w:themeColor="text1"/>
        </w:rPr>
        <w:t>Chronic kidney disease was defined as an estimated glomerular filtration rate (eGFR) &lt;60 mL/min per 1.73 m</w:t>
      </w:r>
      <w:r w:rsidRPr="000A4076">
        <w:rPr>
          <w:rFonts w:ascii="Times New Roman" w:hAnsi="Times New Roman" w:cs="Times New Roman"/>
          <w:color w:val="000000" w:themeColor="text1"/>
          <w:vertAlign w:val="superscript"/>
        </w:rPr>
        <w:t>2</w:t>
      </w:r>
      <w:r w:rsidR="00BB5095" w:rsidRPr="000A4076">
        <w:rPr>
          <w:rFonts w:ascii="Times New Roman" w:hAnsi="Times New Roman" w:cs="Times New Roman"/>
          <w:color w:val="000000" w:themeColor="text1"/>
        </w:rPr>
        <w:t>.</w:t>
      </w:r>
      <w:r w:rsidRPr="000A4076">
        <w:rPr>
          <w:rFonts w:ascii="Times New Roman" w:hAnsi="Times New Roman" w:cs="Times New Roman"/>
          <w:color w:val="000000" w:themeColor="text1"/>
        </w:rPr>
        <w:t xml:space="preserve"> </w:t>
      </w:r>
      <w:r w:rsidR="00BB5095" w:rsidRPr="000A4076">
        <w:rPr>
          <w:rFonts w:ascii="Times New Roman" w:hAnsi="Times New Roman" w:cs="Times New Roman"/>
          <w:color w:val="000000" w:themeColor="text1"/>
        </w:rPr>
        <w:t>The</w:t>
      </w:r>
      <w:r w:rsidRPr="000A4076">
        <w:rPr>
          <w:rFonts w:ascii="Times New Roman" w:hAnsi="Times New Roman" w:cs="Times New Roman"/>
          <w:color w:val="000000" w:themeColor="text1"/>
        </w:rPr>
        <w:t xml:space="preserve"> eGFR was determined using the equation proposed by the Japan Society of Nephrology as follows: eGFR (mL/min per 1.73 m</w:t>
      </w:r>
      <w:r w:rsidRPr="000A4076">
        <w:rPr>
          <w:rFonts w:ascii="Times New Roman" w:hAnsi="Times New Roman" w:cs="Times New Roman"/>
          <w:color w:val="000000" w:themeColor="text1"/>
          <w:vertAlign w:val="superscript"/>
        </w:rPr>
        <w:t>2</w:t>
      </w:r>
      <w:r w:rsidRPr="000A4076">
        <w:rPr>
          <w:rFonts w:ascii="Times New Roman" w:hAnsi="Times New Roman" w:cs="Times New Roman"/>
          <w:color w:val="000000" w:themeColor="text1"/>
        </w:rPr>
        <w:t>)=</w:t>
      </w:r>
      <w:r w:rsidR="00FC54C5" w:rsidRPr="000A4076">
        <w:rPr>
          <w:rFonts w:ascii="Times New Roman" w:hAnsi="Times New Roman" w:cs="Times New Roman"/>
          <w:color w:val="000000" w:themeColor="text1"/>
        </w:rPr>
        <w:t>194×(serum creatinine [mg/dL])</w:t>
      </w:r>
      <w:r w:rsidR="00FC54C5" w:rsidRPr="000A4076">
        <w:rPr>
          <w:rFonts w:ascii="Times New Roman" w:hAnsi="Times New Roman" w:cs="Times New Roman"/>
          <w:color w:val="000000" w:themeColor="text1"/>
          <w:vertAlign w:val="superscript"/>
        </w:rPr>
        <w:t>1.094</w:t>
      </w:r>
      <w:r w:rsidR="00FC54C5" w:rsidRPr="000A4076">
        <w:rPr>
          <w:rFonts w:ascii="Times New Roman" w:hAnsi="Times New Roman" w:cs="Times New Roman"/>
          <w:color w:val="000000" w:themeColor="text1"/>
        </w:rPr>
        <w:t>×age [year</w:t>
      </w:r>
      <w:r w:rsidR="00365541" w:rsidRPr="000A4076">
        <w:rPr>
          <w:rFonts w:ascii="Times New Roman" w:hAnsi="Times New Roman" w:cs="Times New Roman"/>
          <w:color w:val="000000" w:themeColor="text1"/>
        </w:rPr>
        <w:t>s</w:t>
      </w:r>
      <w:r w:rsidR="00FC54C5" w:rsidRPr="000A4076">
        <w:rPr>
          <w:rFonts w:ascii="Times New Roman" w:hAnsi="Times New Roman" w:cs="Times New Roman"/>
          <w:color w:val="000000" w:themeColor="text1"/>
        </w:rPr>
        <w:t>])</w:t>
      </w:r>
      <w:r w:rsidR="00FC54C5" w:rsidRPr="000A4076">
        <w:rPr>
          <w:rFonts w:ascii="Times New Roman" w:hAnsi="Times New Roman" w:cs="Times New Roman"/>
          <w:color w:val="000000" w:themeColor="text1"/>
          <w:vertAlign w:val="superscript"/>
        </w:rPr>
        <w:t>−0.287</w:t>
      </w:r>
      <w:r w:rsidR="00FC54C5" w:rsidRPr="000A4076">
        <w:rPr>
          <w:rFonts w:ascii="Times New Roman" w:hAnsi="Times New Roman" w:cs="Times New Roman"/>
          <w:color w:val="000000" w:themeColor="text1"/>
        </w:rPr>
        <w:t>×0.739</w:t>
      </w:r>
      <w:r w:rsidR="007D598B" w:rsidRPr="000A4076">
        <w:rPr>
          <w:rFonts w:ascii="Times New Roman" w:hAnsi="Times New Roman" w:cs="Times New Roman"/>
          <w:color w:val="000000" w:themeColor="text1"/>
        </w:rPr>
        <w:t xml:space="preserve"> (if female)</w:t>
      </w:r>
      <w:r w:rsidR="004D386B" w:rsidRPr="000A4076">
        <w:rPr>
          <w:rFonts w:ascii="Times New Roman" w:hAnsi="Times New Roman" w:cs="Times New Roman"/>
          <w:color w:val="000000" w:themeColor="text1"/>
        </w:rPr>
        <w:t xml:space="preserve"> [3]</w:t>
      </w:r>
      <w:r w:rsidRPr="000A4076">
        <w:rPr>
          <w:rFonts w:ascii="Times New Roman" w:hAnsi="Times New Roman" w:cs="Times New Roman"/>
          <w:color w:val="000000" w:themeColor="text1"/>
        </w:rPr>
        <w:t xml:space="preserve">. </w:t>
      </w:r>
      <w:r w:rsidR="00C40E26" w:rsidRPr="000A4076">
        <w:rPr>
          <w:rFonts w:ascii="Times New Roman" w:hAnsi="Times New Roman" w:cs="Times New Roman"/>
          <w:color w:val="000000" w:themeColor="text1"/>
        </w:rPr>
        <w:t>Smoking habit was defined as both previous and current smoking, and drinking habit was defined as habitual consumption of alcoholic beverages</w:t>
      </w:r>
      <w:r w:rsidR="006A741A" w:rsidRPr="000A4076">
        <w:rPr>
          <w:rFonts w:ascii="Times New Roman" w:hAnsi="Times New Roman" w:cs="Times New Roman"/>
          <w:color w:val="000000" w:themeColor="text1"/>
        </w:rPr>
        <w:t xml:space="preserve"> [4]</w:t>
      </w:r>
      <w:r w:rsidR="00C40E26" w:rsidRPr="000A4076">
        <w:rPr>
          <w:rFonts w:ascii="Times New Roman" w:hAnsi="Times New Roman" w:cs="Times New Roman"/>
          <w:color w:val="000000" w:themeColor="text1"/>
        </w:rPr>
        <w:t>.</w:t>
      </w:r>
      <w:r w:rsidR="008C45FB" w:rsidRPr="000A4076">
        <w:rPr>
          <w:rFonts w:ascii="Times New Roman" w:hAnsi="Times New Roman" w:cs="Times New Roman" w:hint="eastAsia"/>
          <w:color w:val="000000" w:themeColor="text1"/>
        </w:rPr>
        <w:t xml:space="preserve"> </w:t>
      </w:r>
      <w:r w:rsidRPr="000A4076">
        <w:rPr>
          <w:rFonts w:ascii="Times New Roman" w:eastAsia="ＭＳ Ｐゴシック" w:hAnsi="Times New Roman"/>
          <w:color w:val="000000" w:themeColor="text1"/>
          <w:kern w:val="0"/>
        </w:rPr>
        <w:t xml:space="preserve">Antihypertensive, antidiabetic, </w:t>
      </w:r>
      <w:r w:rsidR="00BB5095" w:rsidRPr="000A4076">
        <w:rPr>
          <w:rFonts w:ascii="Times New Roman" w:eastAsia="ＭＳ Ｐゴシック" w:hAnsi="Times New Roman"/>
          <w:color w:val="000000" w:themeColor="text1"/>
          <w:kern w:val="0"/>
        </w:rPr>
        <w:t xml:space="preserve">and </w:t>
      </w:r>
      <w:r w:rsidRPr="000A4076">
        <w:rPr>
          <w:rFonts w:ascii="Times New Roman" w:eastAsia="ＭＳ Ｐゴシック" w:hAnsi="Times New Roman"/>
          <w:color w:val="000000" w:themeColor="text1"/>
          <w:kern w:val="0"/>
        </w:rPr>
        <w:t>antithrombotic therapies were defined as administration of any hypertensive agents, any oral hypoglycemic agents or insulin, or any antiplatelets or anticoagulants, respectively</w:t>
      </w:r>
      <w:r w:rsidR="004D386B" w:rsidRPr="000A4076">
        <w:rPr>
          <w:rFonts w:ascii="Times New Roman" w:eastAsia="ＭＳ Ｐゴシック" w:hAnsi="Times New Roman"/>
          <w:color w:val="000000" w:themeColor="text1"/>
          <w:kern w:val="0"/>
        </w:rPr>
        <w:t xml:space="preserve"> [1]</w:t>
      </w:r>
      <w:r w:rsidRPr="000A4076">
        <w:rPr>
          <w:rFonts w:ascii="Times New Roman" w:eastAsia="ＭＳ Ｐゴシック" w:hAnsi="Times New Roman"/>
          <w:color w:val="000000" w:themeColor="text1"/>
          <w:kern w:val="0"/>
        </w:rPr>
        <w:t>.</w:t>
      </w:r>
      <w:r w:rsidRPr="000A4076">
        <w:rPr>
          <w:rFonts w:ascii="Times New Roman" w:hAnsi="Times New Roman" w:cs="Times New Roman"/>
          <w:color w:val="000000" w:themeColor="text1"/>
        </w:rPr>
        <w:t xml:space="preserve"> </w:t>
      </w:r>
      <w:r w:rsidR="00B833BC" w:rsidRPr="000A4076">
        <w:rPr>
          <w:rFonts w:ascii="Times New Roman" w:eastAsia="ＭＳ Ｐゴシック" w:hAnsi="Times New Roman"/>
          <w:color w:val="000000" w:themeColor="text1"/>
          <w:kern w:val="0"/>
        </w:rPr>
        <w:t>Acute revascularization was defined as either endovascular thrombectomy or thrombolytic therapy with intravenous or intra-arterial administration of thrombolytic agents in the hyperacute phase of stroke</w:t>
      </w:r>
      <w:r w:rsidR="004D386B" w:rsidRPr="000A4076">
        <w:rPr>
          <w:rFonts w:ascii="Times New Roman" w:eastAsia="ＭＳ Ｐゴシック" w:hAnsi="Times New Roman"/>
          <w:color w:val="000000" w:themeColor="text1"/>
          <w:kern w:val="0"/>
        </w:rPr>
        <w:t xml:space="preserve"> [1]</w:t>
      </w:r>
      <w:r w:rsidR="00B833BC" w:rsidRPr="000A4076">
        <w:rPr>
          <w:rFonts w:ascii="Times New Roman" w:eastAsia="ＭＳ Ｐゴシック" w:hAnsi="Times New Roman"/>
          <w:color w:val="000000" w:themeColor="text1"/>
          <w:kern w:val="0"/>
        </w:rPr>
        <w:t xml:space="preserve">. </w:t>
      </w:r>
      <w:r w:rsidR="00196DC1" w:rsidRPr="000A4076">
        <w:rPr>
          <w:rFonts w:ascii="Times New Roman" w:hAnsi="Times New Roman" w:cs="Times New Roman"/>
          <w:color w:val="000000" w:themeColor="text1"/>
        </w:rPr>
        <w:t xml:space="preserve">The evaluation of the modified Rankin scale (mRS) at 3 months after stroke onset was done by trained and </w:t>
      </w:r>
      <w:r w:rsidR="00196DC1" w:rsidRPr="000A4076">
        <w:rPr>
          <w:rFonts w:ascii="Times New Roman" w:hAnsi="Times New Roman" w:cs="Times New Roman"/>
          <w:color w:val="000000" w:themeColor="text1"/>
        </w:rPr>
        <w:lastRenderedPageBreak/>
        <w:t>certified research nurses on the basis of a standardized structured questionnaire that had been validated in a previous study</w:t>
      </w:r>
      <w:r w:rsidR="006A741A" w:rsidRPr="000A4076">
        <w:rPr>
          <w:rFonts w:ascii="Times New Roman" w:hAnsi="Times New Roman" w:cs="Times New Roman"/>
          <w:color w:val="000000" w:themeColor="text1"/>
        </w:rPr>
        <w:t xml:space="preserve"> to minimize inter-rater variability</w:t>
      </w:r>
      <w:r w:rsidR="00196DC1" w:rsidRPr="000A4076">
        <w:rPr>
          <w:rFonts w:ascii="Times New Roman" w:hAnsi="Times New Roman" w:cs="Times New Roman"/>
          <w:color w:val="000000" w:themeColor="text1"/>
        </w:rPr>
        <w:t xml:space="preserve"> [</w:t>
      </w:r>
      <w:r w:rsidR="006A741A" w:rsidRPr="000A4076">
        <w:rPr>
          <w:rFonts w:ascii="Times New Roman" w:hAnsi="Times New Roman" w:cs="Times New Roman"/>
          <w:color w:val="000000" w:themeColor="text1"/>
        </w:rPr>
        <w:t>5</w:t>
      </w:r>
      <w:r w:rsidR="00196DC1" w:rsidRPr="000A4076">
        <w:rPr>
          <w:rFonts w:ascii="Times New Roman" w:hAnsi="Times New Roman" w:cs="Times New Roman"/>
          <w:color w:val="000000" w:themeColor="text1"/>
        </w:rPr>
        <w:t>].</w:t>
      </w:r>
      <w:r w:rsidR="006A741A" w:rsidRPr="000A4076">
        <w:rPr>
          <w:rFonts w:ascii="Times New Roman" w:hAnsi="Times New Roman" w:cs="Times New Roman"/>
          <w:color w:val="000000" w:themeColor="text1"/>
        </w:rPr>
        <w:t xml:space="preserve"> </w:t>
      </w:r>
    </w:p>
    <w:p w14:paraId="71E57E03" w14:textId="77777777" w:rsidR="00196DC1" w:rsidRPr="000A4076" w:rsidRDefault="00196DC1" w:rsidP="00196DC1">
      <w:pPr>
        <w:adjustRightInd w:val="0"/>
        <w:snapToGrid w:val="0"/>
        <w:spacing w:line="480" w:lineRule="auto"/>
        <w:rPr>
          <w:rFonts w:ascii="Times New Roman" w:hAnsi="Times New Roman" w:cs="Times New Roman"/>
          <w:color w:val="000000" w:themeColor="text1"/>
        </w:rPr>
      </w:pPr>
    </w:p>
    <w:p w14:paraId="52E47B77" w14:textId="560CA0C1" w:rsidR="002B5760" w:rsidRPr="000A4076" w:rsidRDefault="002B5760" w:rsidP="00951610">
      <w:pPr>
        <w:adjustRightInd w:val="0"/>
        <w:snapToGrid w:val="0"/>
        <w:spacing w:line="480" w:lineRule="auto"/>
        <w:rPr>
          <w:rFonts w:ascii="Times New Roman" w:eastAsia="ＭＳ Ｐゴシック" w:hAnsi="Times New Roman" w:cs="Times New Roman"/>
          <w:i/>
          <w:color w:val="000000" w:themeColor="text1"/>
          <w:kern w:val="0"/>
        </w:rPr>
      </w:pPr>
      <w:r w:rsidRPr="000A4076">
        <w:rPr>
          <w:rFonts w:ascii="Times New Roman" w:eastAsia="ＭＳ Ｐゴシック" w:hAnsi="Times New Roman" w:cs="Times New Roman"/>
          <w:i/>
          <w:color w:val="000000" w:themeColor="text1"/>
          <w:kern w:val="0"/>
        </w:rPr>
        <w:t xml:space="preserve">Supplemental </w:t>
      </w:r>
      <w:r w:rsidR="00BB5095" w:rsidRPr="000A4076">
        <w:rPr>
          <w:rFonts w:ascii="Times New Roman" w:eastAsia="ＭＳ Ｐゴシック" w:hAnsi="Times New Roman" w:cs="Times New Roman"/>
          <w:i/>
          <w:color w:val="000000" w:themeColor="text1"/>
          <w:kern w:val="0"/>
        </w:rPr>
        <w:t>r</w:t>
      </w:r>
      <w:r w:rsidRPr="000A4076">
        <w:rPr>
          <w:rFonts w:ascii="Times New Roman" w:eastAsia="ＭＳ Ｐゴシック" w:hAnsi="Times New Roman" w:cs="Times New Roman"/>
          <w:i/>
          <w:color w:val="000000" w:themeColor="text1"/>
          <w:kern w:val="0"/>
        </w:rPr>
        <w:t>eferences</w:t>
      </w:r>
    </w:p>
    <w:p w14:paraId="7C42C9A4" w14:textId="489857C5" w:rsidR="007D598B" w:rsidRPr="000A4076" w:rsidRDefault="002B5760" w:rsidP="00AB26A4">
      <w:pPr>
        <w:pStyle w:val="EndNoteBibliography"/>
        <w:adjustRightInd w:val="0"/>
        <w:snapToGrid w:val="0"/>
        <w:spacing w:line="480" w:lineRule="auto"/>
        <w:ind w:left="480" w:hanging="480"/>
        <w:jc w:val="left"/>
        <w:rPr>
          <w:rFonts w:ascii="Times New Roman" w:hAnsi="Times New Roman" w:cs="Times New Roman"/>
          <w:color w:val="000000" w:themeColor="text1"/>
        </w:rPr>
      </w:pPr>
      <w:r w:rsidRPr="000A4076">
        <w:rPr>
          <w:rFonts w:ascii="Times New Roman" w:hAnsi="Times New Roman" w:cs="Times New Roman"/>
          <w:color w:val="000000" w:themeColor="text1"/>
        </w:rPr>
        <w:t>1</w:t>
      </w:r>
      <w:r w:rsidRPr="000A4076">
        <w:rPr>
          <w:rFonts w:ascii="Times New Roman" w:hAnsi="Times New Roman" w:cs="Times New Roman"/>
          <w:color w:val="000000" w:themeColor="text1"/>
        </w:rPr>
        <w:tab/>
      </w:r>
      <w:r w:rsidR="006C1EE4" w:rsidRPr="000A4076">
        <w:rPr>
          <w:rFonts w:ascii="Times New Roman" w:hAnsi="Times New Roman" w:cs="Times New Roman"/>
          <w:color w:val="000000" w:themeColor="text1"/>
        </w:rPr>
        <w:t xml:space="preserve">Wakisaka Y, Matsuo R, Hata J, Kuroda J, Kitazono T, Kamouchi M, </w:t>
      </w:r>
      <w:r w:rsidR="006C1EE4" w:rsidRPr="000A4076">
        <w:rPr>
          <w:rFonts w:ascii="Times New Roman" w:hAnsi="Times New Roman" w:cs="Times New Roman"/>
          <w:i/>
          <w:color w:val="000000" w:themeColor="text1"/>
        </w:rPr>
        <w:t>et al</w:t>
      </w:r>
      <w:r w:rsidR="006C1EE4" w:rsidRPr="000A4076">
        <w:rPr>
          <w:rFonts w:ascii="Times New Roman" w:hAnsi="Times New Roman" w:cs="Times New Roman"/>
          <w:color w:val="000000" w:themeColor="text1"/>
        </w:rPr>
        <w:t>. Adverse influence of pre-stroke dementia on short-term functional outcomes in patients with acute ischemic stroke: the Fukuoka Stroke Registry. Cerebrovasc Dis 2017;43(1-2):82-89</w:t>
      </w:r>
      <w:r w:rsidR="007D598B" w:rsidRPr="000A4076">
        <w:rPr>
          <w:rFonts w:ascii="Times New Roman" w:hAnsi="Times New Roman"/>
          <w:color w:val="000000" w:themeColor="text1"/>
        </w:rPr>
        <w:t>.</w:t>
      </w:r>
    </w:p>
    <w:p w14:paraId="2261766C" w14:textId="2326E5B5" w:rsidR="002B5760" w:rsidRPr="000A4076" w:rsidRDefault="007D598B" w:rsidP="00AB26A4">
      <w:pPr>
        <w:pStyle w:val="EndNoteBibliography"/>
        <w:adjustRightInd w:val="0"/>
        <w:snapToGrid w:val="0"/>
        <w:spacing w:line="480" w:lineRule="auto"/>
        <w:ind w:left="420" w:hanging="420"/>
        <w:jc w:val="left"/>
        <w:rPr>
          <w:rFonts w:ascii="Times New Roman" w:hAnsi="Times New Roman" w:cs="Times New Roman"/>
          <w:color w:val="000000" w:themeColor="text1"/>
        </w:rPr>
      </w:pPr>
      <w:r w:rsidRPr="000A4076">
        <w:rPr>
          <w:rFonts w:ascii="Times New Roman" w:hAnsi="Times New Roman" w:cs="Times New Roman"/>
          <w:color w:val="000000" w:themeColor="text1"/>
        </w:rPr>
        <w:t>2</w:t>
      </w:r>
      <w:r w:rsidRPr="000A4076">
        <w:rPr>
          <w:rFonts w:ascii="Times New Roman" w:hAnsi="Times New Roman" w:cs="Times New Roman"/>
          <w:color w:val="000000" w:themeColor="text1"/>
        </w:rPr>
        <w:tab/>
      </w:r>
      <w:r w:rsidR="002B5760" w:rsidRPr="000A4076">
        <w:rPr>
          <w:rFonts w:ascii="Times New Roman" w:hAnsi="Times New Roman" w:cs="Times New Roman"/>
          <w:color w:val="000000" w:themeColor="text1"/>
        </w:rPr>
        <w:t>Committee of the Japan Diabetes Society on the Diagnostic Criteria of Diabetes Mellitus</w:t>
      </w:r>
      <w:r w:rsidR="00910FD6" w:rsidRPr="000A4076">
        <w:rPr>
          <w:rFonts w:ascii="Times New Roman" w:hAnsi="Times New Roman" w:cs="Times New Roman"/>
          <w:color w:val="000000" w:themeColor="text1"/>
        </w:rPr>
        <w:t xml:space="preserve">. </w:t>
      </w:r>
      <w:r w:rsidR="002B5760" w:rsidRPr="000A4076">
        <w:rPr>
          <w:rFonts w:ascii="Times New Roman" w:hAnsi="Times New Roman" w:cs="Times New Roman"/>
          <w:color w:val="000000" w:themeColor="text1"/>
        </w:rPr>
        <w:t>Report of the committee on the classification and diagnostic criteria of diabetes mellitus. J Diabetes Investig 2010</w:t>
      </w:r>
      <w:r w:rsidR="006C1EE4" w:rsidRPr="000A4076">
        <w:rPr>
          <w:rFonts w:ascii="Times New Roman" w:hAnsi="Times New Roman" w:cs="Times New Roman"/>
          <w:color w:val="000000" w:themeColor="text1"/>
        </w:rPr>
        <w:t xml:space="preserve"> Oct</w:t>
      </w:r>
      <w:r w:rsidR="002B5760" w:rsidRPr="000A4076">
        <w:rPr>
          <w:rFonts w:ascii="Times New Roman" w:hAnsi="Times New Roman" w:cs="Times New Roman"/>
          <w:color w:val="000000" w:themeColor="text1"/>
        </w:rPr>
        <w:t>;1</w:t>
      </w:r>
      <w:r w:rsidR="006C1EE4" w:rsidRPr="000A4076">
        <w:rPr>
          <w:rFonts w:ascii="Times New Roman" w:hAnsi="Times New Roman" w:cs="Times New Roman"/>
          <w:color w:val="000000" w:themeColor="text1"/>
        </w:rPr>
        <w:t>(5)</w:t>
      </w:r>
      <w:r w:rsidR="002B5760" w:rsidRPr="000A4076">
        <w:rPr>
          <w:rFonts w:ascii="Times New Roman" w:hAnsi="Times New Roman" w:cs="Times New Roman"/>
          <w:color w:val="000000" w:themeColor="text1"/>
        </w:rPr>
        <w:t>:212-28.</w:t>
      </w:r>
    </w:p>
    <w:p w14:paraId="1008E02F" w14:textId="273009F0" w:rsidR="002B5760" w:rsidRPr="000A4076" w:rsidRDefault="007D598B" w:rsidP="00AB26A4">
      <w:pPr>
        <w:pStyle w:val="EndNoteBibliography"/>
        <w:adjustRightInd w:val="0"/>
        <w:snapToGrid w:val="0"/>
        <w:spacing w:line="480" w:lineRule="auto"/>
        <w:ind w:left="420" w:hanging="420"/>
        <w:jc w:val="left"/>
        <w:rPr>
          <w:rFonts w:ascii="Times New Roman" w:hAnsi="Times New Roman" w:cs="Times New Roman"/>
          <w:color w:val="000000" w:themeColor="text1"/>
        </w:rPr>
      </w:pPr>
      <w:r w:rsidRPr="000A4076">
        <w:rPr>
          <w:rFonts w:ascii="Times New Roman" w:hAnsi="Times New Roman" w:cs="Times New Roman"/>
          <w:color w:val="000000" w:themeColor="text1"/>
        </w:rPr>
        <w:t>3</w:t>
      </w:r>
      <w:r w:rsidR="002B5760" w:rsidRPr="000A4076">
        <w:rPr>
          <w:rFonts w:ascii="Times New Roman" w:hAnsi="Times New Roman" w:cs="Times New Roman"/>
          <w:color w:val="000000" w:themeColor="text1"/>
        </w:rPr>
        <w:tab/>
        <w:t>Matsuo S, Imai E, Horio M,</w:t>
      </w:r>
      <w:r w:rsidR="00AE60DF" w:rsidRPr="000A4076">
        <w:rPr>
          <w:rFonts w:ascii="Times New Roman" w:hAnsi="Times New Roman" w:cs="Times New Roman"/>
          <w:color w:val="000000" w:themeColor="text1"/>
        </w:rPr>
        <w:t xml:space="preserve"> Tasuda </w:t>
      </w:r>
      <w:bookmarkStart w:id="0" w:name="_GoBack"/>
      <w:bookmarkEnd w:id="0"/>
      <w:r w:rsidR="00AE60DF" w:rsidRPr="000A4076">
        <w:rPr>
          <w:rFonts w:ascii="Times New Roman" w:hAnsi="Times New Roman" w:cs="Times New Roman"/>
          <w:color w:val="000000" w:themeColor="text1"/>
        </w:rPr>
        <w:t>Y, Tomita K, Nitta K,</w:t>
      </w:r>
      <w:r w:rsidR="002B5760" w:rsidRPr="000A4076">
        <w:rPr>
          <w:rFonts w:ascii="Times New Roman" w:hAnsi="Times New Roman" w:cs="Times New Roman"/>
          <w:color w:val="000000" w:themeColor="text1"/>
        </w:rPr>
        <w:t xml:space="preserve"> </w:t>
      </w:r>
      <w:r w:rsidR="00910FD6" w:rsidRPr="000A4076">
        <w:rPr>
          <w:rFonts w:ascii="Times New Roman" w:hAnsi="Times New Roman" w:cs="Times New Roman"/>
          <w:i/>
          <w:color w:val="000000" w:themeColor="text1"/>
        </w:rPr>
        <w:t>et al</w:t>
      </w:r>
      <w:r w:rsidR="00910FD6" w:rsidRPr="000A4076">
        <w:rPr>
          <w:rFonts w:ascii="Times New Roman" w:hAnsi="Times New Roman" w:cs="Times New Roman"/>
          <w:color w:val="000000" w:themeColor="text1"/>
        </w:rPr>
        <w:t xml:space="preserve">. </w:t>
      </w:r>
      <w:r w:rsidR="002B5760" w:rsidRPr="000A4076">
        <w:rPr>
          <w:rFonts w:ascii="Times New Roman" w:hAnsi="Times New Roman" w:cs="Times New Roman"/>
          <w:color w:val="000000" w:themeColor="text1"/>
        </w:rPr>
        <w:t>Revised equations for estimated GFR from serum creatinine in Japan. Am J Kidney Dis 2009</w:t>
      </w:r>
      <w:r w:rsidR="00AE60DF" w:rsidRPr="000A4076">
        <w:rPr>
          <w:rFonts w:ascii="Times New Roman" w:hAnsi="Times New Roman" w:cs="Times New Roman"/>
          <w:color w:val="000000" w:themeColor="text1"/>
        </w:rPr>
        <w:t xml:space="preserve"> Jun</w:t>
      </w:r>
      <w:r w:rsidR="002B5760" w:rsidRPr="000A4076">
        <w:rPr>
          <w:rFonts w:ascii="Times New Roman" w:hAnsi="Times New Roman" w:cs="Times New Roman"/>
          <w:color w:val="000000" w:themeColor="text1"/>
        </w:rPr>
        <w:t>;53</w:t>
      </w:r>
      <w:r w:rsidR="00AE60DF" w:rsidRPr="000A4076">
        <w:rPr>
          <w:rFonts w:ascii="Times New Roman" w:hAnsi="Times New Roman" w:cs="Times New Roman"/>
          <w:color w:val="000000" w:themeColor="text1"/>
        </w:rPr>
        <w:t>(6)</w:t>
      </w:r>
      <w:r w:rsidR="002B5760" w:rsidRPr="000A4076">
        <w:rPr>
          <w:rFonts w:ascii="Times New Roman" w:hAnsi="Times New Roman" w:cs="Times New Roman"/>
          <w:color w:val="000000" w:themeColor="text1"/>
        </w:rPr>
        <w:t>:982-92.</w:t>
      </w:r>
    </w:p>
    <w:p w14:paraId="78F9FF52" w14:textId="13E25E84" w:rsidR="006A741A" w:rsidRPr="000A4076" w:rsidRDefault="006A741A" w:rsidP="00AB26A4">
      <w:pPr>
        <w:pStyle w:val="EndNoteBibliography"/>
        <w:adjustRightInd w:val="0"/>
        <w:snapToGrid w:val="0"/>
        <w:spacing w:line="480" w:lineRule="auto"/>
        <w:ind w:left="420" w:hanging="420"/>
        <w:jc w:val="left"/>
        <w:rPr>
          <w:rFonts w:ascii="Times New Roman" w:hAnsi="Times New Roman" w:cs="Times New Roman"/>
          <w:color w:val="000000" w:themeColor="text1"/>
        </w:rPr>
      </w:pPr>
      <w:r w:rsidRPr="000A4076">
        <w:rPr>
          <w:rFonts w:ascii="Times New Roman" w:hAnsi="Times New Roman" w:cs="Times New Roman" w:hint="eastAsia"/>
          <w:color w:val="000000" w:themeColor="text1"/>
        </w:rPr>
        <w:t>4</w:t>
      </w:r>
      <w:r w:rsidRPr="000A4076">
        <w:rPr>
          <w:rFonts w:ascii="Times New Roman" w:hAnsi="Times New Roman" w:cs="Times New Roman"/>
          <w:color w:val="000000" w:themeColor="text1"/>
        </w:rPr>
        <w:tab/>
      </w:r>
      <w:r w:rsidR="00A426BF" w:rsidRPr="000A4076">
        <w:rPr>
          <w:rFonts w:ascii="Times New Roman" w:hAnsi="Times New Roman" w:cs="Times New Roman"/>
          <w:color w:val="000000" w:themeColor="text1"/>
        </w:rPr>
        <w:t xml:space="preserve">Irie F, Kamouchi M, Hata J, Matsuo R, Wakisaka Y, Kuroda J, </w:t>
      </w:r>
      <w:r w:rsidR="00A426BF" w:rsidRPr="000A4076">
        <w:rPr>
          <w:rFonts w:ascii="Times New Roman" w:hAnsi="Times New Roman" w:cs="Times New Roman"/>
          <w:i/>
          <w:iCs/>
          <w:color w:val="000000" w:themeColor="text1"/>
        </w:rPr>
        <w:t>et al</w:t>
      </w:r>
      <w:r w:rsidR="00A426BF" w:rsidRPr="000A4076">
        <w:rPr>
          <w:rFonts w:ascii="Times New Roman" w:hAnsi="Times New Roman" w:cs="Times New Roman"/>
          <w:color w:val="000000" w:themeColor="text1"/>
        </w:rPr>
        <w:t>. Sex differences in short-term outcomes after acute ischemic stroke: the Fukuoka Stroke Registry. Stroke 2015 Feb;46(2):471-6.</w:t>
      </w:r>
    </w:p>
    <w:p w14:paraId="1F3953DA" w14:textId="65F0B942" w:rsidR="00862F99" w:rsidRPr="000A4076" w:rsidRDefault="006A741A" w:rsidP="00AB26A4">
      <w:pPr>
        <w:pStyle w:val="EndNoteBibliography"/>
        <w:adjustRightInd w:val="0"/>
        <w:snapToGrid w:val="0"/>
        <w:spacing w:line="480" w:lineRule="auto"/>
        <w:ind w:left="420" w:hanging="420"/>
        <w:jc w:val="left"/>
        <w:rPr>
          <w:rFonts w:ascii="Times New Roman" w:hAnsi="Times New Roman" w:cs="Times New Roman"/>
          <w:color w:val="000000" w:themeColor="text1"/>
        </w:rPr>
      </w:pPr>
      <w:r w:rsidRPr="000A4076">
        <w:rPr>
          <w:rFonts w:ascii="Times New Roman" w:hAnsi="Times New Roman" w:cs="Times New Roman"/>
          <w:color w:val="000000" w:themeColor="text1"/>
        </w:rPr>
        <w:t>5</w:t>
      </w:r>
      <w:r w:rsidR="00196DC1" w:rsidRPr="000A4076">
        <w:rPr>
          <w:rFonts w:ascii="Times New Roman" w:hAnsi="Times New Roman" w:cs="Times New Roman"/>
          <w:color w:val="000000" w:themeColor="text1"/>
        </w:rPr>
        <w:tab/>
      </w:r>
      <w:r w:rsidR="00D42C1F" w:rsidRPr="000A4076">
        <w:rPr>
          <w:rFonts w:ascii="Times New Roman" w:hAnsi="Times New Roman" w:cs="Times New Roman"/>
          <w:color w:val="000000" w:themeColor="text1"/>
        </w:rPr>
        <w:t>Shinohara Y, Minematsu K, Amano T, Ohashi Y. Reliability of modified Rankin Scale. Jpn J Stroke. 2007 Jan;29(1):6-13</w:t>
      </w:r>
    </w:p>
    <w:p w14:paraId="503D6C3B" w14:textId="70E3E298" w:rsidR="00D318C7" w:rsidRPr="000A4076" w:rsidRDefault="00D318C7" w:rsidP="002D418D">
      <w:pPr>
        <w:widowControl/>
        <w:jc w:val="left"/>
        <w:rPr>
          <w:rFonts w:ascii="Times New Roman" w:hAnsi="Times New Roman"/>
          <w:color w:val="000000" w:themeColor="text1"/>
          <w:kern w:val="0"/>
        </w:rPr>
      </w:pPr>
    </w:p>
    <w:sectPr w:rsidR="00D318C7" w:rsidRPr="000A4076" w:rsidSect="002D418D">
      <w:headerReference w:type="default" r:id="rId6"/>
      <w:footerReference w:type="even" r:id="rId7"/>
      <w:footerReference w:type="default" r:id="rId8"/>
      <w:pgSz w:w="11900" w:h="16820"/>
      <w:pgMar w:top="1440" w:right="1440" w:bottom="1440" w:left="1440"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BE0F6" w14:textId="77777777" w:rsidR="003A2C04" w:rsidRDefault="003A2C04">
      <w:r>
        <w:separator/>
      </w:r>
    </w:p>
  </w:endnote>
  <w:endnote w:type="continuationSeparator" w:id="0">
    <w:p w14:paraId="360F9C7D" w14:textId="77777777" w:rsidR="003A2C04" w:rsidRDefault="003A2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swiss"/>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F826C" w14:textId="77777777" w:rsidR="00FC54C5" w:rsidRDefault="00FC54C5" w:rsidP="004B125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D18A85B" w14:textId="77777777" w:rsidR="00FC54C5" w:rsidRDefault="00FC54C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D0D46" w14:textId="77777777" w:rsidR="00FC54C5" w:rsidRDefault="00FC54C5" w:rsidP="004B125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65541">
      <w:rPr>
        <w:rStyle w:val="a7"/>
        <w:noProof/>
      </w:rPr>
      <w:t>9</w:t>
    </w:r>
    <w:r>
      <w:rPr>
        <w:rStyle w:val="a7"/>
      </w:rPr>
      <w:fldChar w:fldCharType="end"/>
    </w:r>
  </w:p>
  <w:p w14:paraId="0F180D25" w14:textId="77777777" w:rsidR="00FC54C5" w:rsidRDefault="00FC54C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0D9E70" w14:textId="77777777" w:rsidR="003A2C04" w:rsidRDefault="003A2C04">
      <w:r>
        <w:separator/>
      </w:r>
    </w:p>
  </w:footnote>
  <w:footnote w:type="continuationSeparator" w:id="0">
    <w:p w14:paraId="5A5348B0" w14:textId="77777777" w:rsidR="003A2C04" w:rsidRDefault="003A2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F99A2" w14:textId="3E3EC831" w:rsidR="008C1BE3" w:rsidRDefault="008C1BE3" w:rsidP="008C1BE3">
    <w:pPr>
      <w:pStyle w:val="a3"/>
      <w:wordWrap w:val="0"/>
      <w:jc w:val="right"/>
      <w:rPr>
        <w:rFonts w:ascii="Times New Roman" w:hAnsi="Times New Roman" w:cs="Times New Roman"/>
        <w:sz w:val="18"/>
        <w:szCs w:val="18"/>
      </w:rPr>
    </w:pPr>
    <w:r>
      <w:rPr>
        <w:rFonts w:ascii="Times New Roman" w:hAnsi="Times New Roman" w:cs="Times New Roman" w:hint="eastAsia"/>
        <w:sz w:val="18"/>
        <w:szCs w:val="18"/>
      </w:rPr>
      <w:t>W</w:t>
    </w:r>
    <w:r>
      <w:rPr>
        <w:rFonts w:ascii="Times New Roman" w:hAnsi="Times New Roman" w:cs="Times New Roman"/>
        <w:sz w:val="18"/>
        <w:szCs w:val="18"/>
      </w:rPr>
      <w:t>akisaka Y, et al</w:t>
    </w:r>
  </w:p>
  <w:p w14:paraId="6807081A" w14:textId="76534C49" w:rsidR="007D7C32" w:rsidRPr="007D7C32" w:rsidRDefault="003A2C04" w:rsidP="007D7C32">
    <w:pPr>
      <w:pStyle w:val="a3"/>
      <w:jc w:val="right"/>
      <w:rPr>
        <w:rFonts w:ascii="Times New Roman" w:hAnsi="Times New Roman" w:cs="Times New Roman"/>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defaultTabStop w:val="480"/>
  <w:drawingGridHorizontalSpacing w:val="1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2B5760"/>
    <w:rsid w:val="0000723D"/>
    <w:rsid w:val="0001130D"/>
    <w:rsid w:val="000337D0"/>
    <w:rsid w:val="000421CF"/>
    <w:rsid w:val="00045801"/>
    <w:rsid w:val="000A4076"/>
    <w:rsid w:val="000B1C18"/>
    <w:rsid w:val="000C5C22"/>
    <w:rsid w:val="000F17FC"/>
    <w:rsid w:val="00100F56"/>
    <w:rsid w:val="00167276"/>
    <w:rsid w:val="00167AC5"/>
    <w:rsid w:val="001938EE"/>
    <w:rsid w:val="00196DC1"/>
    <w:rsid w:val="001A595F"/>
    <w:rsid w:val="00214282"/>
    <w:rsid w:val="002318D5"/>
    <w:rsid w:val="002359CF"/>
    <w:rsid w:val="002507A1"/>
    <w:rsid w:val="002874E0"/>
    <w:rsid w:val="0029505D"/>
    <w:rsid w:val="002A4CAE"/>
    <w:rsid w:val="002B5760"/>
    <w:rsid w:val="002D418D"/>
    <w:rsid w:val="002D6FD6"/>
    <w:rsid w:val="00300972"/>
    <w:rsid w:val="00327993"/>
    <w:rsid w:val="003349D5"/>
    <w:rsid w:val="00353270"/>
    <w:rsid w:val="00362621"/>
    <w:rsid w:val="00365541"/>
    <w:rsid w:val="00366F7B"/>
    <w:rsid w:val="00377AE0"/>
    <w:rsid w:val="00380534"/>
    <w:rsid w:val="00390228"/>
    <w:rsid w:val="00392291"/>
    <w:rsid w:val="003A0029"/>
    <w:rsid w:val="003A2C04"/>
    <w:rsid w:val="003A5A49"/>
    <w:rsid w:val="003C4770"/>
    <w:rsid w:val="003C715D"/>
    <w:rsid w:val="003D173A"/>
    <w:rsid w:val="003F1C7F"/>
    <w:rsid w:val="003F2166"/>
    <w:rsid w:val="0041009A"/>
    <w:rsid w:val="004227F5"/>
    <w:rsid w:val="00453A8C"/>
    <w:rsid w:val="00484713"/>
    <w:rsid w:val="004D386B"/>
    <w:rsid w:val="00530AF7"/>
    <w:rsid w:val="00556135"/>
    <w:rsid w:val="0055712A"/>
    <w:rsid w:val="0055749E"/>
    <w:rsid w:val="00595E24"/>
    <w:rsid w:val="00601E98"/>
    <w:rsid w:val="00633933"/>
    <w:rsid w:val="00634E3E"/>
    <w:rsid w:val="006353AE"/>
    <w:rsid w:val="00641B45"/>
    <w:rsid w:val="0064676E"/>
    <w:rsid w:val="0066010E"/>
    <w:rsid w:val="00681EE9"/>
    <w:rsid w:val="006A0E14"/>
    <w:rsid w:val="006A741A"/>
    <w:rsid w:val="006C1EE4"/>
    <w:rsid w:val="006C2658"/>
    <w:rsid w:val="00780C4C"/>
    <w:rsid w:val="0078106C"/>
    <w:rsid w:val="007A5DC5"/>
    <w:rsid w:val="007D598B"/>
    <w:rsid w:val="008064AE"/>
    <w:rsid w:val="008069C4"/>
    <w:rsid w:val="00811797"/>
    <w:rsid w:val="00842DAC"/>
    <w:rsid w:val="0085754B"/>
    <w:rsid w:val="00862F99"/>
    <w:rsid w:val="00864452"/>
    <w:rsid w:val="008662B2"/>
    <w:rsid w:val="0088217D"/>
    <w:rsid w:val="00882A07"/>
    <w:rsid w:val="008A59DB"/>
    <w:rsid w:val="008C1BE3"/>
    <w:rsid w:val="008C45FB"/>
    <w:rsid w:val="008F607B"/>
    <w:rsid w:val="00903D7E"/>
    <w:rsid w:val="00910FD6"/>
    <w:rsid w:val="00941F58"/>
    <w:rsid w:val="00944690"/>
    <w:rsid w:val="00946A5D"/>
    <w:rsid w:val="00963F1D"/>
    <w:rsid w:val="009810C0"/>
    <w:rsid w:val="009938C9"/>
    <w:rsid w:val="009A4A0A"/>
    <w:rsid w:val="009E0F4E"/>
    <w:rsid w:val="009F241D"/>
    <w:rsid w:val="00A121FB"/>
    <w:rsid w:val="00A426BF"/>
    <w:rsid w:val="00A53128"/>
    <w:rsid w:val="00A90AF7"/>
    <w:rsid w:val="00A90EEB"/>
    <w:rsid w:val="00AB26A4"/>
    <w:rsid w:val="00AC34F7"/>
    <w:rsid w:val="00AE4C13"/>
    <w:rsid w:val="00AE60DF"/>
    <w:rsid w:val="00B03D40"/>
    <w:rsid w:val="00B833BC"/>
    <w:rsid w:val="00BB5095"/>
    <w:rsid w:val="00BC652B"/>
    <w:rsid w:val="00C214F2"/>
    <w:rsid w:val="00C36B51"/>
    <w:rsid w:val="00C40E26"/>
    <w:rsid w:val="00C61D49"/>
    <w:rsid w:val="00C672DE"/>
    <w:rsid w:val="00C73B19"/>
    <w:rsid w:val="00C84157"/>
    <w:rsid w:val="00D00D6F"/>
    <w:rsid w:val="00D01350"/>
    <w:rsid w:val="00D05243"/>
    <w:rsid w:val="00D136C9"/>
    <w:rsid w:val="00D25166"/>
    <w:rsid w:val="00D318C7"/>
    <w:rsid w:val="00D355F4"/>
    <w:rsid w:val="00D36BC8"/>
    <w:rsid w:val="00D422AC"/>
    <w:rsid w:val="00D42C1F"/>
    <w:rsid w:val="00D523FD"/>
    <w:rsid w:val="00D87D85"/>
    <w:rsid w:val="00E25FF2"/>
    <w:rsid w:val="00E32579"/>
    <w:rsid w:val="00E33E02"/>
    <w:rsid w:val="00E74A85"/>
    <w:rsid w:val="00E77357"/>
    <w:rsid w:val="00E77F0A"/>
    <w:rsid w:val="00E916FE"/>
    <w:rsid w:val="00EB3029"/>
    <w:rsid w:val="00EF3CB1"/>
    <w:rsid w:val="00F00A8B"/>
    <w:rsid w:val="00F10057"/>
    <w:rsid w:val="00F14FE9"/>
    <w:rsid w:val="00F55725"/>
    <w:rsid w:val="00F630E5"/>
    <w:rsid w:val="00FA0FF0"/>
    <w:rsid w:val="00FA307B"/>
    <w:rsid w:val="00FA6997"/>
    <w:rsid w:val="00FB267C"/>
    <w:rsid w:val="00FC54C5"/>
    <w:rsid w:val="00FE4E7F"/>
    <w:rsid w:val="00FF2C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2B5A6862"/>
  <w14:defaultImageDpi w14:val="32767"/>
  <w15:docId w15:val="{24F6FAD4-8C20-46EA-BC66-2ABC99CCE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Ｐゴシック" w:hAnsi="Times New Roman"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B5760"/>
    <w:pPr>
      <w:widowControl w:val="0"/>
      <w:jc w:val="both"/>
    </w:pPr>
    <w:rPr>
      <w:rFonts w:asciiTheme="minorHAnsi" w:eastAsiaTheme="minorEastAsia" w:hAnsiTheme="min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ndNoteBibliographyTitle">
    <w:name w:val="EndNote Bibliography Title"/>
    <w:basedOn w:val="a"/>
    <w:rsid w:val="002B5760"/>
    <w:pPr>
      <w:jc w:val="center"/>
    </w:pPr>
    <w:rPr>
      <w:rFonts w:ascii="Century" w:hAnsi="Century"/>
    </w:rPr>
  </w:style>
  <w:style w:type="paragraph" w:customStyle="1" w:styleId="EndNoteBibliography">
    <w:name w:val="EndNote Bibliography"/>
    <w:basedOn w:val="a"/>
    <w:rsid w:val="002B5760"/>
    <w:rPr>
      <w:rFonts w:ascii="Century" w:hAnsi="Century"/>
    </w:rPr>
  </w:style>
  <w:style w:type="paragraph" w:styleId="a3">
    <w:name w:val="header"/>
    <w:basedOn w:val="a"/>
    <w:link w:val="a4"/>
    <w:uiPriority w:val="99"/>
    <w:unhideWhenUsed/>
    <w:rsid w:val="002B5760"/>
    <w:pPr>
      <w:tabs>
        <w:tab w:val="center" w:pos="4252"/>
        <w:tab w:val="right" w:pos="8504"/>
      </w:tabs>
      <w:snapToGrid w:val="0"/>
    </w:pPr>
  </w:style>
  <w:style w:type="character" w:customStyle="1" w:styleId="a4">
    <w:name w:val="ヘッダー (文字)"/>
    <w:basedOn w:val="a0"/>
    <w:link w:val="a3"/>
    <w:uiPriority w:val="99"/>
    <w:rsid w:val="002B5760"/>
    <w:rPr>
      <w:rFonts w:asciiTheme="minorHAnsi" w:eastAsiaTheme="minorEastAsia" w:hAnsiTheme="minorHAnsi"/>
    </w:rPr>
  </w:style>
  <w:style w:type="paragraph" w:styleId="a5">
    <w:name w:val="footer"/>
    <w:basedOn w:val="a"/>
    <w:link w:val="a6"/>
    <w:uiPriority w:val="99"/>
    <w:unhideWhenUsed/>
    <w:rsid w:val="002B5760"/>
    <w:pPr>
      <w:tabs>
        <w:tab w:val="center" w:pos="4252"/>
        <w:tab w:val="right" w:pos="8504"/>
      </w:tabs>
      <w:snapToGrid w:val="0"/>
    </w:pPr>
  </w:style>
  <w:style w:type="character" w:customStyle="1" w:styleId="a6">
    <w:name w:val="フッター (文字)"/>
    <w:basedOn w:val="a0"/>
    <w:link w:val="a5"/>
    <w:uiPriority w:val="99"/>
    <w:rsid w:val="002B5760"/>
    <w:rPr>
      <w:rFonts w:asciiTheme="minorHAnsi" w:eastAsiaTheme="minorEastAsia" w:hAnsiTheme="minorHAnsi"/>
    </w:rPr>
  </w:style>
  <w:style w:type="character" w:styleId="a7">
    <w:name w:val="page number"/>
    <w:basedOn w:val="a0"/>
    <w:uiPriority w:val="99"/>
    <w:semiHidden/>
    <w:unhideWhenUsed/>
    <w:rsid w:val="00FC54C5"/>
  </w:style>
  <w:style w:type="table" w:styleId="a8">
    <w:name w:val="Table Grid"/>
    <w:basedOn w:val="a1"/>
    <w:uiPriority w:val="59"/>
    <w:rsid w:val="00D523FD"/>
    <w:rPr>
      <w:rFonts w:asciiTheme="minorHAnsi" w:eastAsia="Times New Roman"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D318C7"/>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styleId="a9">
    <w:name w:val="Balloon Text"/>
    <w:basedOn w:val="a"/>
    <w:link w:val="aa"/>
    <w:uiPriority w:val="99"/>
    <w:semiHidden/>
    <w:unhideWhenUsed/>
    <w:rsid w:val="00BB5095"/>
    <w:rPr>
      <w:rFonts w:ascii="Tahoma" w:hAnsi="Tahoma" w:cs="Tahoma"/>
      <w:sz w:val="16"/>
      <w:szCs w:val="16"/>
    </w:rPr>
  </w:style>
  <w:style w:type="character" w:customStyle="1" w:styleId="aa">
    <w:name w:val="吹き出し (文字)"/>
    <w:basedOn w:val="a0"/>
    <w:link w:val="a9"/>
    <w:uiPriority w:val="99"/>
    <w:semiHidden/>
    <w:rsid w:val="00BB5095"/>
    <w:rPr>
      <w:rFonts w:ascii="Tahoma" w:eastAsiaTheme="minorEastAsia" w:hAnsi="Tahoma" w:cs="Tahoma"/>
      <w:sz w:val="16"/>
      <w:szCs w:val="16"/>
    </w:rPr>
  </w:style>
  <w:style w:type="character" w:styleId="ab">
    <w:name w:val="annotation reference"/>
    <w:basedOn w:val="a0"/>
    <w:uiPriority w:val="99"/>
    <w:semiHidden/>
    <w:unhideWhenUsed/>
    <w:rsid w:val="00BB5095"/>
    <w:rPr>
      <w:sz w:val="16"/>
      <w:szCs w:val="16"/>
    </w:rPr>
  </w:style>
  <w:style w:type="paragraph" w:styleId="ac">
    <w:name w:val="annotation text"/>
    <w:basedOn w:val="a"/>
    <w:link w:val="ad"/>
    <w:uiPriority w:val="99"/>
    <w:semiHidden/>
    <w:unhideWhenUsed/>
    <w:rsid w:val="00BB5095"/>
    <w:rPr>
      <w:sz w:val="20"/>
      <w:szCs w:val="20"/>
    </w:rPr>
  </w:style>
  <w:style w:type="character" w:customStyle="1" w:styleId="ad">
    <w:name w:val="コメント文字列 (文字)"/>
    <w:basedOn w:val="a0"/>
    <w:link w:val="ac"/>
    <w:uiPriority w:val="99"/>
    <w:semiHidden/>
    <w:rsid w:val="00BB5095"/>
    <w:rPr>
      <w:rFonts w:asciiTheme="minorHAnsi" w:eastAsiaTheme="minorEastAsia" w:hAnsiTheme="minorHAnsi"/>
      <w:sz w:val="20"/>
      <w:szCs w:val="20"/>
    </w:rPr>
  </w:style>
  <w:style w:type="paragraph" w:styleId="ae">
    <w:name w:val="annotation subject"/>
    <w:basedOn w:val="ac"/>
    <w:next w:val="ac"/>
    <w:link w:val="af"/>
    <w:uiPriority w:val="99"/>
    <w:semiHidden/>
    <w:unhideWhenUsed/>
    <w:rsid w:val="00BB5095"/>
    <w:rPr>
      <w:b/>
      <w:bCs/>
    </w:rPr>
  </w:style>
  <w:style w:type="character" w:customStyle="1" w:styleId="af">
    <w:name w:val="コメント内容 (文字)"/>
    <w:basedOn w:val="ad"/>
    <w:link w:val="ae"/>
    <w:uiPriority w:val="99"/>
    <w:semiHidden/>
    <w:rsid w:val="00BB5095"/>
    <w:rPr>
      <w:rFonts w:asciiTheme="minorHAnsi" w:eastAsiaTheme="minorEastAsia"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794490">
      <w:bodyDiv w:val="1"/>
      <w:marLeft w:val="0"/>
      <w:marRight w:val="0"/>
      <w:marTop w:val="0"/>
      <w:marBottom w:val="0"/>
      <w:divBdr>
        <w:top w:val="none" w:sz="0" w:space="0" w:color="auto"/>
        <w:left w:val="none" w:sz="0" w:space="0" w:color="auto"/>
        <w:bottom w:val="none" w:sz="0" w:space="0" w:color="auto"/>
        <w:right w:val="none" w:sz="0" w:space="0" w:color="auto"/>
      </w:divBdr>
    </w:div>
    <w:div w:id="989136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a:ea typeface="ＭＳ 明朝"/>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744</Words>
  <Characters>4242</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w-yoshi@intmed2.med.kyushu-u.ac.jp</dc:creator>
  <cp:lastModifiedBy>Microsoft Office User</cp:lastModifiedBy>
  <cp:revision>28</cp:revision>
  <cp:lastPrinted>2020-09-07T11:13:00Z</cp:lastPrinted>
  <dcterms:created xsi:type="dcterms:W3CDTF">2020-10-07T02:43:00Z</dcterms:created>
  <dcterms:modified xsi:type="dcterms:W3CDTF">2020-12-10T04:28:00Z</dcterms:modified>
</cp:coreProperties>
</file>