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01422" w14:textId="0F4F06F5" w:rsidR="00BB2D85" w:rsidRDefault="00BB2D85" w:rsidP="00280D70">
      <w:pPr>
        <w:pStyle w:val="Caption"/>
        <w:keepNext/>
        <w:spacing w:after="0"/>
        <w:contextualSpacing/>
        <w:rPr>
          <w:rFonts w:asciiTheme="majorBidi" w:hAnsiTheme="majorBidi" w:cstheme="majorBidi"/>
          <w:b/>
          <w:i w:val="0"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b/>
          <w:i w:val="0"/>
          <w:color w:val="000000" w:themeColor="text1"/>
          <w:sz w:val="24"/>
          <w:szCs w:val="24"/>
        </w:rPr>
        <w:t xml:space="preserve">Supplemental </w:t>
      </w:r>
      <w:r w:rsidRPr="00A77A12">
        <w:rPr>
          <w:rFonts w:asciiTheme="majorBidi" w:hAnsiTheme="majorBidi" w:cstheme="majorBidi"/>
          <w:b/>
          <w:i w:val="0"/>
          <w:color w:val="000000" w:themeColor="text1"/>
          <w:sz w:val="24"/>
          <w:szCs w:val="24"/>
        </w:rPr>
        <w:t xml:space="preserve">Table </w:t>
      </w:r>
      <w:r w:rsidR="00280D70">
        <w:rPr>
          <w:rFonts w:asciiTheme="majorBidi" w:hAnsiTheme="majorBidi" w:cstheme="majorBidi"/>
          <w:b/>
          <w:i w:val="0"/>
          <w:color w:val="000000" w:themeColor="text1"/>
          <w:sz w:val="24"/>
          <w:szCs w:val="24"/>
        </w:rPr>
        <w:t>1</w:t>
      </w:r>
      <w:bookmarkStart w:id="0" w:name="_GoBack"/>
      <w:bookmarkEnd w:id="0"/>
      <w:r w:rsidRPr="00A77A12">
        <w:rPr>
          <w:rFonts w:asciiTheme="majorBidi" w:hAnsiTheme="majorBidi" w:cstheme="majorBidi"/>
          <w:b/>
          <w:i w:val="0"/>
          <w:color w:val="000000" w:themeColor="text1"/>
          <w:sz w:val="24"/>
          <w:szCs w:val="24"/>
        </w:rPr>
        <w:t>: Summaries and Comparisons by Discharge Mortality</w:t>
      </w:r>
    </w:p>
    <w:p w14:paraId="7C1152E0" w14:textId="77777777" w:rsidR="008955E9" w:rsidRPr="008955E9" w:rsidRDefault="008955E9" w:rsidP="008955E9"/>
    <w:tbl>
      <w:tblPr>
        <w:tblW w:w="9900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0"/>
        <w:gridCol w:w="2970"/>
        <w:gridCol w:w="1710"/>
        <w:gridCol w:w="1260"/>
      </w:tblGrid>
      <w:tr w:rsidR="008955E9" w:rsidRPr="008955E9" w14:paraId="49FFD5DB" w14:textId="77777777" w:rsidTr="00262F55">
        <w:trPr>
          <w:trHeight w:val="264"/>
          <w:tblHeader/>
        </w:trPr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4C86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6102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Discharged Alive                   (N=7604)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369A3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Died</w:t>
            </w:r>
          </w:p>
          <w:p w14:paraId="39C858DF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(N=145)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47DD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b/>
                <w:color w:val="000000" w:themeColor="text1"/>
                <w:sz w:val="24"/>
                <w:szCs w:val="24"/>
              </w:rPr>
              <w:t>P-value</w:t>
            </w:r>
          </w:p>
        </w:tc>
      </w:tr>
      <w:tr w:rsidR="008955E9" w:rsidRPr="008955E9" w14:paraId="1452DA22" w14:textId="77777777" w:rsidTr="00262F55">
        <w:trPr>
          <w:trHeight w:val="264"/>
        </w:trPr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13F6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Dysrhythmias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6C9AB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1455 (19.1%)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35DFE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38 (26.2%)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ADF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0.03</w:t>
            </w:r>
          </w:p>
        </w:tc>
      </w:tr>
      <w:tr w:rsidR="008955E9" w:rsidRPr="008955E9" w14:paraId="4AF64B6B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49870D30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Dysrhythmia type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14:paraId="5D11C52D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0DC627EB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5F60A50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&lt;0.01</w:t>
            </w:r>
          </w:p>
        </w:tc>
      </w:tr>
      <w:tr w:rsidR="008955E9" w:rsidRPr="008955E9" w14:paraId="6DDCE2A6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65B83617" w14:textId="77777777" w:rsidR="00BB2D85" w:rsidRPr="008955E9" w:rsidRDefault="00BB2D85" w:rsidP="00AA084E">
            <w:pPr>
              <w:spacing w:after="0" w:line="240" w:lineRule="auto"/>
              <w:ind w:left="252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 Narrow-complex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66FFF19C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335 (23.0%)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03E4E509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 (28.9%)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F334B4E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11D3436E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4DEFE920" w14:textId="77777777" w:rsidR="00BB2D85" w:rsidRPr="008955E9" w:rsidRDefault="00BB2D85" w:rsidP="00AA084E">
            <w:pPr>
              <w:spacing w:after="0" w:line="240" w:lineRule="auto"/>
              <w:ind w:left="252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 Wide-complex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07CF3CFB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72 (4.9%)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3463202F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 (15.8%)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9D66AFD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45D74170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70CE8C6E" w14:textId="77777777" w:rsidR="00BB2D85" w:rsidRPr="008955E9" w:rsidRDefault="00BB2D85" w:rsidP="00AA084E">
            <w:pPr>
              <w:spacing w:after="0" w:line="240" w:lineRule="auto"/>
              <w:ind w:left="252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 Unspecified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3EEE3E04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963 (66.2%)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54CDE237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17 (44.7%)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96C2BBF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3F0890C3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6DF633AF" w14:textId="77777777" w:rsidR="00BB2D85" w:rsidRPr="008955E9" w:rsidRDefault="00BB2D85" w:rsidP="00AA084E">
            <w:pPr>
              <w:spacing w:after="0" w:line="240" w:lineRule="auto"/>
              <w:ind w:left="252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 Multiple dysrhythmias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1929C427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85 (5.8%)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7256BE24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 (10.5%)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4C97134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7344D45D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46A65D82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Antiarrhythmics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775E27CE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5094 (67.0%)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7229F308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134 (92.4%)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E5D7B02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1AB459F7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</w:tcPr>
          <w:p w14:paraId="3293EF6B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     Single antiarrhythmic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7054AA9E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2347 (30.9%)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7B226BED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22 (15.2%)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2935F1A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72645C63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13EC1367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     Multiple antiarrhythmics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62B11282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2747 (36.1%)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3E1FF8FE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112 (77.2%)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B9FF419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070097D8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0F39452B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Demographics</w:t>
            </w:r>
          </w:p>
        </w:tc>
        <w:tc>
          <w:tcPr>
            <w:tcW w:w="2970" w:type="dxa"/>
            <w:shd w:val="clear" w:color="auto" w:fill="auto"/>
            <w:noWrap/>
            <w:vAlign w:val="bottom"/>
            <w:hideMark/>
          </w:tcPr>
          <w:p w14:paraId="231F3832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7FBBAB2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A1107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22914778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3CCDF650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Gender, male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446F216C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4314 (56.7%)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7661F536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88 (60.7%)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270915AD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0.34</w:t>
            </w:r>
          </w:p>
        </w:tc>
      </w:tr>
      <w:tr w:rsidR="008955E9" w:rsidRPr="008955E9" w14:paraId="33F9D12C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</w:tcPr>
          <w:p w14:paraId="3A6F9438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Ethnicity</w:t>
            </w:r>
          </w:p>
        </w:tc>
        <w:tc>
          <w:tcPr>
            <w:tcW w:w="2970" w:type="dxa"/>
            <w:shd w:val="clear" w:color="auto" w:fill="auto"/>
            <w:noWrap/>
            <w:vAlign w:val="bottom"/>
          </w:tcPr>
          <w:p w14:paraId="65960913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  <w:noWrap/>
            <w:vAlign w:val="bottom"/>
          </w:tcPr>
          <w:p w14:paraId="47E70AD9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14:paraId="059804B9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0.47</w:t>
            </w:r>
          </w:p>
        </w:tc>
      </w:tr>
      <w:tr w:rsidR="008955E9" w:rsidRPr="008955E9" w14:paraId="17F37864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11DA6605" w14:textId="77777777" w:rsidR="00BB2D85" w:rsidRPr="008955E9" w:rsidRDefault="00BB2D85" w:rsidP="00AA084E">
            <w:pPr>
              <w:spacing w:after="0" w:line="240" w:lineRule="auto"/>
              <w:ind w:firstLineChars="200" w:firstLine="480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Non-Hispanic white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028889EA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3822 (53.8%)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4B1F7D0C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65 (47.4%)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20D013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7F6BD39E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725E41A8" w14:textId="77777777" w:rsidR="00BB2D85" w:rsidRPr="008955E9" w:rsidRDefault="00BB2D85" w:rsidP="00AA084E">
            <w:pPr>
              <w:spacing w:after="0" w:line="240" w:lineRule="auto"/>
              <w:ind w:firstLineChars="200" w:firstLine="480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Hispanic/Latino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2509C61D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1127 (15.9%)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03021896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23 (16.8%)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75E200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5FE26F43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66A25F62" w14:textId="77777777" w:rsidR="00BB2D85" w:rsidRPr="008955E9" w:rsidRDefault="00BB2D85" w:rsidP="00AA084E">
            <w:pPr>
              <w:spacing w:after="0" w:line="240" w:lineRule="auto"/>
              <w:ind w:firstLineChars="200" w:firstLine="480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Black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7E32290F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935 (13.2%)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655E2B5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24 (17.5%)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8B0C0D4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62EBD642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0CD34CE9" w14:textId="77777777" w:rsidR="00BB2D85" w:rsidRPr="008955E9" w:rsidRDefault="00BB2D85" w:rsidP="00AA084E">
            <w:pPr>
              <w:spacing w:after="0" w:line="240" w:lineRule="auto"/>
              <w:ind w:firstLineChars="200" w:firstLine="480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Asian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213A4BE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287 (4.0%)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547DCA48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5 (3.6%)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8C61A4C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7F1C0F5F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0C879D89" w14:textId="77777777" w:rsidR="00BB2D85" w:rsidRPr="008955E9" w:rsidRDefault="00BB2D85" w:rsidP="00AA084E">
            <w:pPr>
              <w:spacing w:after="0" w:line="240" w:lineRule="auto"/>
              <w:ind w:firstLineChars="200" w:firstLine="480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Native American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49B35867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123 (1.7%)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005333C6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 (1.5%)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2F5E9EE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47416ECF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7286BBC2" w14:textId="77777777" w:rsidR="00BB2D85" w:rsidRPr="008955E9" w:rsidRDefault="00BB2D85" w:rsidP="00AA084E">
            <w:pPr>
              <w:spacing w:after="0" w:line="240" w:lineRule="auto"/>
              <w:ind w:firstLineChars="200" w:firstLine="480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Pacific Islander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35DDE475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76 (1.1%)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1C923466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0 (0.0%)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FF0E30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751C3A9F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3444E60C" w14:textId="77777777" w:rsidR="00BB2D85" w:rsidRPr="008955E9" w:rsidRDefault="00BB2D85" w:rsidP="00AA084E">
            <w:pPr>
              <w:spacing w:after="0" w:line="240" w:lineRule="auto"/>
              <w:ind w:firstLineChars="200" w:firstLine="480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Other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523A34F2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731 (10.3%)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1E0E18E9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18 (13.1%)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DE52D3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8955E9" w:rsidRPr="008955E9" w14:paraId="7D3C595B" w14:textId="77777777" w:rsidTr="008955E9">
        <w:trPr>
          <w:trHeight w:val="264"/>
        </w:trPr>
        <w:tc>
          <w:tcPr>
            <w:tcW w:w="9895" w:type="dxa"/>
            <w:gridSpan w:val="4"/>
            <w:shd w:val="clear" w:color="auto" w:fill="auto"/>
            <w:noWrap/>
            <w:vAlign w:val="center"/>
          </w:tcPr>
          <w:p w14:paraId="5701DB06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Risk factors</w:t>
            </w:r>
          </w:p>
        </w:tc>
      </w:tr>
      <w:tr w:rsidR="008955E9" w:rsidRPr="008955E9" w14:paraId="19BED9BA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0F3CF2A5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Brain hemorrhage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30355DB6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68 (0.9%)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0A58EAAF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13 (9.0%)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02FEDB4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190784BE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49B3650C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Cardiac arrest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02386B35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207 (2.7%)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49758EAB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61 (42.1%)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DEF1BBA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164D8BF3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507C1C27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Genetic syndromes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4450E7AC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1321 (17.4%)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6ED493B6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50 (34.5%)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6C33B256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6B273CC8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37FEA2C0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Necrotizing enterocolitis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3EB65F7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16 (0.2%)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757834A9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 (2.1%)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1F892398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33D6FD5B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</w:tcPr>
          <w:p w14:paraId="5B53B832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Prematurity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35CE339A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278 (3.7%)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429E61D4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27 (18.6%)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511BD569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1DFBE35A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</w:tcPr>
          <w:p w14:paraId="59C2483A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Tracheoesophageal fistula/Esophageal atresia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0D59AD7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48 (0.6%)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445F8FC2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 (4.1%)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211AD8CD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36FE9E8B" w14:textId="77777777" w:rsidTr="008955E9">
        <w:trPr>
          <w:trHeight w:val="264"/>
        </w:trPr>
        <w:tc>
          <w:tcPr>
            <w:tcW w:w="9895" w:type="dxa"/>
            <w:gridSpan w:val="4"/>
            <w:shd w:val="clear" w:color="auto" w:fill="auto"/>
            <w:noWrap/>
            <w:vAlign w:val="center"/>
          </w:tcPr>
          <w:p w14:paraId="634DB3FB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Infections</w:t>
            </w:r>
          </w:p>
        </w:tc>
      </w:tr>
      <w:tr w:rsidR="008955E9" w:rsidRPr="008955E9" w14:paraId="16FA35C6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</w:tcPr>
          <w:p w14:paraId="611505B9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Septic shock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7E89722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142 (1.9%)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79EC59B7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42 (29.0%)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B3AB9E3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54722C8C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</w:tcPr>
          <w:p w14:paraId="17EDAD98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Viral infection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142970B2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402 (5.3%)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14D5134A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14 (9.7%)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4D51C15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0.02</w:t>
            </w:r>
          </w:p>
        </w:tc>
      </w:tr>
      <w:tr w:rsidR="008955E9" w:rsidRPr="008955E9" w14:paraId="68A84D96" w14:textId="77777777" w:rsidTr="008955E9">
        <w:trPr>
          <w:trHeight w:val="264"/>
        </w:trPr>
        <w:tc>
          <w:tcPr>
            <w:tcW w:w="9895" w:type="dxa"/>
            <w:gridSpan w:val="4"/>
            <w:shd w:val="clear" w:color="auto" w:fill="auto"/>
            <w:noWrap/>
            <w:vAlign w:val="center"/>
          </w:tcPr>
          <w:p w14:paraId="3B23D4D2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4"/>
                <w:szCs w:val="24"/>
              </w:rPr>
              <w:t>Interventions</w:t>
            </w:r>
          </w:p>
        </w:tc>
      </w:tr>
      <w:tr w:rsidR="008955E9" w:rsidRPr="008955E9" w14:paraId="0E58224D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1BB55068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Cardiac catheterization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15DA6240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760 (10.0%)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75F7FB20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79 (54.5%)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4569FE93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21909195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</w:tcPr>
          <w:p w14:paraId="66288FBB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Chest tube insertion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3D1ED5C5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604 (7.9%)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62FBC26D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31 (21.4%)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6F5EC3F5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6FA12ABB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422DB31B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  <w:t>Extracorporeal membrane oxygenation (ECMO)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6E3CF291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180 (2.4%)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333283C3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65 (44.8%)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33F596A6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0CC9BA37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</w:tcPr>
          <w:p w14:paraId="14F12C44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Prolonged mechanical ventilation (&gt; 7 days)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033BE893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927 (15.7%)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2C5607E6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110 (82.7%)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B79DABF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7FBF2E5B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31F987F4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Pericardiocentesis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4CE1696A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106 (1.4%)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7E95F62C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 (0.7%)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A12010D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0.47</w:t>
            </w:r>
          </w:p>
        </w:tc>
      </w:tr>
      <w:tr w:rsidR="008955E9" w:rsidRPr="008955E9" w14:paraId="73E489BC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  <w:hideMark/>
          </w:tcPr>
          <w:p w14:paraId="646242B5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Dialysis</w:t>
            </w:r>
          </w:p>
        </w:tc>
        <w:tc>
          <w:tcPr>
            <w:tcW w:w="2970" w:type="dxa"/>
            <w:shd w:val="clear" w:color="auto" w:fill="auto"/>
            <w:noWrap/>
            <w:vAlign w:val="center"/>
            <w:hideMark/>
          </w:tcPr>
          <w:p w14:paraId="28A5F817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28 (0.4%)</w:t>
            </w:r>
          </w:p>
        </w:tc>
        <w:tc>
          <w:tcPr>
            <w:tcW w:w="1710" w:type="dxa"/>
            <w:shd w:val="clear" w:color="auto" w:fill="auto"/>
            <w:noWrap/>
            <w:vAlign w:val="center"/>
            <w:hideMark/>
          </w:tcPr>
          <w:p w14:paraId="022B5823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22 (15.2%)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14:paraId="53E0D8A8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  <w:tr w:rsidR="008955E9" w:rsidRPr="008955E9" w14:paraId="4B0A1094" w14:textId="77777777" w:rsidTr="008955E9">
        <w:trPr>
          <w:trHeight w:val="264"/>
        </w:trPr>
        <w:tc>
          <w:tcPr>
            <w:tcW w:w="3960" w:type="dxa"/>
            <w:shd w:val="clear" w:color="auto" w:fill="auto"/>
            <w:noWrap/>
            <w:vAlign w:val="center"/>
          </w:tcPr>
          <w:p w14:paraId="2184E6F0" w14:textId="77777777" w:rsidR="00BB2D85" w:rsidRPr="008955E9" w:rsidRDefault="00BB2D85" w:rsidP="00AA084E">
            <w:pPr>
              <w:spacing w:after="0" w:line="240" w:lineRule="auto"/>
              <w:contextualSpacing/>
              <w:rPr>
                <w:rFonts w:asciiTheme="majorBidi" w:eastAsia="Times New Roman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Tracheostomy</w:t>
            </w:r>
          </w:p>
        </w:tc>
        <w:tc>
          <w:tcPr>
            <w:tcW w:w="2970" w:type="dxa"/>
            <w:shd w:val="clear" w:color="auto" w:fill="auto"/>
            <w:noWrap/>
            <w:vAlign w:val="center"/>
          </w:tcPr>
          <w:p w14:paraId="029C3F90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95 (1.2%)</w:t>
            </w:r>
          </w:p>
        </w:tc>
        <w:tc>
          <w:tcPr>
            <w:tcW w:w="1710" w:type="dxa"/>
            <w:shd w:val="clear" w:color="auto" w:fill="auto"/>
            <w:noWrap/>
            <w:vAlign w:val="center"/>
          </w:tcPr>
          <w:p w14:paraId="3F3F1788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27 (18.6%)</w:t>
            </w:r>
          </w:p>
        </w:tc>
        <w:tc>
          <w:tcPr>
            <w:tcW w:w="1260" w:type="dxa"/>
            <w:shd w:val="clear" w:color="auto" w:fill="auto"/>
            <w:noWrap/>
            <w:vAlign w:val="center"/>
          </w:tcPr>
          <w:p w14:paraId="72769A4A" w14:textId="77777777" w:rsidR="00BB2D85" w:rsidRPr="008955E9" w:rsidRDefault="00BB2D85" w:rsidP="00AA084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 w:rsidRPr="008955E9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&lt;0.0001</w:t>
            </w:r>
          </w:p>
        </w:tc>
      </w:tr>
    </w:tbl>
    <w:p w14:paraId="5C2AD5CE" w14:textId="77777777" w:rsidR="001E507F" w:rsidRPr="00BB2D85" w:rsidRDefault="00BB2D85" w:rsidP="00BB2D85">
      <w:pPr>
        <w:spacing w:after="0" w:line="240" w:lineRule="auto"/>
        <w:contextualSpacing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C131F0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Complete list of variables selected for univariate analysis. Statistically significant variables were selected for input as possible covariates for the multivariate model. Continuous variables were </w:t>
      </w:r>
      <w:r w:rsidRPr="00C131F0">
        <w:rPr>
          <w:rFonts w:asciiTheme="majorBidi" w:hAnsiTheme="majorBidi" w:cstheme="majorBidi"/>
          <w:color w:val="000000" w:themeColor="text1"/>
          <w:sz w:val="24"/>
          <w:szCs w:val="24"/>
        </w:rPr>
        <w:lastRenderedPageBreak/>
        <w:t>summarized as Mean (SD).  Skewed continuous variables or count variables were summarized as Median (Q1-Q3).  Categorical variables were summarized as frequency (percent).  Continuous variables were compared using one-way ANOVA, skewed continuous variables or count variables using Kruskal-Wallis tests, and categorical variables using Pearson chi-square tests.  Normality tests were conducted using a Shapiro-Wilk test; p-values &lt;= 0.05 were considered non-normal.</w:t>
      </w:r>
    </w:p>
    <w:sectPr w:rsidR="001E507F" w:rsidRPr="00BB2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85"/>
    <w:rsid w:val="001E507F"/>
    <w:rsid w:val="00262F55"/>
    <w:rsid w:val="00280D70"/>
    <w:rsid w:val="008955E9"/>
    <w:rsid w:val="00BB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05732"/>
  <w15:chartTrackingRefBased/>
  <w15:docId w15:val="{8221D3FF-E2F1-4ADB-A509-3C1E3F6B4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2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B2D8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Ahmed, Aziez</dc:creator>
  <cp:keywords/>
  <dc:description/>
  <cp:lastModifiedBy>Aziez Ahmed</cp:lastModifiedBy>
  <cp:revision>4</cp:revision>
  <dcterms:created xsi:type="dcterms:W3CDTF">2019-10-03T17:32:00Z</dcterms:created>
  <dcterms:modified xsi:type="dcterms:W3CDTF">2020-09-08T02:29:00Z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ertAsFootnote">
    <vt:lpwstr>False</vt:lpwstr>
  </property>
  <property fmtid="{D5CDD505-2E9C-101B-9397-08002B2CF9AE}" pid="3" name="FileId">
    <vt:lpwstr>804851</vt:lpwstr>
  </property>
  <property fmtid="{D5CDD505-2E9C-101B-9397-08002B2CF9AE}" pid="4" name="StyleId">
    <vt:lpwstr>http://www.zotero.org/styles/vancouver</vt:lpwstr>
  </property>
</Properties>
</file>