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0F5DB6" w14:textId="77777777" w:rsidR="009B5CEA" w:rsidRDefault="009B5CEA" w:rsidP="009B5CEA">
      <w:pPr>
        <w:spacing w:after="0"/>
        <w:jc w:val="center"/>
        <w:rPr>
          <w:rFonts w:cs="Times New Roman"/>
          <w:b/>
          <w:szCs w:val="24"/>
        </w:rPr>
      </w:pPr>
    </w:p>
    <w:p w14:paraId="448AD9AC" w14:textId="2F123AE9" w:rsidR="009B5CEA" w:rsidRPr="00C8329E" w:rsidRDefault="009B5CEA" w:rsidP="009B5CEA">
      <w:pPr>
        <w:spacing w:after="0"/>
        <w:jc w:val="center"/>
        <w:rPr>
          <w:rFonts w:cs="Times New Roman"/>
          <w:b/>
          <w:szCs w:val="24"/>
        </w:rPr>
      </w:pPr>
      <w:r w:rsidRPr="00C8329E">
        <w:rPr>
          <w:rFonts w:cs="Times New Roman"/>
          <w:b/>
        </w:rPr>
        <w:t>SUPPLEMENTARY MATERIAL</w:t>
      </w:r>
    </w:p>
    <w:p w14:paraId="1DCD6B10" w14:textId="77777777" w:rsidR="009B5CEA" w:rsidRPr="00C8329E" w:rsidRDefault="009B5CEA" w:rsidP="009B5CEA">
      <w:pPr>
        <w:spacing w:after="0"/>
        <w:rPr>
          <w:rFonts w:cs="Times New Roman"/>
          <w:b/>
          <w:szCs w:val="24"/>
        </w:rPr>
      </w:pPr>
    </w:p>
    <w:p w14:paraId="201950C8" w14:textId="6E78C8A7" w:rsidR="009B5CEA" w:rsidRPr="00734FE6" w:rsidRDefault="009B5CEA" w:rsidP="009B5CEA">
      <w:pPr>
        <w:spacing w:after="0"/>
        <w:jc w:val="center"/>
        <w:rPr>
          <w:rFonts w:cs="Times New Roman"/>
          <w:b/>
          <w:szCs w:val="24"/>
        </w:rPr>
      </w:pPr>
      <w:r w:rsidRPr="009B5CEA">
        <w:rPr>
          <w:rFonts w:cs="Times New Roman"/>
          <w:b/>
          <w:szCs w:val="24"/>
        </w:rPr>
        <w:t xml:space="preserve">Childhood exposure to parental smoking and life-course </w:t>
      </w:r>
      <w:r w:rsidRPr="007C74C0">
        <w:rPr>
          <w:rFonts w:cs="Times New Roman"/>
          <w:b/>
          <w:szCs w:val="24"/>
        </w:rPr>
        <w:t>overweight and central obesity</w:t>
      </w:r>
      <w:r w:rsidRPr="00734FE6">
        <w:rPr>
          <w:rFonts w:cs="Times New Roman"/>
          <w:b/>
          <w:szCs w:val="24"/>
        </w:rPr>
        <w:t xml:space="preserve"> </w:t>
      </w:r>
    </w:p>
    <w:p w14:paraId="180B4FD3" w14:textId="77777777" w:rsidR="009B5CEA" w:rsidRPr="00C8329E" w:rsidRDefault="009B5CEA" w:rsidP="009B5CEA">
      <w:pPr>
        <w:spacing w:after="0"/>
        <w:jc w:val="center"/>
        <w:rPr>
          <w:rFonts w:cs="Times New Roman"/>
          <w:b/>
          <w:szCs w:val="24"/>
        </w:rPr>
      </w:pPr>
    </w:p>
    <w:p w14:paraId="063CD0AB" w14:textId="2124B39D" w:rsidR="009B5CEA" w:rsidRPr="00E96811" w:rsidRDefault="009B5CEA" w:rsidP="009B5CEA">
      <w:pPr>
        <w:spacing w:after="0"/>
        <w:jc w:val="center"/>
        <w:rPr>
          <w:rFonts w:cs="Times New Roman"/>
          <w:b/>
          <w:szCs w:val="24"/>
          <w:lang w:val="fi-FI"/>
        </w:rPr>
      </w:pPr>
      <w:r w:rsidRPr="00E96811">
        <w:rPr>
          <w:rFonts w:cs="Times New Roman"/>
          <w:b/>
          <w:szCs w:val="24"/>
          <w:lang w:val="fi-FI"/>
        </w:rPr>
        <w:t>By Jaakkola JM et al.</w:t>
      </w:r>
    </w:p>
    <w:p w14:paraId="5F82063A" w14:textId="77777777" w:rsidR="00E96811" w:rsidRPr="00C56302" w:rsidRDefault="00E96811" w:rsidP="008E6D2E">
      <w:pPr>
        <w:spacing w:after="0"/>
        <w:rPr>
          <w:rFonts w:cs="Times New Roman"/>
          <w:b/>
          <w:szCs w:val="24"/>
          <w:lang w:val="fi-FI"/>
        </w:rPr>
      </w:pPr>
    </w:p>
    <w:p w14:paraId="1C313B3B" w14:textId="77777777" w:rsidR="00E96811" w:rsidRPr="00C56302" w:rsidRDefault="00E96811" w:rsidP="008E6D2E">
      <w:pPr>
        <w:spacing w:after="0"/>
        <w:rPr>
          <w:rFonts w:cs="Times New Roman"/>
          <w:b/>
          <w:szCs w:val="24"/>
          <w:lang w:val="fi-FI"/>
        </w:rPr>
      </w:pPr>
    </w:p>
    <w:p w14:paraId="13DDDCF9" w14:textId="4FF46AF5" w:rsidR="008E6D2E" w:rsidRDefault="0070375A" w:rsidP="008E6D2E">
      <w:pPr>
        <w:spacing w:after="0"/>
        <w:rPr>
          <w:rFonts w:cs="Times New Roman"/>
          <w:b/>
          <w:szCs w:val="24"/>
        </w:rPr>
      </w:pPr>
      <w:r>
        <w:rPr>
          <w:rFonts w:cs="Times New Roman"/>
          <w:b/>
          <w:szCs w:val="24"/>
        </w:rPr>
        <w:t>Supplementary m</w:t>
      </w:r>
      <w:bookmarkStart w:id="0" w:name="_GoBack"/>
      <w:bookmarkEnd w:id="0"/>
      <w:r w:rsidR="008E6D2E" w:rsidRPr="008E6D2E">
        <w:rPr>
          <w:rFonts w:cs="Times New Roman"/>
          <w:b/>
          <w:szCs w:val="24"/>
        </w:rPr>
        <w:t>ethods</w:t>
      </w:r>
    </w:p>
    <w:p w14:paraId="73F23865" w14:textId="77777777" w:rsidR="008E6D2E" w:rsidRPr="001A5C1A" w:rsidRDefault="008E6D2E" w:rsidP="008E6D2E">
      <w:pPr>
        <w:spacing w:after="0"/>
        <w:rPr>
          <w:rFonts w:cs="Times New Roman"/>
          <w:i/>
          <w:szCs w:val="24"/>
        </w:rPr>
      </w:pPr>
      <w:r w:rsidRPr="001A5C1A">
        <w:rPr>
          <w:rFonts w:cs="Times New Roman"/>
          <w:b/>
          <w:i/>
          <w:szCs w:val="24"/>
        </w:rPr>
        <w:t>Additional outcome variables for adiposity</w:t>
      </w:r>
    </w:p>
    <w:p w14:paraId="2E6A73ED" w14:textId="54EA724F" w:rsidR="008E6D2E" w:rsidRPr="0071404A" w:rsidRDefault="008E6D2E" w:rsidP="008B283F">
      <w:pPr>
        <w:rPr>
          <w:rFonts w:cs="Times New Roman"/>
          <w:b/>
          <w:i/>
          <w:szCs w:val="24"/>
        </w:rPr>
      </w:pPr>
      <w:r w:rsidRPr="001A5C1A">
        <w:t xml:space="preserve">Adiposity was measured </w:t>
      </w:r>
      <w:r>
        <w:t>as</w:t>
      </w:r>
      <w:r w:rsidRPr="001A5C1A">
        <w:t xml:space="preserve"> skinfold thickness in </w:t>
      </w:r>
      <w:r>
        <w:t xml:space="preserve">the </w:t>
      </w:r>
      <w:r w:rsidRPr="001A5C1A">
        <w:t xml:space="preserve">YFS and </w:t>
      </w:r>
      <w:r>
        <w:t>abdominal</w:t>
      </w:r>
      <w:r w:rsidRPr="001A5C1A">
        <w:t xml:space="preserve"> fat thickness in </w:t>
      </w:r>
      <w:r>
        <w:t xml:space="preserve">the </w:t>
      </w:r>
      <w:r w:rsidRPr="001A5C1A">
        <w:t>STRIP</w:t>
      </w:r>
      <w:r w:rsidRPr="005B1E75">
        <w:t>.</w:t>
      </w:r>
      <w:r w:rsidRPr="001A5C1A">
        <w:t xml:space="preserve"> </w:t>
      </w:r>
      <w:r>
        <w:t>In the YFS, s</w:t>
      </w:r>
      <w:r w:rsidRPr="001A5C1A">
        <w:t>kinfold thickness</w:t>
      </w:r>
      <w:r>
        <w:t xml:space="preserve"> </w:t>
      </w:r>
      <w:r w:rsidRPr="005B1E75">
        <w:t>was measured from</w:t>
      </w:r>
      <w:r w:rsidRPr="001A5C1A">
        <w:t xml:space="preserve"> triceps, biceps and subscapularis using </w:t>
      </w:r>
      <w:proofErr w:type="spellStart"/>
      <w:r w:rsidRPr="003D2CB9">
        <w:t>Harpenden</w:t>
      </w:r>
      <w:proofErr w:type="spellEnd"/>
      <w:r w:rsidRPr="003D2CB9">
        <w:t xml:space="preserve"> calipers (</w:t>
      </w:r>
      <w:proofErr w:type="spellStart"/>
      <w:r w:rsidRPr="003D2CB9">
        <w:t>Holtain</w:t>
      </w:r>
      <w:proofErr w:type="spellEnd"/>
      <w:r w:rsidRPr="003D2CB9">
        <w:t xml:space="preserve"> and Bull-British Indicators in</w:t>
      </w:r>
      <w:r>
        <w:t xml:space="preserve">struments) to 0.2-mm readings </w:t>
      </w:r>
      <w:r w:rsidRPr="001A5C1A">
        <w:t xml:space="preserve">in </w:t>
      </w:r>
      <w:r w:rsidRPr="005B1E75">
        <w:t xml:space="preserve">the </w:t>
      </w:r>
      <w:r w:rsidRPr="001A5C1A">
        <w:t xml:space="preserve">YFS </w:t>
      </w:r>
      <w:r w:rsidRPr="005B1E75">
        <w:t xml:space="preserve">follow-up </w:t>
      </w:r>
      <w:r>
        <w:t>visits</w:t>
      </w:r>
      <w:r w:rsidRPr="005B1E75">
        <w:t xml:space="preserve"> in </w:t>
      </w:r>
      <w:r>
        <w:t xml:space="preserve">1980, </w:t>
      </w:r>
      <w:r w:rsidRPr="00523254">
        <w:t>1983, and 1986 (participants aged 3–24 years</w:t>
      </w:r>
      <w:r w:rsidRPr="001A5C1A">
        <w:t xml:space="preserve">). </w:t>
      </w:r>
      <w:r>
        <w:t>In the STRIP, abdominal fat</w:t>
      </w:r>
      <w:r w:rsidRPr="001A5C1A">
        <w:t xml:space="preserve"> </w:t>
      </w:r>
      <w:r>
        <w:t xml:space="preserve">thickness was </w:t>
      </w:r>
      <w:r w:rsidRPr="005B1E75">
        <w:t xml:space="preserve">measured </w:t>
      </w:r>
      <w:r>
        <w:t xml:space="preserve">from ultrasound images as the sum of subcutaneous and pre-peritoneal fat thicknesses at xiphoid process and navel along the </w:t>
      </w:r>
      <w:proofErr w:type="spellStart"/>
      <w:r>
        <w:t>linea</w:t>
      </w:r>
      <w:proofErr w:type="spellEnd"/>
      <w:r>
        <w:t xml:space="preserve"> alba</w:t>
      </w:r>
      <w:r w:rsidR="008B283F">
        <w:fldChar w:fldCharType="begin"/>
      </w:r>
      <w:r w:rsidR="008B283F">
        <w:instrText>ADDIN RW.CITE{{292 Suzuki,R. 1993}}</w:instrText>
      </w:r>
      <w:r w:rsidR="008B283F">
        <w:fldChar w:fldCharType="separate"/>
      </w:r>
      <w:r w:rsidR="008B283F" w:rsidRPr="008B283F">
        <w:rPr>
          <w:rFonts w:cs="Times New Roman"/>
          <w:bCs/>
          <w:vertAlign w:val="superscript"/>
        </w:rPr>
        <w:t>1</w:t>
      </w:r>
      <w:r w:rsidR="008B283F">
        <w:fldChar w:fldCharType="end"/>
      </w:r>
      <w:r>
        <w:t xml:space="preserve">. The measurement for abdominal fat thickness was biennial from the year 2002 </w:t>
      </w:r>
      <w:r w:rsidRPr="005B1E75">
        <w:t>(participants aged</w:t>
      </w:r>
      <w:r w:rsidRPr="001A5C1A">
        <w:t xml:space="preserve"> 13, 15, 17 and 19 years</w:t>
      </w:r>
      <w:r w:rsidRPr="005B1E75">
        <w:t>)</w:t>
      </w:r>
      <w:r>
        <w:t xml:space="preserve">. </w:t>
      </w:r>
    </w:p>
    <w:p w14:paraId="7E766395" w14:textId="77777777" w:rsidR="008E6D2E" w:rsidRPr="001A5C1A" w:rsidRDefault="008E6D2E" w:rsidP="008E6D2E">
      <w:pPr>
        <w:spacing w:after="0"/>
        <w:rPr>
          <w:rFonts w:cs="Times New Roman"/>
          <w:b/>
          <w:i/>
          <w:szCs w:val="24"/>
        </w:rPr>
      </w:pPr>
      <w:r w:rsidRPr="001A5C1A">
        <w:rPr>
          <w:rFonts w:cs="Times New Roman"/>
          <w:b/>
          <w:i/>
          <w:szCs w:val="24"/>
        </w:rPr>
        <w:t>Covariates</w:t>
      </w:r>
    </w:p>
    <w:p w14:paraId="1ED73B00" w14:textId="77777777" w:rsidR="008E6D2E" w:rsidRDefault="008E6D2E" w:rsidP="008B283F">
      <w:r>
        <w:t>I</w:t>
      </w:r>
      <w:r w:rsidRPr="001A5C1A">
        <w:t>n both studies</w:t>
      </w:r>
      <w:r>
        <w:t xml:space="preserve">, information on participant’s parents’ as well as participant’s own </w:t>
      </w:r>
      <w:r w:rsidRPr="001A5C1A">
        <w:t>educational level</w:t>
      </w:r>
      <w:r w:rsidRPr="00D657E5" w:rsidDel="00746F33">
        <w:rPr>
          <w:i/>
        </w:rPr>
        <w:t xml:space="preserve"> </w:t>
      </w:r>
      <w:r w:rsidRPr="001A5C1A">
        <w:t>w</w:t>
      </w:r>
      <w:r>
        <w:t>as</w:t>
      </w:r>
      <w:r w:rsidRPr="001A5C1A">
        <w:t xml:space="preserve"> queried </w:t>
      </w:r>
      <w:r>
        <w:t>and used as an indicator or socioeconomic status (SES) in the present study. Information on e</w:t>
      </w:r>
      <w:r w:rsidRPr="001A5C1A">
        <w:t>ducation</w:t>
      </w:r>
      <w:r>
        <w:t>al level</w:t>
      </w:r>
      <w:r w:rsidRPr="001A5C1A">
        <w:t xml:space="preserve"> was categorized into: 1) comprehensive school, 2) secondary or non-academic education, and 3) academic education. In </w:t>
      </w:r>
      <w:r>
        <w:t xml:space="preserve">the </w:t>
      </w:r>
      <w:r w:rsidRPr="001A5C1A">
        <w:t xml:space="preserve">YFS, </w:t>
      </w:r>
      <w:r>
        <w:t>information on educational level</w:t>
      </w:r>
      <w:r w:rsidRPr="001A5C1A">
        <w:t xml:space="preserve"> was queried in the follow-up studies in </w:t>
      </w:r>
      <w:r w:rsidRPr="003E732A">
        <w:t>1983, 1986, 1989 and 1992 (participants aged 6–30 years)</w:t>
      </w:r>
      <w:r>
        <w:t xml:space="preserve"> from both parents and the highest educational level (either </w:t>
      </w:r>
      <w:r>
        <w:lastRenderedPageBreak/>
        <w:t>from the mother or the father) was selected to represent the family SES. In the case of missing information from either of the parents, the one obtained was used. Participant’s o</w:t>
      </w:r>
      <w:r w:rsidRPr="001A5C1A">
        <w:t xml:space="preserve">wn </w:t>
      </w:r>
      <w:r>
        <w:t>educational level</w:t>
      </w:r>
      <w:r w:rsidRPr="001A5C1A">
        <w:t xml:space="preserve"> was queried in the follow-up studies in 2001, 2007 and 2011</w:t>
      </w:r>
      <w:r>
        <w:t xml:space="preserve"> (participants</w:t>
      </w:r>
      <w:r w:rsidRPr="001A5C1A">
        <w:t xml:space="preserve"> age</w:t>
      </w:r>
      <w:r>
        <w:t>d</w:t>
      </w:r>
      <w:r w:rsidRPr="001A5C1A">
        <w:t xml:space="preserve"> 24</w:t>
      </w:r>
      <w:r>
        <w:t>–49</w:t>
      </w:r>
      <w:r w:rsidRPr="001A5C1A">
        <w:t xml:space="preserve"> years</w:t>
      </w:r>
      <w:r>
        <w:t xml:space="preserve">), and the most recent information </w:t>
      </w:r>
      <w:r w:rsidRPr="001A5C1A">
        <w:t xml:space="preserve">was used. In </w:t>
      </w:r>
      <w:r>
        <w:t xml:space="preserve">the </w:t>
      </w:r>
      <w:r w:rsidRPr="001A5C1A">
        <w:t xml:space="preserve">STRIP, </w:t>
      </w:r>
      <w:r>
        <w:t xml:space="preserve">participant’s childhood family </w:t>
      </w:r>
      <w:r w:rsidRPr="001A5C1A">
        <w:t xml:space="preserve">SES was </w:t>
      </w:r>
      <w:r>
        <w:t>defined using the information on parental educational level queried at the study visits</w:t>
      </w:r>
      <w:r w:rsidRPr="001A5C1A">
        <w:t xml:space="preserve"> when the child was aged 1, 5 and 9 years (the follow-up studies in 1990–1991, 1995–1996 and 1998–1999)</w:t>
      </w:r>
      <w:r>
        <w:t xml:space="preserve"> and categorized similarly to the YFS data. Again,</w:t>
      </w:r>
      <w:r w:rsidRPr="001A5C1A">
        <w:t xml:space="preserve"> the highest education</w:t>
      </w:r>
      <w:r>
        <w:t>al level either from mother or father was used, and</w:t>
      </w:r>
      <w:r w:rsidRPr="001A5C1A">
        <w:t xml:space="preserve"> the </w:t>
      </w:r>
      <w:r>
        <w:t>most recent</w:t>
      </w:r>
      <w:r w:rsidRPr="001A5C1A">
        <w:t xml:space="preserve"> available parental education information was </w:t>
      </w:r>
      <w:r>
        <w:t>considered</w:t>
      </w:r>
      <w:r w:rsidRPr="001A5C1A">
        <w:t>.</w:t>
      </w:r>
      <w:r w:rsidRPr="00746F33">
        <w:t xml:space="preserve"> </w:t>
      </w:r>
      <w:r>
        <w:t xml:space="preserve">In the statistical analyses for the YFS data, parental educational level was used as an indicator of family SES until the participant’s age of 24 years, and the participant’s own educational level thereafter, while in the analyses for the STRIP data, parental educational level was used. </w:t>
      </w:r>
    </w:p>
    <w:p w14:paraId="41FF29D2" w14:textId="77777777" w:rsidR="008E6D2E" w:rsidRPr="001A5C1A" w:rsidRDefault="008E6D2E" w:rsidP="008B283F">
      <w:r w:rsidRPr="001A5C1A">
        <w:t xml:space="preserve">Participants’ </w:t>
      </w:r>
      <w:r w:rsidRPr="00B37FB6">
        <w:rPr>
          <w:i/>
        </w:rPr>
        <w:t>own smoking</w:t>
      </w:r>
      <w:r w:rsidRPr="001A5C1A">
        <w:t xml:space="preserve"> habit (</w:t>
      </w:r>
      <w:r>
        <w:t xml:space="preserve">i.e. </w:t>
      </w:r>
      <w:r w:rsidRPr="001A5C1A">
        <w:t>ever</w:t>
      </w:r>
      <w:r>
        <w:t xml:space="preserve"> daily </w:t>
      </w:r>
      <w:r w:rsidRPr="001A5C1A">
        <w:t>smok</w:t>
      </w:r>
      <w:r>
        <w:t>ing</w:t>
      </w:r>
      <w:r w:rsidRPr="001A5C1A">
        <w:t xml:space="preserve">) was assessed with a questionnaire in all follow-up studies </w:t>
      </w:r>
      <w:r>
        <w:t>from the age 12</w:t>
      </w:r>
      <w:r w:rsidRPr="001A5C1A">
        <w:t xml:space="preserve"> </w:t>
      </w:r>
      <w:r>
        <w:t xml:space="preserve">years </w:t>
      </w:r>
      <w:r w:rsidRPr="001A5C1A">
        <w:t xml:space="preserve">in </w:t>
      </w:r>
      <w:r>
        <w:t xml:space="preserve">the </w:t>
      </w:r>
      <w:r w:rsidRPr="001A5C1A">
        <w:t xml:space="preserve">YFS, and </w:t>
      </w:r>
      <w:r>
        <w:t>from the</w:t>
      </w:r>
      <w:r w:rsidRPr="001A5C1A">
        <w:t xml:space="preserve"> age 10 years in </w:t>
      </w:r>
      <w:r>
        <w:t xml:space="preserve">the </w:t>
      </w:r>
      <w:r w:rsidRPr="001A5C1A">
        <w:t xml:space="preserve">STRIP. </w:t>
      </w:r>
      <w:r>
        <w:t xml:space="preserve">The participants who reported ever smoking in any of the follow-up visits were considered as smokers. Participant’s </w:t>
      </w:r>
      <w:r>
        <w:rPr>
          <w:i/>
        </w:rPr>
        <w:t>b</w:t>
      </w:r>
      <w:r w:rsidRPr="00B37FB6">
        <w:rPr>
          <w:i/>
        </w:rPr>
        <w:t xml:space="preserve">irth </w:t>
      </w:r>
      <w:r w:rsidRPr="003F71AC">
        <w:rPr>
          <w:i/>
        </w:rPr>
        <w:t>weight</w:t>
      </w:r>
      <w:r w:rsidRPr="001A5C1A">
        <w:t xml:space="preserve"> w</w:t>
      </w:r>
      <w:r>
        <w:t>as</w:t>
      </w:r>
      <w:r w:rsidRPr="001A5C1A">
        <w:t xml:space="preserve"> queried from the parents in </w:t>
      </w:r>
      <w:r>
        <w:t xml:space="preserve">the </w:t>
      </w:r>
      <w:r w:rsidRPr="001A5C1A">
        <w:t xml:space="preserve">YFS and collected from the delivery hospital and well-baby </w:t>
      </w:r>
      <w:r>
        <w:t>cl</w:t>
      </w:r>
      <w:r w:rsidRPr="001A5C1A">
        <w:t xml:space="preserve">inic records in </w:t>
      </w:r>
      <w:r>
        <w:t xml:space="preserve">the </w:t>
      </w:r>
      <w:r w:rsidRPr="001A5C1A">
        <w:t>STRIP</w:t>
      </w:r>
      <w:r>
        <w:t>.</w:t>
      </w:r>
      <w:r w:rsidRPr="001A5C1A">
        <w:t xml:space="preserve"> </w:t>
      </w:r>
      <w:r>
        <w:t>Data on</w:t>
      </w:r>
      <w:r w:rsidRPr="001A5C1A">
        <w:t xml:space="preserve"> </w:t>
      </w:r>
      <w:r w:rsidRPr="00E112C0">
        <w:rPr>
          <w:i/>
        </w:rPr>
        <w:t>maternal</w:t>
      </w:r>
      <w:r>
        <w:rPr>
          <w:i/>
        </w:rPr>
        <w:t xml:space="preserve"> and paternal</w:t>
      </w:r>
      <w:r w:rsidRPr="00E112C0">
        <w:rPr>
          <w:i/>
        </w:rPr>
        <w:t xml:space="preserve"> smoking</w:t>
      </w:r>
      <w:r w:rsidRPr="001A5C1A">
        <w:t xml:space="preserve"> status prior to or during pregnancy</w:t>
      </w:r>
      <w:r>
        <w:t xml:space="preserve"> was drawn from </w:t>
      </w:r>
      <w:r w:rsidRPr="001A5C1A">
        <w:t xml:space="preserve">the delivery hospital and well-baby </w:t>
      </w:r>
      <w:r>
        <w:t>cl</w:t>
      </w:r>
      <w:r w:rsidRPr="001A5C1A">
        <w:t xml:space="preserve">inic records in </w:t>
      </w:r>
      <w:r>
        <w:t xml:space="preserve">the </w:t>
      </w:r>
      <w:r w:rsidRPr="001A5C1A">
        <w:t xml:space="preserve">STRIP. </w:t>
      </w:r>
      <w:r>
        <w:t>I</w:t>
      </w:r>
      <w:r w:rsidRPr="001A5C1A">
        <w:t>n both studies</w:t>
      </w:r>
      <w:r>
        <w:t>,</w:t>
      </w:r>
      <w:r w:rsidRPr="001A5C1A">
        <w:t xml:space="preserve"> mother’s and father’s age at the time of the participant’s birth was queried at the baseline</w:t>
      </w:r>
      <w:r>
        <w:t xml:space="preserve"> study</w:t>
      </w:r>
      <w:r w:rsidRPr="001A5C1A">
        <w:t>.</w:t>
      </w:r>
    </w:p>
    <w:p w14:paraId="559539F2" w14:textId="77777777" w:rsidR="008E6D2E" w:rsidRDefault="008E6D2E" w:rsidP="008B283F">
      <w:pPr>
        <w:rPr>
          <w:highlight w:val="yellow"/>
        </w:rPr>
      </w:pPr>
      <w:r w:rsidRPr="001A5C1A">
        <w:t xml:space="preserve">In </w:t>
      </w:r>
      <w:r>
        <w:t xml:space="preserve">the </w:t>
      </w:r>
      <w:r w:rsidRPr="001A5C1A">
        <w:t xml:space="preserve">YFS, </w:t>
      </w:r>
      <w:r w:rsidRPr="006B2FB8">
        <w:rPr>
          <w:i/>
        </w:rPr>
        <w:t>dietary intake</w:t>
      </w:r>
      <w:r w:rsidRPr="006B2FB8">
        <w:t xml:space="preserve"> was assessed using 4</w:t>
      </w:r>
      <w:r>
        <w:t>8</w:t>
      </w:r>
      <w:r w:rsidRPr="006B2FB8">
        <w:t xml:space="preserve"> h dietary recall in the follow-up </w:t>
      </w:r>
      <w:r>
        <w:t>visits</w:t>
      </w:r>
      <w:r w:rsidRPr="006B2FB8">
        <w:t xml:space="preserve"> 1980, 1983, 1986, 1989 and 2001 (participants aged 3–39 years) whereas food frequency questionnaire in the follow-up </w:t>
      </w:r>
      <w:r>
        <w:t>visits</w:t>
      </w:r>
      <w:r w:rsidRPr="006B2FB8">
        <w:t xml:space="preserve"> in 2007 and 2011 (participants aged 30–49 years). </w:t>
      </w:r>
      <w:r>
        <w:t>A</w:t>
      </w:r>
      <w:r w:rsidRPr="006B2FB8">
        <w:t xml:space="preserve"> dietary intake</w:t>
      </w:r>
      <w:r>
        <w:t xml:space="preserve"> index</w:t>
      </w:r>
      <w:r w:rsidRPr="006B2FB8">
        <w:t xml:space="preserve"> was defined based on three </w:t>
      </w:r>
      <w:r>
        <w:t>longitudinally available food groups:</w:t>
      </w:r>
      <w:r w:rsidRPr="006B2FB8">
        <w:t xml:space="preserve"> </w:t>
      </w:r>
      <w:r>
        <w:t xml:space="preserve">1) </w:t>
      </w:r>
      <w:r w:rsidRPr="006B2FB8">
        <w:lastRenderedPageBreak/>
        <w:t>vegetables</w:t>
      </w:r>
      <w:r>
        <w:t xml:space="preserve">, </w:t>
      </w:r>
      <w:r w:rsidRPr="006B2FB8">
        <w:t xml:space="preserve">fruit and berries, </w:t>
      </w:r>
      <w:r>
        <w:t xml:space="preserve">2) </w:t>
      </w:r>
      <w:r w:rsidRPr="006B2FB8">
        <w:t xml:space="preserve">fish and </w:t>
      </w:r>
      <w:r>
        <w:t xml:space="preserve">3) </w:t>
      </w:r>
      <w:r w:rsidRPr="006B2FB8">
        <w:t>sugared beverages</w:t>
      </w:r>
      <w:r>
        <w:t>.</w:t>
      </w:r>
      <w:r w:rsidRPr="006B2FB8">
        <w:t xml:space="preserve"> </w:t>
      </w:r>
      <w:r>
        <w:t xml:space="preserve">The intake of vegetables, fruit and berries at least once a day, fish more than once a week and sugared beverages twice or less a week yielded one point each. The index was calculated summarizing the three food groups (range 0–3). </w:t>
      </w:r>
    </w:p>
    <w:p w14:paraId="2E53DC55" w14:textId="233A8EC9" w:rsidR="008E6D2E" w:rsidRDefault="008E6D2E" w:rsidP="008B283F">
      <w:r w:rsidRPr="001A5C1A">
        <w:t xml:space="preserve">In </w:t>
      </w:r>
      <w:r>
        <w:t xml:space="preserve">the </w:t>
      </w:r>
      <w:r w:rsidRPr="001A5C1A">
        <w:t xml:space="preserve">STRIP, dietary intake was assessed annually at each study visits </w:t>
      </w:r>
      <w:r>
        <w:t>(at the age of 8 and 13 months, and between 2 and 20 years) using</w:t>
      </w:r>
      <w:r w:rsidRPr="001A5C1A">
        <w:t xml:space="preserve"> a food record</w:t>
      </w:r>
      <w:r>
        <w:t>. D</w:t>
      </w:r>
      <w:r w:rsidRPr="001A5C1A">
        <w:t xml:space="preserve">iet score was defined </w:t>
      </w:r>
      <w:r>
        <w:t>based on intakes of 11 food groups.</w:t>
      </w:r>
      <w:r w:rsidR="008B283F">
        <w:fldChar w:fldCharType="begin"/>
      </w:r>
      <w:r w:rsidR="008B283F">
        <w:instrText>ADDIN RW.CITE{{265 Matthews,L.A. 2018}}</w:instrText>
      </w:r>
      <w:r w:rsidR="008B283F">
        <w:fldChar w:fldCharType="separate"/>
      </w:r>
      <w:r w:rsidR="008B283F" w:rsidRPr="008B283F">
        <w:rPr>
          <w:rFonts w:cs="Times New Roman"/>
          <w:bCs/>
          <w:vertAlign w:val="superscript"/>
        </w:rPr>
        <w:t>2</w:t>
      </w:r>
      <w:r w:rsidR="008B283F">
        <w:fldChar w:fldCharType="end"/>
      </w:r>
      <w:r>
        <w:t xml:space="preserve"> F</w:t>
      </w:r>
      <w:r w:rsidRPr="001A5C1A">
        <w:t>iber-rich grains, fish, fruits and berries, vegetable</w:t>
      </w:r>
      <w:r>
        <w:t xml:space="preserve">s, nuts and seeds, </w:t>
      </w:r>
      <w:r w:rsidRPr="001A5C1A">
        <w:t xml:space="preserve">low-fat unsweetened dairy products and vegetable-oil based fats </w:t>
      </w:r>
      <w:r>
        <w:t xml:space="preserve">were designated as </w:t>
      </w:r>
      <w:r w:rsidRPr="001A5C1A">
        <w:t>favorable food</w:t>
      </w:r>
      <w:r>
        <w:t xml:space="preserve">s, whereas </w:t>
      </w:r>
      <w:r w:rsidRPr="001A5C1A">
        <w:t>red and processed meat, desserts, sugared beverages and salty snacks</w:t>
      </w:r>
      <w:r>
        <w:t xml:space="preserve"> were designated as unfavorable foods</w:t>
      </w:r>
      <w:r w:rsidRPr="001A5C1A">
        <w:t xml:space="preserve">. </w:t>
      </w:r>
      <w:r>
        <w:t>Intake of each</w:t>
      </w:r>
      <w:r w:rsidRPr="001A5C1A">
        <w:t xml:space="preserve"> food group </w:t>
      </w:r>
      <w:r>
        <w:t xml:space="preserve">(as grams/ day) </w:t>
      </w:r>
      <w:r w:rsidRPr="001A5C1A">
        <w:t xml:space="preserve">were categorized into quartiles and </w:t>
      </w:r>
      <w:r>
        <w:t xml:space="preserve">assigned ascending values (0, 1, 2, </w:t>
      </w:r>
      <w:proofErr w:type="gramStart"/>
      <w:r>
        <w:t>3</w:t>
      </w:r>
      <w:proofErr w:type="gramEnd"/>
      <w:r>
        <w:t>) for favorable foods and descending values (3, 2, 1, 0) for unfavorable foods. These values were summed to generate the diet score (</w:t>
      </w:r>
      <w:r w:rsidRPr="001A5C1A">
        <w:t>rang</w:t>
      </w:r>
      <w:r>
        <w:t>e,</w:t>
      </w:r>
      <w:r w:rsidRPr="001A5C1A">
        <w:t xml:space="preserve"> 0–33 </w:t>
      </w:r>
      <w:r w:rsidRPr="006B2FB8">
        <w:t>points</w:t>
      </w:r>
      <w:r>
        <w:t>),</w:t>
      </w:r>
      <w:r w:rsidRPr="006B2FB8">
        <w:rPr>
          <w:color w:val="000000"/>
        </w:rPr>
        <w:t xml:space="preserve"> with higher scores representing healthier diet. </w:t>
      </w:r>
      <w:r>
        <w:rPr>
          <w:color w:val="000000"/>
        </w:rPr>
        <w:t>The diet score was used as a covariate longitudinally in the analysis.</w:t>
      </w:r>
    </w:p>
    <w:p w14:paraId="2C606580" w14:textId="6AB56195" w:rsidR="008E6D2E" w:rsidRDefault="008E6D2E" w:rsidP="008B283F">
      <w:r w:rsidRPr="00E112C0">
        <w:rPr>
          <w:i/>
        </w:rPr>
        <w:t xml:space="preserve">Physical activity </w:t>
      </w:r>
      <w:r w:rsidRPr="007F3005">
        <w:t>was assessed through a self-administered questionnaire in all</w:t>
      </w:r>
      <w:r>
        <w:t xml:space="preserve"> study visits from year </w:t>
      </w:r>
      <w:r w:rsidRPr="007F43CF">
        <w:t>1980</w:t>
      </w:r>
      <w:r>
        <w:t xml:space="preserve"> and from the age of 9 years in </w:t>
      </w:r>
      <w:r w:rsidR="00734FE6">
        <w:t xml:space="preserve">the </w:t>
      </w:r>
      <w:r>
        <w:t xml:space="preserve">YFS </w:t>
      </w:r>
      <w:r w:rsidRPr="001A5C1A">
        <w:t xml:space="preserve">and </w:t>
      </w:r>
      <w:r>
        <w:t xml:space="preserve">biennially </w:t>
      </w:r>
      <w:r w:rsidRPr="001A5C1A">
        <w:t>at the age of 13, 15, 17 and 19 years (</w:t>
      </w:r>
      <w:r>
        <w:t xml:space="preserve">from the </w:t>
      </w:r>
      <w:r w:rsidRPr="001A5C1A">
        <w:t>study visits in 2002)</w:t>
      </w:r>
      <w:r>
        <w:t xml:space="preserve"> </w:t>
      </w:r>
      <w:r w:rsidRPr="001A5C1A">
        <w:t xml:space="preserve">in </w:t>
      </w:r>
      <w:r w:rsidR="00734FE6">
        <w:t xml:space="preserve">the </w:t>
      </w:r>
      <w:r w:rsidRPr="001A5C1A">
        <w:t xml:space="preserve">STRIP. </w:t>
      </w:r>
      <w:r>
        <w:t xml:space="preserve">Physical activity index was defined in </w:t>
      </w:r>
      <w:r w:rsidR="00734FE6">
        <w:t xml:space="preserve">the </w:t>
      </w:r>
      <w:r>
        <w:t>YFS</w:t>
      </w:r>
      <w:r w:rsidR="008B283F">
        <w:fldChar w:fldCharType="begin"/>
      </w:r>
      <w:r w:rsidR="008B283F">
        <w:instrText>ADDIN RW.CITE{{295 Telama,R. 1985}}</w:instrText>
      </w:r>
      <w:r w:rsidR="008B283F">
        <w:fldChar w:fldCharType="separate"/>
      </w:r>
      <w:r w:rsidR="008B283F" w:rsidRPr="008B283F">
        <w:rPr>
          <w:rFonts w:cs="Times New Roman"/>
          <w:bCs/>
          <w:vertAlign w:val="superscript"/>
        </w:rPr>
        <w:t>3</w:t>
      </w:r>
      <w:r w:rsidR="008B283F">
        <w:fldChar w:fldCharType="end"/>
      </w:r>
      <w:r>
        <w:t xml:space="preserve"> and the index was used as covariate longitudinally in the analysis. In STRIP, to describe physical activity level, metabolic equivalent rate (MET) index was calculated by multiplying the frequency, mean duration in minutes, and mean intensity of weekly leisure-time physical activity as described previously.</w:t>
      </w:r>
      <w:r w:rsidR="008B283F">
        <w:fldChar w:fldCharType="begin"/>
      </w:r>
      <w:r w:rsidR="008B283F">
        <w:instrText>ADDIN RW.CITE{{290 Raitakari,O.T. 1996}}</w:instrText>
      </w:r>
      <w:r w:rsidR="008B283F">
        <w:fldChar w:fldCharType="separate"/>
      </w:r>
      <w:r w:rsidR="008B283F" w:rsidRPr="008B283F">
        <w:rPr>
          <w:rFonts w:cs="Times New Roman"/>
          <w:bCs/>
          <w:vertAlign w:val="superscript"/>
        </w:rPr>
        <w:t>4</w:t>
      </w:r>
      <w:r w:rsidR="008B283F">
        <w:fldChar w:fldCharType="end"/>
      </w:r>
      <w:r>
        <w:t xml:space="preserve"> The index indicates the multiple of the resting metabolic rate (MET; h/</w:t>
      </w:r>
      <w:proofErr w:type="spellStart"/>
      <w:r>
        <w:t>wk</w:t>
      </w:r>
      <w:proofErr w:type="spellEnd"/>
      <w:r>
        <w:t xml:space="preserve">) and was used longitudinally as a covariate. </w:t>
      </w:r>
    </w:p>
    <w:p w14:paraId="74762006" w14:textId="77777777" w:rsidR="00DC7FF3" w:rsidRDefault="00DC7FF3" w:rsidP="008E6D2E">
      <w:pPr>
        <w:tabs>
          <w:tab w:val="left" w:pos="5103"/>
        </w:tabs>
        <w:spacing w:after="0"/>
        <w:rPr>
          <w:rFonts w:cs="Times New Roman"/>
          <w:b/>
          <w:szCs w:val="24"/>
        </w:rPr>
      </w:pPr>
    </w:p>
    <w:p w14:paraId="09663431" w14:textId="25051E65" w:rsidR="008B283F" w:rsidRPr="001A5C1A" w:rsidRDefault="008B283F" w:rsidP="008E6D2E">
      <w:pPr>
        <w:tabs>
          <w:tab w:val="left" w:pos="5103"/>
        </w:tabs>
        <w:spacing w:after="0"/>
        <w:rPr>
          <w:rFonts w:cs="Times New Roman"/>
          <w:b/>
          <w:szCs w:val="24"/>
        </w:rPr>
      </w:pPr>
      <w:r>
        <w:rPr>
          <w:rFonts w:cs="Times New Roman"/>
          <w:b/>
          <w:szCs w:val="24"/>
        </w:rPr>
        <w:lastRenderedPageBreak/>
        <w:t>References</w:t>
      </w:r>
    </w:p>
    <w:p w14:paraId="04CA90AD" w14:textId="379EF5D4" w:rsidR="007955E7" w:rsidRPr="007955E7" w:rsidRDefault="008B283F" w:rsidP="007955E7">
      <w:pPr>
        <w:pStyle w:val="NormalWeb"/>
        <w:spacing w:line="480" w:lineRule="auto"/>
        <w:rPr>
          <w:lang w:val="en-US"/>
        </w:rPr>
      </w:pPr>
      <w:r>
        <w:fldChar w:fldCharType="begin"/>
      </w:r>
      <w:r w:rsidR="007955E7" w:rsidRPr="007955E7">
        <w:rPr>
          <w:lang w:val="en-US"/>
        </w:rPr>
        <w:instrText>ADDIN RW.BIB</w:instrText>
      </w:r>
      <w:r>
        <w:fldChar w:fldCharType="separate"/>
      </w:r>
      <w:r w:rsidR="007955E7" w:rsidRPr="007955E7">
        <w:rPr>
          <w:lang w:val="en-US"/>
        </w:rPr>
        <w:t xml:space="preserve">1. Suzuki R, Watanabe S, Hirai Y, et al. Abdominal wall fat index, estimated by ultrasonography, for assessment of the ratio of visceral fat to subcutaneous fat in the abdomen. </w:t>
      </w:r>
      <w:r w:rsidR="007955E7" w:rsidRPr="007955E7">
        <w:rPr>
          <w:i/>
          <w:iCs/>
          <w:lang w:val="en-US"/>
        </w:rPr>
        <w:t>Am J Med</w:t>
      </w:r>
      <w:r w:rsidR="007955E7" w:rsidRPr="007955E7">
        <w:rPr>
          <w:lang w:val="en-US"/>
        </w:rPr>
        <w:t>. 1993;95(3):309-314.</w:t>
      </w:r>
    </w:p>
    <w:p w14:paraId="6A1CE4EF" w14:textId="77777777" w:rsidR="007955E7" w:rsidRPr="007955E7" w:rsidRDefault="007955E7" w:rsidP="007955E7">
      <w:pPr>
        <w:pStyle w:val="NormalWeb"/>
        <w:spacing w:line="480" w:lineRule="auto"/>
      </w:pPr>
      <w:r w:rsidRPr="007955E7">
        <w:rPr>
          <w:lang w:val="en-US"/>
        </w:rPr>
        <w:t xml:space="preserve">2. Matthews LA, Rovio SP, Jaakkola JM, et al. Longitudinal effect of 20-year infancy-onset dietary intervention on food consumption and nutrient intake: The randomized controlled STRIP study. </w:t>
      </w:r>
      <w:r w:rsidRPr="007955E7">
        <w:rPr>
          <w:i/>
          <w:iCs/>
        </w:rPr>
        <w:t>Eur J Clin Nutr</w:t>
      </w:r>
      <w:r w:rsidRPr="007955E7">
        <w:t>. 2018.</w:t>
      </w:r>
    </w:p>
    <w:p w14:paraId="7187857B" w14:textId="684ADB1F" w:rsidR="007955E7" w:rsidRPr="007955E7" w:rsidRDefault="007955E7" w:rsidP="007955E7">
      <w:pPr>
        <w:pStyle w:val="NormalWeb"/>
        <w:spacing w:line="480" w:lineRule="auto"/>
        <w:rPr>
          <w:lang w:val="en-US"/>
        </w:rPr>
      </w:pPr>
      <w:r w:rsidRPr="007955E7">
        <w:t xml:space="preserve">3. Telama R, Viikari J, Valimaki I, et al. </w:t>
      </w:r>
      <w:r w:rsidR="00245626">
        <w:rPr>
          <w:lang w:val="en-US"/>
        </w:rPr>
        <w:t>Atherosclerosis precursors in F</w:t>
      </w:r>
      <w:r w:rsidRPr="007955E7">
        <w:rPr>
          <w:lang w:val="en-US"/>
        </w:rPr>
        <w:t xml:space="preserve">innish children and adolescents. X. leisure-time physical activity. </w:t>
      </w:r>
      <w:r w:rsidRPr="007955E7">
        <w:rPr>
          <w:i/>
          <w:iCs/>
          <w:lang w:val="en-US"/>
        </w:rPr>
        <w:t>Acta Paediatr Scand Suppl</w:t>
      </w:r>
      <w:r w:rsidRPr="007955E7">
        <w:rPr>
          <w:lang w:val="en-US"/>
        </w:rPr>
        <w:t>. 1985;318:169-180.</w:t>
      </w:r>
    </w:p>
    <w:p w14:paraId="7718A5A8" w14:textId="4F91BBFB" w:rsidR="007955E7" w:rsidRPr="00C56302" w:rsidRDefault="007955E7" w:rsidP="007955E7">
      <w:pPr>
        <w:pStyle w:val="NormalWeb"/>
        <w:spacing w:line="480" w:lineRule="auto"/>
        <w:rPr>
          <w:lang w:val="en-US"/>
        </w:rPr>
      </w:pPr>
      <w:r w:rsidRPr="00F5308E">
        <w:rPr>
          <w:lang w:val="en-US"/>
        </w:rPr>
        <w:t xml:space="preserve">4. Raitakari OT, Taimela S, Porkka KV, et al. </w:t>
      </w:r>
      <w:r w:rsidRPr="007955E7">
        <w:rPr>
          <w:lang w:val="en-US"/>
        </w:rPr>
        <w:t>Patterns of intense physical act</w:t>
      </w:r>
      <w:r w:rsidR="00C56302">
        <w:rPr>
          <w:lang w:val="en-US"/>
        </w:rPr>
        <w:t>ivity among 15- to 30-year-old F</w:t>
      </w:r>
      <w:r w:rsidRPr="007955E7">
        <w:rPr>
          <w:lang w:val="en-US"/>
        </w:rPr>
        <w:t>in</w:t>
      </w:r>
      <w:r w:rsidR="00C56302">
        <w:rPr>
          <w:lang w:val="en-US"/>
        </w:rPr>
        <w:t>ns. the cardiovascular risk in Young Finns S</w:t>
      </w:r>
      <w:r w:rsidRPr="007955E7">
        <w:rPr>
          <w:lang w:val="en-US"/>
        </w:rPr>
        <w:t xml:space="preserve">tudy. </w:t>
      </w:r>
      <w:r w:rsidRPr="00C56302">
        <w:rPr>
          <w:i/>
          <w:iCs/>
          <w:lang w:val="en-US"/>
        </w:rPr>
        <w:t>Scand J Med Sci Sports</w:t>
      </w:r>
      <w:r w:rsidRPr="00C56302">
        <w:rPr>
          <w:lang w:val="en-US"/>
        </w:rPr>
        <w:t>. 1996;6(1):36-39.</w:t>
      </w:r>
    </w:p>
    <w:p w14:paraId="0922B140" w14:textId="60903A06" w:rsidR="000F5133" w:rsidRDefault="007955E7" w:rsidP="007955E7">
      <w:r w:rsidRPr="007955E7">
        <w:rPr>
          <w:rFonts w:eastAsia="Times New Roman" w:cs="Times New Roman"/>
        </w:rPr>
        <w:t> </w:t>
      </w:r>
      <w:r w:rsidR="008B283F">
        <w:fldChar w:fldCharType="end"/>
      </w:r>
    </w:p>
    <w:sectPr w:rsidR="000F5133" w:rsidSect="00951083">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131078" w:nlCheck="1" w:checkStyle="0"/>
  <w:activeWritingStyle w:appName="MSWord" w:lang="en-US" w:vendorID="64" w:dllVersion="131078" w:nlCheck="1" w:checkStyle="1"/>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D2E"/>
    <w:rsid w:val="00045ABF"/>
    <w:rsid w:val="00057644"/>
    <w:rsid w:val="00070CBE"/>
    <w:rsid w:val="000A11DD"/>
    <w:rsid w:val="000A2A4B"/>
    <w:rsid w:val="000B6BD8"/>
    <w:rsid w:val="000C10D0"/>
    <w:rsid w:val="000F5133"/>
    <w:rsid w:val="00135D73"/>
    <w:rsid w:val="00226FCF"/>
    <w:rsid w:val="00245626"/>
    <w:rsid w:val="0028794E"/>
    <w:rsid w:val="003546B8"/>
    <w:rsid w:val="0036626B"/>
    <w:rsid w:val="0036698F"/>
    <w:rsid w:val="003A4689"/>
    <w:rsid w:val="003C7433"/>
    <w:rsid w:val="003F479E"/>
    <w:rsid w:val="00401AF7"/>
    <w:rsid w:val="00412DBE"/>
    <w:rsid w:val="0050109C"/>
    <w:rsid w:val="005A153A"/>
    <w:rsid w:val="005B362F"/>
    <w:rsid w:val="005F64DD"/>
    <w:rsid w:val="0067176C"/>
    <w:rsid w:val="00697FC3"/>
    <w:rsid w:val="0070375A"/>
    <w:rsid w:val="00725518"/>
    <w:rsid w:val="00734FE6"/>
    <w:rsid w:val="00776ED6"/>
    <w:rsid w:val="00793FFA"/>
    <w:rsid w:val="007955E7"/>
    <w:rsid w:val="007C26ED"/>
    <w:rsid w:val="007C74C0"/>
    <w:rsid w:val="0087548E"/>
    <w:rsid w:val="008945B7"/>
    <w:rsid w:val="008B283F"/>
    <w:rsid w:val="008E6D2E"/>
    <w:rsid w:val="008E7BC2"/>
    <w:rsid w:val="00924778"/>
    <w:rsid w:val="00925978"/>
    <w:rsid w:val="009408B4"/>
    <w:rsid w:val="00951083"/>
    <w:rsid w:val="009B5CEA"/>
    <w:rsid w:val="009B6472"/>
    <w:rsid w:val="009C1EF8"/>
    <w:rsid w:val="009E3E77"/>
    <w:rsid w:val="00AA332D"/>
    <w:rsid w:val="00AF1D88"/>
    <w:rsid w:val="00AF36C3"/>
    <w:rsid w:val="00B40DBD"/>
    <w:rsid w:val="00B532BF"/>
    <w:rsid w:val="00BD58F1"/>
    <w:rsid w:val="00BD7A69"/>
    <w:rsid w:val="00C115B0"/>
    <w:rsid w:val="00C13361"/>
    <w:rsid w:val="00C417AB"/>
    <w:rsid w:val="00C56302"/>
    <w:rsid w:val="00C74B37"/>
    <w:rsid w:val="00C8329E"/>
    <w:rsid w:val="00C85384"/>
    <w:rsid w:val="00D33F80"/>
    <w:rsid w:val="00D40DE5"/>
    <w:rsid w:val="00D70B42"/>
    <w:rsid w:val="00D76F26"/>
    <w:rsid w:val="00D943DA"/>
    <w:rsid w:val="00DB77B7"/>
    <w:rsid w:val="00DC7FF3"/>
    <w:rsid w:val="00E35F47"/>
    <w:rsid w:val="00E50A36"/>
    <w:rsid w:val="00E96811"/>
    <w:rsid w:val="00F23D30"/>
    <w:rsid w:val="00F3484C"/>
    <w:rsid w:val="00F5308E"/>
    <w:rsid w:val="00F550A6"/>
    <w:rsid w:val="00F55A50"/>
    <w:rsid w:val="00F60669"/>
    <w:rsid w:val="00F84487"/>
    <w:rsid w:val="00F95385"/>
    <w:rsid w:val="00FF4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FC10F"/>
  <w15:chartTrackingRefBased/>
  <w15:docId w15:val="{5770A388-311C-4CC3-8497-BD359DC16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D2E"/>
    <w:pPr>
      <w:spacing w:after="360"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58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58F1"/>
    <w:rPr>
      <w:rFonts w:ascii="Segoe UI" w:hAnsi="Segoe UI" w:cs="Segoe UI"/>
      <w:sz w:val="18"/>
      <w:szCs w:val="18"/>
    </w:rPr>
  </w:style>
  <w:style w:type="character" w:styleId="CommentReference">
    <w:name w:val="annotation reference"/>
    <w:basedOn w:val="DefaultParagraphFont"/>
    <w:uiPriority w:val="99"/>
    <w:semiHidden/>
    <w:unhideWhenUsed/>
    <w:rsid w:val="00BD58F1"/>
    <w:rPr>
      <w:sz w:val="16"/>
      <w:szCs w:val="16"/>
    </w:rPr>
  </w:style>
  <w:style w:type="paragraph" w:styleId="CommentText">
    <w:name w:val="annotation text"/>
    <w:basedOn w:val="Normal"/>
    <w:link w:val="CommentTextChar"/>
    <w:uiPriority w:val="99"/>
    <w:semiHidden/>
    <w:unhideWhenUsed/>
    <w:rsid w:val="00BD58F1"/>
    <w:pPr>
      <w:spacing w:line="240" w:lineRule="auto"/>
    </w:pPr>
    <w:rPr>
      <w:sz w:val="20"/>
      <w:szCs w:val="20"/>
    </w:rPr>
  </w:style>
  <w:style w:type="character" w:customStyle="1" w:styleId="CommentTextChar">
    <w:name w:val="Comment Text Char"/>
    <w:basedOn w:val="DefaultParagraphFont"/>
    <w:link w:val="CommentText"/>
    <w:uiPriority w:val="99"/>
    <w:semiHidden/>
    <w:rsid w:val="00BD58F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D58F1"/>
    <w:rPr>
      <w:b/>
      <w:bCs/>
    </w:rPr>
  </w:style>
  <w:style w:type="character" w:customStyle="1" w:styleId="CommentSubjectChar">
    <w:name w:val="Comment Subject Char"/>
    <w:basedOn w:val="CommentTextChar"/>
    <w:link w:val="CommentSubject"/>
    <w:uiPriority w:val="99"/>
    <w:semiHidden/>
    <w:rsid w:val="00BD58F1"/>
    <w:rPr>
      <w:rFonts w:ascii="Times New Roman" w:hAnsi="Times New Roman"/>
      <w:b/>
      <w:bCs/>
      <w:sz w:val="20"/>
      <w:szCs w:val="20"/>
    </w:rPr>
  </w:style>
  <w:style w:type="paragraph" w:styleId="NormalWeb">
    <w:name w:val="Normal (Web)"/>
    <w:basedOn w:val="Normal"/>
    <w:uiPriority w:val="99"/>
    <w:semiHidden/>
    <w:unhideWhenUsed/>
    <w:rsid w:val="008B283F"/>
    <w:pPr>
      <w:spacing w:before="100" w:beforeAutospacing="1" w:after="100" w:afterAutospacing="1" w:line="240" w:lineRule="auto"/>
    </w:pPr>
    <w:rPr>
      <w:rFonts w:eastAsiaTheme="minorEastAsia" w:cs="Times New Roman"/>
      <w:szCs w:val="24"/>
      <w:lang w:val="fi-FI"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405">
      <w:bodyDiv w:val="1"/>
      <w:marLeft w:val="0"/>
      <w:marRight w:val="0"/>
      <w:marTop w:val="0"/>
      <w:marBottom w:val="0"/>
      <w:divBdr>
        <w:top w:val="none" w:sz="0" w:space="0" w:color="auto"/>
        <w:left w:val="none" w:sz="0" w:space="0" w:color="auto"/>
        <w:bottom w:val="none" w:sz="0" w:space="0" w:color="auto"/>
        <w:right w:val="none" w:sz="0" w:space="0" w:color="auto"/>
      </w:divBdr>
    </w:div>
    <w:div w:id="991909511">
      <w:bodyDiv w:val="1"/>
      <w:marLeft w:val="0"/>
      <w:marRight w:val="0"/>
      <w:marTop w:val="0"/>
      <w:marBottom w:val="0"/>
      <w:divBdr>
        <w:top w:val="none" w:sz="0" w:space="0" w:color="auto"/>
        <w:left w:val="none" w:sz="0" w:space="0" w:color="auto"/>
        <w:bottom w:val="none" w:sz="0" w:space="0" w:color="auto"/>
        <w:right w:val="none" w:sz="0" w:space="0" w:color="auto"/>
      </w:divBdr>
    </w:div>
    <w:div w:id="1034572175">
      <w:bodyDiv w:val="1"/>
      <w:marLeft w:val="0"/>
      <w:marRight w:val="0"/>
      <w:marTop w:val="0"/>
      <w:marBottom w:val="0"/>
      <w:divBdr>
        <w:top w:val="none" w:sz="0" w:space="0" w:color="auto"/>
        <w:left w:val="none" w:sz="0" w:space="0" w:color="auto"/>
        <w:bottom w:val="none" w:sz="0" w:space="0" w:color="auto"/>
        <w:right w:val="none" w:sz="0" w:space="0" w:color="auto"/>
      </w:divBdr>
    </w:div>
    <w:div w:id="1106920470">
      <w:bodyDiv w:val="1"/>
      <w:marLeft w:val="0"/>
      <w:marRight w:val="0"/>
      <w:marTop w:val="0"/>
      <w:marBottom w:val="0"/>
      <w:divBdr>
        <w:top w:val="none" w:sz="0" w:space="0" w:color="auto"/>
        <w:left w:val="none" w:sz="0" w:space="0" w:color="auto"/>
        <w:bottom w:val="none" w:sz="0" w:space="0" w:color="auto"/>
        <w:right w:val="none" w:sz="0" w:space="0" w:color="auto"/>
      </w:divBdr>
    </w:div>
    <w:div w:id="1503542757">
      <w:bodyDiv w:val="1"/>
      <w:marLeft w:val="0"/>
      <w:marRight w:val="0"/>
      <w:marTop w:val="0"/>
      <w:marBottom w:val="0"/>
      <w:divBdr>
        <w:top w:val="none" w:sz="0" w:space="0" w:color="auto"/>
        <w:left w:val="none" w:sz="0" w:space="0" w:color="auto"/>
        <w:bottom w:val="none" w:sz="0" w:space="0" w:color="auto"/>
        <w:right w:val="none" w:sz="0" w:space="0" w:color="auto"/>
      </w:divBdr>
    </w:div>
    <w:div w:id="1870995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BA252-9BBF-4F92-A175-E3D5436C5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710</Words>
  <Characters>5757</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Turku</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Jaakkola</dc:creator>
  <cp:keywords/>
  <dc:description/>
  <cp:lastModifiedBy>Johanna Jaakkola</cp:lastModifiedBy>
  <cp:revision>4</cp:revision>
  <cp:lastPrinted>2019-11-12T12:16:00Z</cp:lastPrinted>
  <dcterms:created xsi:type="dcterms:W3CDTF">2020-03-30T10:32:00Z</dcterms:created>
  <dcterms:modified xsi:type="dcterms:W3CDTF">2020-10-10T18:08:00Z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3054</vt:lpwstr>
  </property>
  <property fmtid="{D5CDD505-2E9C-101B-9397-08002B2CF9AE}" pid="3" name="WnCSubscriberId">
    <vt:lpwstr>1606</vt:lpwstr>
  </property>
  <property fmtid="{D5CDD505-2E9C-101B-9397-08002B2CF9AE}" pid="4" name="WnCOutputStyleId">
    <vt:lpwstr>1004</vt:lpwstr>
  </property>
  <property fmtid="{D5CDD505-2E9C-101B-9397-08002B2CF9AE}" pid="5" name="RWProductId">
    <vt:lpwstr>WnC</vt:lpwstr>
  </property>
  <property fmtid="{D5CDD505-2E9C-101B-9397-08002B2CF9AE}" pid="6" name="WnC4Folder">
    <vt:lpwstr>Documents///Supplementary methods</vt:lpwstr>
  </property>
</Properties>
</file>