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BC" w:rsidRPr="009373F0" w:rsidRDefault="00774DBC" w:rsidP="00774DBC">
      <w:pPr>
        <w:spacing w:line="48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373F0">
        <w:rPr>
          <w:rFonts w:ascii="Arial" w:hAnsi="Arial" w:cs="Arial"/>
          <w:b/>
          <w:sz w:val="24"/>
          <w:szCs w:val="24"/>
        </w:rPr>
        <w:t>Supplemental Methods</w:t>
      </w:r>
    </w:p>
    <w:p w:rsidR="00774DBC" w:rsidRPr="009373F0" w:rsidRDefault="00774DBC" w:rsidP="00774DBC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9373F0">
        <w:rPr>
          <w:rFonts w:ascii="Arial" w:hAnsi="Arial" w:cs="Arial"/>
          <w:b/>
          <w:sz w:val="24"/>
          <w:szCs w:val="24"/>
        </w:rPr>
        <w:t>Harvesting Fibroblasts</w:t>
      </w:r>
    </w:p>
    <w:p w:rsidR="00774DBC" w:rsidRPr="009373F0" w:rsidRDefault="00774DBC" w:rsidP="00774DBC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9373F0">
        <w:rPr>
          <w:rFonts w:ascii="Arial" w:hAnsi="Arial" w:cs="Arial"/>
          <w:sz w:val="24"/>
          <w:szCs w:val="24"/>
        </w:rPr>
        <w:t xml:space="preserve">Skin biopsies were performed in consenting individuals by a board-certified dermatologist. </w:t>
      </w:r>
      <w:r w:rsidR="009402F6" w:rsidRPr="009373F0">
        <w:rPr>
          <w:rFonts w:ascii="Arial" w:hAnsi="Arial" w:cs="Arial"/>
          <w:sz w:val="24"/>
          <w:szCs w:val="24"/>
        </w:rPr>
        <w:t>Skin biopsy samples were transferred to a small Petri dish containing 2-3 ml Skin Fibroblast Media (SFM) consisting of RPMI 1640, 10% FBS, 1% pen/strep, 10ng/ml FGF2. The sample was incubated at room temperature for 15 minutes. Medium was carefully aspirated and replaced with 1-2 ml of collagenase type II solution (3mg/ml collagenase II dissolved in DMEM High Glucose [Worthington Biochemical Corp. Lakewood, NJ: GIBCO/Invitrogen, Carlsbad, CA]). The tissue was chopped into small pieces using 2 sterile scalpels, after which they were allowed to incubate at 37</w:t>
      </w:r>
      <w:r w:rsidR="009402F6" w:rsidRPr="007654D9">
        <w:rPr>
          <w:rFonts w:ascii="Arial" w:hAnsi="Arial" w:cs="Arial"/>
          <w:sz w:val="24"/>
          <w:szCs w:val="24"/>
          <w:vertAlign w:val="superscript"/>
        </w:rPr>
        <w:t>o</w:t>
      </w:r>
      <w:r w:rsidR="009402F6" w:rsidRPr="009373F0">
        <w:rPr>
          <w:rFonts w:ascii="Arial" w:hAnsi="Arial" w:cs="Arial"/>
          <w:sz w:val="24"/>
          <w:szCs w:val="24"/>
        </w:rPr>
        <w:t>C for 1­2 hours depending on size. The sample was then collected in a 15ml falcon tube and washed with SFM (serum free medium). Tissue was collected by centrifugation at 1</w:t>
      </w:r>
      <w:r w:rsidR="007654D9">
        <w:rPr>
          <w:rFonts w:ascii="Arial" w:hAnsi="Arial" w:cs="Arial"/>
          <w:sz w:val="24"/>
          <w:szCs w:val="24"/>
        </w:rPr>
        <w:t>00G</w:t>
      </w:r>
      <w:r w:rsidR="009402F6" w:rsidRPr="009373F0">
        <w:rPr>
          <w:rFonts w:ascii="Arial" w:hAnsi="Arial" w:cs="Arial"/>
          <w:sz w:val="24"/>
          <w:szCs w:val="24"/>
        </w:rPr>
        <w:t xml:space="preserve"> for 4 minutes. The pelleted sample was then suspended in SFM and plated in a T12.5 ml flask at 37</w:t>
      </w:r>
      <w:r w:rsidR="009402F6" w:rsidRPr="007654D9">
        <w:rPr>
          <w:rFonts w:ascii="Arial" w:hAnsi="Arial" w:cs="Arial"/>
          <w:sz w:val="24"/>
          <w:szCs w:val="24"/>
          <w:vertAlign w:val="superscript"/>
        </w:rPr>
        <w:t>o</w:t>
      </w:r>
      <w:r w:rsidR="009402F6" w:rsidRPr="009373F0">
        <w:rPr>
          <w:rFonts w:ascii="Arial" w:hAnsi="Arial" w:cs="Arial"/>
          <w:sz w:val="24"/>
          <w:szCs w:val="24"/>
        </w:rPr>
        <w:t>C in 5% CO</w:t>
      </w:r>
      <w:r w:rsidR="009402F6" w:rsidRPr="007654D9">
        <w:rPr>
          <w:rFonts w:ascii="Arial" w:hAnsi="Arial" w:cs="Arial"/>
          <w:sz w:val="24"/>
          <w:szCs w:val="24"/>
          <w:vertAlign w:val="subscript"/>
        </w:rPr>
        <w:t>2</w:t>
      </w:r>
      <w:r w:rsidR="009402F6" w:rsidRPr="009373F0">
        <w:rPr>
          <w:rFonts w:ascii="Arial" w:hAnsi="Arial" w:cs="Arial"/>
          <w:sz w:val="24"/>
          <w:szCs w:val="24"/>
        </w:rPr>
        <w:t xml:space="preserve"> for 3 days without changing medium or manipulation, to allow fibroblasts to adhere. Then cells were subsequently fed every 2 days with RPMI 1640 containing 10% FBS until a confluent culture was obtained (~3 weeks). The cells were reprogrammed into </w:t>
      </w:r>
      <w:proofErr w:type="spellStart"/>
      <w:r w:rsidR="009402F6" w:rsidRPr="009373F0">
        <w:rPr>
          <w:rFonts w:ascii="Arial" w:hAnsi="Arial" w:cs="Arial"/>
          <w:sz w:val="24"/>
          <w:szCs w:val="24"/>
        </w:rPr>
        <w:t>iPSCs</w:t>
      </w:r>
      <w:proofErr w:type="spellEnd"/>
      <w:r w:rsidR="009402F6" w:rsidRPr="009373F0">
        <w:rPr>
          <w:rFonts w:ascii="Arial" w:hAnsi="Arial" w:cs="Arial"/>
          <w:sz w:val="24"/>
          <w:szCs w:val="24"/>
        </w:rPr>
        <w:t xml:space="preserve"> </w:t>
      </w:r>
      <w:r w:rsidR="00FF48FA" w:rsidRPr="009373F0">
        <w:rPr>
          <w:rFonts w:ascii="Arial" w:hAnsi="Arial" w:cs="Arial"/>
          <w:sz w:val="24"/>
          <w:szCs w:val="24"/>
        </w:rPr>
        <w:t>as described in the main methods section of the paper</w:t>
      </w:r>
      <w:r w:rsidR="009402F6" w:rsidRPr="009373F0">
        <w:rPr>
          <w:rFonts w:ascii="Arial" w:hAnsi="Arial" w:cs="Arial"/>
          <w:sz w:val="24"/>
          <w:szCs w:val="24"/>
        </w:rPr>
        <w:t xml:space="preserve">. </w:t>
      </w:r>
    </w:p>
    <w:p w:rsidR="00FF48FA" w:rsidRPr="009373F0" w:rsidRDefault="00FF48FA" w:rsidP="009402F6">
      <w:pPr>
        <w:spacing w:after="0" w:line="480" w:lineRule="auto"/>
        <w:rPr>
          <w:rFonts w:ascii="Arial" w:eastAsia="Calibri" w:hAnsi="Arial" w:cs="Arial"/>
          <w:b/>
          <w:sz w:val="24"/>
          <w:szCs w:val="24"/>
        </w:rPr>
      </w:pPr>
    </w:p>
    <w:p w:rsidR="009402F6" w:rsidRPr="009373F0" w:rsidRDefault="006F4B2D" w:rsidP="009402F6">
      <w:pPr>
        <w:spacing w:after="0" w:line="480" w:lineRule="auto"/>
        <w:rPr>
          <w:rFonts w:ascii="Arial" w:eastAsia="Calibri" w:hAnsi="Arial" w:cs="Arial"/>
          <w:b/>
          <w:sz w:val="24"/>
          <w:szCs w:val="24"/>
        </w:rPr>
      </w:pPr>
      <w:r w:rsidRPr="009373F0">
        <w:rPr>
          <w:rFonts w:ascii="Arial" w:eastAsia="Calibri" w:hAnsi="Arial" w:cs="Arial"/>
          <w:b/>
          <w:sz w:val="24"/>
          <w:szCs w:val="24"/>
        </w:rPr>
        <w:t xml:space="preserve">Establishing </w:t>
      </w:r>
      <w:r w:rsidR="009402F6" w:rsidRPr="009373F0">
        <w:rPr>
          <w:rFonts w:ascii="Arial" w:eastAsia="Calibri" w:hAnsi="Arial" w:cs="Arial"/>
          <w:b/>
          <w:sz w:val="24"/>
          <w:szCs w:val="24"/>
        </w:rPr>
        <w:t xml:space="preserve">Human </w:t>
      </w:r>
      <w:proofErr w:type="spellStart"/>
      <w:r w:rsidR="009402F6" w:rsidRPr="009373F0">
        <w:rPr>
          <w:rFonts w:ascii="Arial" w:eastAsia="Calibri" w:hAnsi="Arial" w:cs="Arial"/>
          <w:b/>
          <w:sz w:val="24"/>
          <w:szCs w:val="24"/>
        </w:rPr>
        <w:t>iPSCs</w:t>
      </w:r>
      <w:proofErr w:type="spellEnd"/>
      <w:r w:rsidR="009402F6" w:rsidRPr="009373F0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9402F6" w:rsidRPr="009373F0" w:rsidRDefault="00EE6C6E" w:rsidP="009402F6">
      <w:pPr>
        <w:spacing w:after="0" w:line="480" w:lineRule="auto"/>
        <w:rPr>
          <w:rFonts w:ascii="Arial" w:eastAsia="Calibri" w:hAnsi="Arial" w:cs="Arial"/>
          <w:sz w:val="24"/>
          <w:szCs w:val="24"/>
        </w:rPr>
      </w:pPr>
      <w:r w:rsidRPr="00EE6C6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EE6C6E">
        <w:rPr>
          <w:rFonts w:ascii="Arial" w:eastAsia="Calibri" w:hAnsi="Arial" w:cs="Arial"/>
          <w:sz w:val="24"/>
          <w:szCs w:val="24"/>
        </w:rPr>
        <w:t>iPSC</w:t>
      </w:r>
      <w:proofErr w:type="spellEnd"/>
      <w:proofErr w:type="gramEnd"/>
      <w:r w:rsidRPr="00EE6C6E">
        <w:rPr>
          <w:rFonts w:ascii="Arial" w:eastAsia="Calibri" w:hAnsi="Arial" w:cs="Arial"/>
          <w:sz w:val="24"/>
          <w:szCs w:val="24"/>
        </w:rPr>
        <w:t xml:space="preserve"> reprogramming was carried out by </w:t>
      </w:r>
      <w:proofErr w:type="spellStart"/>
      <w:r w:rsidRPr="00EE6C6E">
        <w:rPr>
          <w:rFonts w:ascii="Arial" w:eastAsia="Calibri" w:hAnsi="Arial" w:cs="Arial"/>
          <w:sz w:val="24"/>
          <w:szCs w:val="24"/>
        </w:rPr>
        <w:t>nucleofection</w:t>
      </w:r>
      <w:proofErr w:type="spellEnd"/>
      <w:r w:rsidRPr="00EE6C6E">
        <w:rPr>
          <w:rFonts w:ascii="Arial" w:eastAsia="Calibri" w:hAnsi="Arial" w:cs="Arial"/>
          <w:sz w:val="24"/>
          <w:szCs w:val="24"/>
        </w:rPr>
        <w:t xml:space="preserve">. One vial of cells was thawed out and placed in a T75 flask in DMEM/F12 supplemented with 10% FBS and fed every 2 days. Cells were grown to ~50% confluence (~4-5 days), after which they were </w:t>
      </w:r>
      <w:proofErr w:type="spellStart"/>
      <w:r w:rsidRPr="00EE6C6E">
        <w:rPr>
          <w:rFonts w:ascii="Arial" w:eastAsia="Calibri" w:hAnsi="Arial" w:cs="Arial"/>
          <w:sz w:val="24"/>
          <w:szCs w:val="24"/>
        </w:rPr>
        <w:lastRenderedPageBreak/>
        <w:t>trypsinized</w:t>
      </w:r>
      <w:proofErr w:type="spellEnd"/>
      <w:r w:rsidRPr="00EE6C6E">
        <w:rPr>
          <w:rFonts w:ascii="Arial" w:eastAsia="Calibri" w:hAnsi="Arial" w:cs="Arial"/>
          <w:sz w:val="24"/>
          <w:szCs w:val="24"/>
        </w:rPr>
        <w:t xml:space="preserve"> and subjected to </w:t>
      </w:r>
      <w:proofErr w:type="spellStart"/>
      <w:r w:rsidRPr="00EE6C6E">
        <w:rPr>
          <w:rFonts w:ascii="Arial" w:eastAsia="Calibri" w:hAnsi="Arial" w:cs="Arial"/>
          <w:sz w:val="24"/>
          <w:szCs w:val="24"/>
        </w:rPr>
        <w:t>nucleofection</w:t>
      </w:r>
      <w:proofErr w:type="spellEnd"/>
      <w:r w:rsidRPr="00EE6C6E">
        <w:rPr>
          <w:rFonts w:ascii="Arial" w:eastAsia="Calibri" w:hAnsi="Arial" w:cs="Arial"/>
          <w:sz w:val="24"/>
          <w:szCs w:val="24"/>
        </w:rPr>
        <w:t xml:space="preserve"> (~6 x105 cells). Reprogramming was carried out using an </w:t>
      </w:r>
      <w:proofErr w:type="spellStart"/>
      <w:r w:rsidRPr="00EE6C6E">
        <w:rPr>
          <w:rFonts w:ascii="Arial" w:eastAsia="Calibri" w:hAnsi="Arial" w:cs="Arial"/>
          <w:sz w:val="24"/>
          <w:szCs w:val="24"/>
        </w:rPr>
        <w:t>Amaxa</w:t>
      </w:r>
      <w:proofErr w:type="spellEnd"/>
      <w:r w:rsidRPr="00EE6C6E">
        <w:rPr>
          <w:rFonts w:ascii="Arial" w:eastAsia="Calibri" w:hAnsi="Arial" w:cs="Arial"/>
          <w:sz w:val="24"/>
          <w:szCs w:val="24"/>
        </w:rPr>
        <w:t xml:space="preserve"> 4D-Nucleofector (P2 Primary Cell Kit from </w:t>
      </w:r>
      <w:proofErr w:type="spellStart"/>
      <w:r w:rsidRPr="00EE6C6E">
        <w:rPr>
          <w:rFonts w:ascii="Arial" w:eastAsia="Calibri" w:hAnsi="Arial" w:cs="Arial"/>
          <w:sz w:val="24"/>
          <w:szCs w:val="24"/>
        </w:rPr>
        <w:t>Lonza</w:t>
      </w:r>
      <w:proofErr w:type="spellEnd"/>
      <w:r w:rsidRPr="00EE6C6E">
        <w:rPr>
          <w:rFonts w:ascii="Arial" w:eastAsia="Calibri" w:hAnsi="Arial" w:cs="Arial"/>
          <w:sz w:val="24"/>
          <w:szCs w:val="24"/>
        </w:rPr>
        <w:t xml:space="preserve"> cat# V4XP-2012, Program FF-135) with non-integrating plasmids containing OCT4, SOX2, KLF4, L-MYC, LIN28, and a p53 </w:t>
      </w:r>
      <w:proofErr w:type="spellStart"/>
      <w:r w:rsidRPr="00EE6C6E">
        <w:rPr>
          <w:rFonts w:ascii="Arial" w:eastAsia="Calibri" w:hAnsi="Arial" w:cs="Arial"/>
          <w:sz w:val="24"/>
          <w:szCs w:val="24"/>
        </w:rPr>
        <w:t>shRNA</w:t>
      </w:r>
      <w:proofErr w:type="spellEnd"/>
      <w:r w:rsidRPr="00EE6C6E">
        <w:rPr>
          <w:rFonts w:ascii="Arial" w:eastAsia="Calibri" w:hAnsi="Arial" w:cs="Arial"/>
          <w:sz w:val="24"/>
          <w:szCs w:val="24"/>
        </w:rPr>
        <w:t xml:space="preserve"> vector (</w:t>
      </w:r>
      <w:proofErr w:type="spellStart"/>
      <w:r w:rsidRPr="00EE6C6E">
        <w:rPr>
          <w:rFonts w:ascii="Arial" w:eastAsia="Calibri" w:hAnsi="Arial" w:cs="Arial"/>
          <w:sz w:val="24"/>
          <w:szCs w:val="24"/>
        </w:rPr>
        <w:t>Addgene</w:t>
      </w:r>
      <w:proofErr w:type="spellEnd"/>
      <w:r w:rsidRPr="00EE6C6E">
        <w:rPr>
          <w:rFonts w:ascii="Arial" w:eastAsia="Calibri" w:hAnsi="Arial" w:cs="Arial"/>
          <w:sz w:val="24"/>
          <w:szCs w:val="24"/>
        </w:rPr>
        <w:t xml:space="preserve"> Cat. </w:t>
      </w:r>
      <w:proofErr w:type="gramStart"/>
      <w:r w:rsidRPr="00EE6C6E">
        <w:rPr>
          <w:rFonts w:ascii="Arial" w:eastAsia="Calibri" w:hAnsi="Arial" w:cs="Arial"/>
          <w:sz w:val="24"/>
          <w:szCs w:val="24"/>
        </w:rPr>
        <w:t xml:space="preserve"># 27077, 27078, 27080), according to </w:t>
      </w:r>
      <w:proofErr w:type="spellStart"/>
      <w:r w:rsidRPr="00EE6C6E">
        <w:rPr>
          <w:rFonts w:ascii="Arial" w:eastAsia="Calibri" w:hAnsi="Arial" w:cs="Arial"/>
          <w:sz w:val="24"/>
          <w:szCs w:val="24"/>
        </w:rPr>
        <w:t>Okita</w:t>
      </w:r>
      <w:proofErr w:type="spellEnd"/>
      <w:r w:rsidRPr="00EE6C6E">
        <w:rPr>
          <w:rFonts w:ascii="Arial" w:eastAsia="Calibri" w:hAnsi="Arial" w:cs="Arial"/>
          <w:sz w:val="24"/>
          <w:szCs w:val="24"/>
        </w:rPr>
        <w:t xml:space="preserve"> et al., with some modifications</w:t>
      </w:r>
      <w:r w:rsidR="00B87D35">
        <w:rPr>
          <w:rFonts w:ascii="Arial" w:eastAsia="Calibri" w:hAnsi="Arial" w:cs="Arial"/>
          <w:sz w:val="24"/>
          <w:szCs w:val="24"/>
        </w:rPr>
        <w:t xml:space="preserve"> </w:t>
      </w:r>
      <w:r w:rsidR="00B87D35">
        <w:rPr>
          <w:rFonts w:ascii="Arial" w:eastAsia="Calibri" w:hAnsi="Arial" w:cs="Arial"/>
          <w:sz w:val="24"/>
          <w:szCs w:val="24"/>
        </w:rPr>
        <w:fldChar w:fldCharType="begin"/>
      </w:r>
      <w:r w:rsidR="00B87D35">
        <w:rPr>
          <w:rFonts w:ascii="Arial" w:eastAsia="Calibri" w:hAnsi="Arial" w:cs="Arial"/>
          <w:sz w:val="24"/>
          <w:szCs w:val="24"/>
        </w:rPr>
        <w:instrText>ADDIN RW.CITE{{2089 Okita,K. 2011; 2150 Lin,M. 2012; 2912 Chen,J. 2013}}</w:instrText>
      </w:r>
      <w:r w:rsidR="00B87D35">
        <w:rPr>
          <w:rFonts w:ascii="Arial" w:eastAsia="Calibri" w:hAnsi="Arial" w:cs="Arial"/>
          <w:sz w:val="24"/>
          <w:szCs w:val="24"/>
        </w:rPr>
        <w:fldChar w:fldCharType="separate"/>
      </w:r>
      <w:r w:rsidR="00B87D35">
        <w:rPr>
          <w:rFonts w:ascii="Arial" w:eastAsia="Calibri" w:hAnsi="Arial" w:cs="Arial"/>
          <w:sz w:val="24"/>
          <w:szCs w:val="24"/>
        </w:rPr>
        <w:t>(1-3)</w:t>
      </w:r>
      <w:r w:rsidR="00B87D35">
        <w:rPr>
          <w:rFonts w:ascii="Arial" w:eastAsia="Calibri" w:hAnsi="Arial" w:cs="Arial"/>
          <w:sz w:val="24"/>
          <w:szCs w:val="24"/>
        </w:rPr>
        <w:fldChar w:fldCharType="end"/>
      </w:r>
      <w:r w:rsidR="00B87D35">
        <w:rPr>
          <w:rFonts w:ascii="Arial" w:eastAsia="Calibri" w:hAnsi="Arial" w:cs="Arial"/>
          <w:sz w:val="24"/>
          <w:szCs w:val="24"/>
        </w:rPr>
        <w:t>.</w:t>
      </w:r>
      <w:proofErr w:type="gramEnd"/>
      <w:r w:rsidRPr="00EE6C6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EE6C6E">
        <w:rPr>
          <w:rFonts w:ascii="Arial" w:eastAsia="Calibri" w:hAnsi="Arial" w:cs="Arial"/>
          <w:sz w:val="24"/>
          <w:szCs w:val="24"/>
        </w:rPr>
        <w:t>iPSCs</w:t>
      </w:r>
      <w:proofErr w:type="spellEnd"/>
      <w:proofErr w:type="gramEnd"/>
      <w:r w:rsidRPr="00EE6C6E">
        <w:rPr>
          <w:rFonts w:ascii="Arial" w:eastAsia="Calibri" w:hAnsi="Arial" w:cs="Arial"/>
          <w:sz w:val="24"/>
          <w:szCs w:val="24"/>
        </w:rPr>
        <w:t xml:space="preserve"> were maintained on </w:t>
      </w:r>
      <w:proofErr w:type="spellStart"/>
      <w:r w:rsidRPr="00EE6C6E">
        <w:rPr>
          <w:rFonts w:ascii="Arial" w:eastAsia="Calibri" w:hAnsi="Arial" w:cs="Arial"/>
          <w:sz w:val="24"/>
          <w:szCs w:val="24"/>
        </w:rPr>
        <w:t>Matrigel</w:t>
      </w:r>
      <w:proofErr w:type="spellEnd"/>
      <w:r w:rsidRPr="00EE6C6E">
        <w:rPr>
          <w:rFonts w:ascii="Arial" w:eastAsia="Calibri" w:hAnsi="Arial" w:cs="Arial"/>
          <w:sz w:val="24"/>
          <w:szCs w:val="24"/>
        </w:rPr>
        <w:t xml:space="preserve"> plates in mTeSR1 medium (Stem Cell Technologies) with daily feeding in 37</w:t>
      </w:r>
      <w:r w:rsidRPr="007654D9">
        <w:rPr>
          <w:rFonts w:ascii="Arial" w:eastAsia="Calibri" w:hAnsi="Arial" w:cs="Arial"/>
          <w:sz w:val="24"/>
          <w:szCs w:val="24"/>
          <w:vertAlign w:val="superscript"/>
        </w:rPr>
        <w:t>o</w:t>
      </w:r>
      <w:r w:rsidRPr="00EE6C6E">
        <w:rPr>
          <w:rFonts w:ascii="Arial" w:eastAsia="Calibri" w:hAnsi="Arial" w:cs="Arial"/>
          <w:sz w:val="24"/>
          <w:szCs w:val="24"/>
        </w:rPr>
        <w:t>C/5% CO</w:t>
      </w:r>
      <w:r w:rsidRPr="007654D9">
        <w:rPr>
          <w:rFonts w:ascii="Arial" w:eastAsia="Calibri" w:hAnsi="Arial" w:cs="Arial"/>
          <w:sz w:val="24"/>
          <w:szCs w:val="24"/>
          <w:vertAlign w:val="subscript"/>
        </w:rPr>
        <w:t>2</w:t>
      </w:r>
      <w:r w:rsidRPr="00EE6C6E">
        <w:rPr>
          <w:rFonts w:ascii="Arial" w:eastAsia="Calibri" w:hAnsi="Arial" w:cs="Arial"/>
          <w:sz w:val="24"/>
          <w:szCs w:val="24"/>
        </w:rPr>
        <w:t xml:space="preserve">/85% humidity.  </w:t>
      </w:r>
      <w:r w:rsidR="006F4B2D" w:rsidRPr="009373F0">
        <w:rPr>
          <w:rFonts w:ascii="Arial" w:eastAsia="Calibri" w:hAnsi="Arial" w:cs="Arial"/>
          <w:sz w:val="24"/>
          <w:szCs w:val="24"/>
        </w:rPr>
        <w:t xml:space="preserve">. </w:t>
      </w:r>
    </w:p>
    <w:p w:rsidR="00EE6C6E" w:rsidRDefault="00EE6C6E" w:rsidP="00EE6C6E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</w:p>
    <w:p w:rsidR="00EE6C6E" w:rsidRPr="00EE6C6E" w:rsidRDefault="00EE6C6E" w:rsidP="00EE6C6E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r w:rsidRPr="00EE6C6E">
        <w:rPr>
          <w:rFonts w:ascii="Arial" w:hAnsi="Arial" w:cs="Arial"/>
          <w:b/>
          <w:sz w:val="24"/>
          <w:szCs w:val="24"/>
        </w:rPr>
        <w:t xml:space="preserve">Germ line markers, establishing </w:t>
      </w:r>
      <w:proofErr w:type="spellStart"/>
      <w:r w:rsidRPr="00EE6C6E">
        <w:rPr>
          <w:rFonts w:ascii="Arial" w:hAnsi="Arial" w:cs="Arial"/>
          <w:b/>
          <w:sz w:val="24"/>
          <w:szCs w:val="24"/>
        </w:rPr>
        <w:t>pluripotency</w:t>
      </w:r>
      <w:proofErr w:type="spellEnd"/>
      <w:r w:rsidRPr="00EE6C6E">
        <w:rPr>
          <w:rFonts w:ascii="Arial" w:hAnsi="Arial" w:cs="Arial"/>
          <w:b/>
          <w:sz w:val="24"/>
          <w:szCs w:val="24"/>
        </w:rPr>
        <w:t xml:space="preserve"> by </w:t>
      </w:r>
      <w:r w:rsidRPr="00EE6C6E">
        <w:rPr>
          <w:rFonts w:ascii="Arial" w:hAnsi="Arial" w:cs="Arial"/>
          <w:b/>
          <w:i/>
          <w:sz w:val="24"/>
          <w:szCs w:val="24"/>
        </w:rPr>
        <w:t>in vitro</w:t>
      </w:r>
      <w:r w:rsidRPr="00EE6C6E">
        <w:rPr>
          <w:rFonts w:ascii="Arial" w:hAnsi="Arial" w:cs="Arial"/>
          <w:b/>
          <w:sz w:val="24"/>
          <w:szCs w:val="24"/>
        </w:rPr>
        <w:t xml:space="preserve"> differentiation and karyotype</w:t>
      </w:r>
    </w:p>
    <w:p w:rsidR="00EE6C6E" w:rsidRDefault="00EE6C6E" w:rsidP="00EE6C6E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EE6C6E">
        <w:rPr>
          <w:rFonts w:ascii="Arial" w:hAnsi="Arial" w:cs="Arial"/>
          <w:sz w:val="24"/>
          <w:szCs w:val="24"/>
        </w:rPr>
        <w:t>Pluripotency</w:t>
      </w:r>
      <w:proofErr w:type="spellEnd"/>
      <w:r w:rsidRPr="00EE6C6E">
        <w:rPr>
          <w:rFonts w:ascii="Arial" w:hAnsi="Arial" w:cs="Arial"/>
          <w:sz w:val="24"/>
          <w:szCs w:val="24"/>
        </w:rPr>
        <w:t xml:space="preserve"> for all </w:t>
      </w:r>
      <w:proofErr w:type="spellStart"/>
      <w:r w:rsidRPr="00EE6C6E">
        <w:rPr>
          <w:rFonts w:ascii="Arial" w:hAnsi="Arial" w:cs="Arial"/>
          <w:sz w:val="24"/>
          <w:szCs w:val="24"/>
        </w:rPr>
        <w:t>iPSC</w:t>
      </w:r>
      <w:proofErr w:type="spellEnd"/>
      <w:r w:rsidRPr="00EE6C6E">
        <w:rPr>
          <w:rFonts w:ascii="Arial" w:hAnsi="Arial" w:cs="Arial"/>
          <w:sz w:val="24"/>
          <w:szCs w:val="24"/>
        </w:rPr>
        <w:t xml:space="preserve"> lines was confirmed by immunocytochemistry using antibodies (Ab) against Tra-1-60, Tra-1-81, SSEA3 and SSEA4, which are expressed in pluripotent stem cells (not shown). In addition, the capacity to differentiate into all 3 germ layers was established by </w:t>
      </w:r>
      <w:r w:rsidRPr="00B87D35">
        <w:rPr>
          <w:rFonts w:ascii="Arial" w:hAnsi="Arial" w:cs="Arial"/>
          <w:i/>
          <w:sz w:val="24"/>
          <w:szCs w:val="24"/>
        </w:rPr>
        <w:t>in vitro</w:t>
      </w:r>
      <w:r w:rsidRPr="00EE6C6E">
        <w:rPr>
          <w:rFonts w:ascii="Arial" w:hAnsi="Arial" w:cs="Arial"/>
          <w:sz w:val="24"/>
          <w:szCs w:val="24"/>
        </w:rPr>
        <w:t xml:space="preserve"> assays, as previously described</w:t>
      </w:r>
      <w:r w:rsidR="00B87D35">
        <w:rPr>
          <w:rFonts w:ascii="Arial" w:hAnsi="Arial" w:cs="Arial"/>
          <w:sz w:val="24"/>
          <w:szCs w:val="24"/>
        </w:rPr>
        <w:t xml:space="preserve"> </w:t>
      </w:r>
      <w:r w:rsidR="00B87D35">
        <w:rPr>
          <w:rFonts w:ascii="Arial" w:hAnsi="Arial" w:cs="Arial"/>
          <w:sz w:val="24"/>
          <w:szCs w:val="24"/>
        </w:rPr>
        <w:fldChar w:fldCharType="begin"/>
      </w:r>
      <w:r w:rsidR="00B87D35">
        <w:rPr>
          <w:rFonts w:ascii="Arial" w:hAnsi="Arial" w:cs="Arial"/>
          <w:sz w:val="24"/>
          <w:szCs w:val="24"/>
        </w:rPr>
        <w:instrText>ADDIN RW.CITE{{2150 Lin,M. 2012; 1790 Pedrosa,E. 2011}}</w:instrText>
      </w:r>
      <w:r w:rsidR="00B87D35">
        <w:rPr>
          <w:rFonts w:ascii="Arial" w:hAnsi="Arial" w:cs="Arial"/>
          <w:sz w:val="24"/>
          <w:szCs w:val="24"/>
        </w:rPr>
        <w:fldChar w:fldCharType="separate"/>
      </w:r>
      <w:r w:rsidR="00B87D35">
        <w:rPr>
          <w:rFonts w:ascii="Arial" w:hAnsi="Arial" w:cs="Arial"/>
          <w:sz w:val="24"/>
          <w:szCs w:val="24"/>
        </w:rPr>
        <w:t>(2, 4)</w:t>
      </w:r>
      <w:r w:rsidR="00B87D35">
        <w:rPr>
          <w:rFonts w:ascii="Arial" w:hAnsi="Arial" w:cs="Arial"/>
          <w:sz w:val="24"/>
          <w:szCs w:val="24"/>
        </w:rPr>
        <w:fldChar w:fldCharType="end"/>
      </w:r>
      <w:r w:rsidR="00B87D35">
        <w:rPr>
          <w:rFonts w:ascii="Arial" w:hAnsi="Arial" w:cs="Arial"/>
          <w:sz w:val="24"/>
          <w:szCs w:val="24"/>
        </w:rPr>
        <w:t>.</w:t>
      </w:r>
      <w:r w:rsidRPr="00EE6C6E">
        <w:rPr>
          <w:rFonts w:ascii="Arial" w:hAnsi="Arial" w:cs="Arial"/>
          <w:sz w:val="24"/>
          <w:szCs w:val="24"/>
        </w:rPr>
        <w:t xml:space="preserve"> The markers </w:t>
      </w:r>
      <w:proofErr w:type="spellStart"/>
      <w:r w:rsidRPr="00EE6C6E">
        <w:rPr>
          <w:rFonts w:ascii="Arial" w:hAnsi="Arial" w:cs="Arial"/>
          <w:sz w:val="24"/>
          <w:szCs w:val="24"/>
        </w:rPr>
        <w:t>desmin</w:t>
      </w:r>
      <w:proofErr w:type="spellEnd"/>
      <w:r w:rsidRPr="00EE6C6E">
        <w:rPr>
          <w:rFonts w:ascii="Arial" w:hAnsi="Arial" w:cs="Arial"/>
          <w:sz w:val="24"/>
          <w:szCs w:val="24"/>
        </w:rPr>
        <w:t xml:space="preserve"> (mesoderm), α-fetoprotein (endoderm), and βIII-tubulin (ectoderm) were used {{2227 </w:t>
      </w:r>
      <w:r w:rsidR="00B87D35">
        <w:rPr>
          <w:rFonts w:ascii="Arial" w:hAnsi="Arial" w:cs="Arial"/>
          <w:sz w:val="24"/>
          <w:szCs w:val="24"/>
        </w:rPr>
        <w:fldChar w:fldCharType="begin"/>
      </w:r>
      <w:r w:rsidR="00B87D35">
        <w:rPr>
          <w:rFonts w:ascii="Arial" w:hAnsi="Arial" w:cs="Arial"/>
          <w:sz w:val="24"/>
          <w:szCs w:val="24"/>
        </w:rPr>
        <w:instrText>ADDIN RW.CITE{{2227 Muenthaisong,S. 2012; 2229 Pal,R. 2012; 1551 Takahashi,K. 2007; 855 Takahashi,K. 2006}}</w:instrText>
      </w:r>
      <w:r w:rsidR="00B87D35">
        <w:rPr>
          <w:rFonts w:ascii="Arial" w:hAnsi="Arial" w:cs="Arial"/>
          <w:sz w:val="24"/>
          <w:szCs w:val="24"/>
        </w:rPr>
        <w:fldChar w:fldCharType="separate"/>
      </w:r>
      <w:r w:rsidR="00B87D35">
        <w:rPr>
          <w:rFonts w:ascii="Arial" w:hAnsi="Arial" w:cs="Arial"/>
          <w:sz w:val="24"/>
          <w:szCs w:val="24"/>
        </w:rPr>
        <w:t>(5-8)</w:t>
      </w:r>
      <w:r w:rsidR="00B87D35">
        <w:rPr>
          <w:rFonts w:ascii="Arial" w:hAnsi="Arial" w:cs="Arial"/>
          <w:sz w:val="24"/>
          <w:szCs w:val="24"/>
        </w:rPr>
        <w:fldChar w:fldCharType="end"/>
      </w:r>
      <w:r w:rsidRPr="00EE6C6E">
        <w:rPr>
          <w:rFonts w:ascii="Arial" w:hAnsi="Arial" w:cs="Arial"/>
          <w:sz w:val="24"/>
          <w:szCs w:val="24"/>
        </w:rPr>
        <w:t>. A list of the Ab used in the study is shown in Supplemental methods. Karyotyping was carried out by Cell Line Genetics (Madison WI). All lines had normal karyotypes</w:t>
      </w:r>
      <w:r w:rsidRPr="00EE6C6E">
        <w:rPr>
          <w:rFonts w:ascii="Arial" w:hAnsi="Arial" w:cs="Arial"/>
          <w:b/>
          <w:sz w:val="24"/>
          <w:szCs w:val="24"/>
        </w:rPr>
        <w:t>.</w:t>
      </w:r>
    </w:p>
    <w:p w:rsidR="00B87D35" w:rsidRDefault="00B87D35" w:rsidP="00EE6C6E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</w:p>
    <w:p w:rsidR="00B87D35" w:rsidRDefault="00B87D35" w:rsidP="00804FC8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Neuronal differentiation</w:t>
      </w:r>
    </w:p>
    <w:p w:rsidR="009C2E6D" w:rsidRPr="009C2E6D" w:rsidRDefault="009C2E6D" w:rsidP="009C2E6D">
      <w:pPr>
        <w:spacing w:after="0" w:line="480" w:lineRule="auto"/>
        <w:rPr>
          <w:rFonts w:ascii="Arial" w:eastAsia="Calibri" w:hAnsi="Arial" w:cs="Arial"/>
          <w:sz w:val="24"/>
          <w:szCs w:val="24"/>
        </w:rPr>
      </w:pPr>
      <w:proofErr w:type="spellStart"/>
      <w:proofErr w:type="gramStart"/>
      <w:r w:rsidRPr="009C2E6D">
        <w:rPr>
          <w:rFonts w:ascii="Arial" w:eastAsia="Calibri" w:hAnsi="Arial" w:cs="Arial"/>
          <w:sz w:val="24"/>
          <w:szCs w:val="24"/>
        </w:rPr>
        <w:t>iPS</w:t>
      </w:r>
      <w:proofErr w:type="spellEnd"/>
      <w:proofErr w:type="gramEnd"/>
      <w:r w:rsidRPr="009C2E6D">
        <w:rPr>
          <w:rFonts w:ascii="Arial" w:eastAsia="Calibri" w:hAnsi="Arial" w:cs="Arial"/>
          <w:sz w:val="24"/>
          <w:szCs w:val="24"/>
        </w:rPr>
        <w:t xml:space="preserve"> cells were maintained in mTeSR1 medium (Stem Cell Technologies) for approximately 5-6 days. Colonies were checked for spontaneous differentiation under a dissecting microscope; clusters of differentiated cells were removed manually. The medium was then changed to N2 (DMEM/F12, 1X N2; Invitrogen. After 24 hours, </w:t>
      </w:r>
      <w:r w:rsidRPr="009C2E6D">
        <w:rPr>
          <w:rFonts w:ascii="Arial" w:eastAsia="Calibri" w:hAnsi="Arial" w:cs="Arial"/>
          <w:sz w:val="24"/>
          <w:szCs w:val="24"/>
        </w:rPr>
        <w:lastRenderedPageBreak/>
        <w:t xml:space="preserve">medium was changed to N2 plus 1μM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Dorsomorphin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(CALBIOCHEM). The following day,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embryoid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bodies (EBs) were created. Briefly,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iPSCs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were checked again for spontaneous differentiation and fresh N2 medium plus 1μM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Dorsomorphin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was added.  Colonies were cut with a 5ml glass serological pipet using wide strokes to generate large fragments. A cell scraper was then used to detach remaining cells.  EBs were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aliquoted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to a 6-well, ultra-low attachment plate (Corning). Two days later, EBs were collected in a 15ml tube and allowed to settle by gravity for 5 minutes. Supernatant was removed and fresh N2 media plus 1μM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Dorsomorphin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was added.  EBs </w:t>
      </w:r>
      <w:proofErr w:type="gramStart"/>
      <w:r w:rsidRPr="009C2E6D">
        <w:rPr>
          <w:rFonts w:ascii="Arial" w:eastAsia="Calibri" w:hAnsi="Arial" w:cs="Arial"/>
          <w:sz w:val="24"/>
          <w:szCs w:val="24"/>
        </w:rPr>
        <w:t>were</w:t>
      </w:r>
      <w:proofErr w:type="gramEnd"/>
      <w:r w:rsidRPr="009C2E6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aliquoted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to a new ultra-low attachment plate. From this point, EBs </w:t>
      </w:r>
      <w:proofErr w:type="gramStart"/>
      <w:r w:rsidRPr="009C2E6D">
        <w:rPr>
          <w:rFonts w:ascii="Arial" w:eastAsia="Calibri" w:hAnsi="Arial" w:cs="Arial"/>
          <w:sz w:val="24"/>
          <w:szCs w:val="24"/>
        </w:rPr>
        <w:t>were</w:t>
      </w:r>
      <w:proofErr w:type="gramEnd"/>
      <w:r w:rsidRPr="009C2E6D">
        <w:rPr>
          <w:rFonts w:ascii="Arial" w:eastAsia="Calibri" w:hAnsi="Arial" w:cs="Arial"/>
          <w:sz w:val="24"/>
          <w:szCs w:val="24"/>
        </w:rPr>
        <w:t xml:space="preserve"> fed every other day for 6 days, after which neuronal differentiation was induced. NPCs were generated from neural rosettes as previously described by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Marchetto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et al. with slight modifications </w:t>
      </w:r>
      <w:r>
        <w:rPr>
          <w:rFonts w:ascii="Arial" w:eastAsia="Calibri" w:hAnsi="Arial" w:cs="Arial"/>
          <w:sz w:val="24"/>
          <w:szCs w:val="24"/>
        </w:rPr>
        <w:t>(references in paper).</w:t>
      </w:r>
      <w:r w:rsidRPr="009C2E6D">
        <w:rPr>
          <w:rFonts w:ascii="Arial" w:eastAsia="Calibri" w:hAnsi="Arial" w:cs="Arial"/>
          <w:sz w:val="24"/>
          <w:szCs w:val="24"/>
        </w:rPr>
        <w:t xml:space="preserve"> Briefly, EBs were collected in a 15ml tube and allowed to settle by gravity for 5 minutes. Supernatant was removed and EBs were gently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resuspended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in NBF medium (DMEM/F12, 0.5X N2, 0.5X B27, 1% p/s) plus fresh 20ng/ml FGF2 (R&amp;D Systems). EBs </w:t>
      </w:r>
      <w:proofErr w:type="gramStart"/>
      <w:r w:rsidRPr="009C2E6D">
        <w:rPr>
          <w:rFonts w:ascii="Arial" w:eastAsia="Calibri" w:hAnsi="Arial" w:cs="Arial"/>
          <w:sz w:val="24"/>
          <w:szCs w:val="24"/>
        </w:rPr>
        <w:t>were</w:t>
      </w:r>
      <w:proofErr w:type="gramEnd"/>
      <w:r w:rsidRPr="009C2E6D">
        <w:rPr>
          <w:rFonts w:ascii="Arial" w:eastAsia="Calibri" w:hAnsi="Arial" w:cs="Arial"/>
          <w:sz w:val="24"/>
          <w:szCs w:val="24"/>
        </w:rPr>
        <w:t xml:space="preserve"> gently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aliquoted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to a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matrigel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(BD Biosciences) plate using a 10 ml pipet. Two days later, plates were checked for rosette formation and fed with NBF medium plus fresh FGF2.  Rosettes were fed every other day x 2, then carefully excised with a 26g needle and pooled in a 1.5ml tube. 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Accutase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(ICT) was added to the rosettes for 3 minutes at 37</w:t>
      </w:r>
      <w:r w:rsidRPr="009C2E6D">
        <w:rPr>
          <w:rFonts w:ascii="Arial" w:eastAsia="Calibri" w:hAnsi="Arial" w:cs="Arial"/>
          <w:sz w:val="24"/>
          <w:szCs w:val="24"/>
          <w:vertAlign w:val="superscript"/>
        </w:rPr>
        <w:t>o</w:t>
      </w:r>
      <w:r w:rsidRPr="009C2E6D">
        <w:rPr>
          <w:rFonts w:ascii="Arial" w:eastAsia="Calibri" w:hAnsi="Arial" w:cs="Arial"/>
          <w:sz w:val="24"/>
          <w:szCs w:val="24"/>
        </w:rPr>
        <w:t>C.  After incubation, rosettes were broken up with a 1ml pipet tip, centrifuged for 2 minutes at 100</w:t>
      </w:r>
      <w:r w:rsidR="007654D9">
        <w:rPr>
          <w:rFonts w:ascii="Arial" w:eastAsia="Calibri" w:hAnsi="Arial" w:cs="Arial"/>
          <w:sz w:val="24"/>
          <w:szCs w:val="24"/>
        </w:rPr>
        <w:t>G</w:t>
      </w:r>
      <w:r w:rsidRPr="009C2E6D">
        <w:rPr>
          <w:rFonts w:ascii="Arial" w:eastAsia="Calibri" w:hAnsi="Arial" w:cs="Arial"/>
          <w:sz w:val="24"/>
          <w:szCs w:val="24"/>
        </w:rPr>
        <w:t xml:space="preserve">, and washed once with 1X PBS (Invitrogen). The pellet was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resuspended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as single cells in NBF media with fresh FGF2 (20ng/ml) and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aliquoted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onto Poly-L-Ornithine (Sigma)/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Laminin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(Roche) plates.  NPCs were fed every other day. Once NPCs reached ~50% confluence, neural differentiation was </w:t>
      </w:r>
      <w:r w:rsidRPr="009C2E6D">
        <w:rPr>
          <w:rFonts w:ascii="Arial" w:eastAsia="Calibri" w:hAnsi="Arial" w:cs="Arial"/>
          <w:sz w:val="24"/>
          <w:szCs w:val="24"/>
        </w:rPr>
        <w:lastRenderedPageBreak/>
        <w:t>initiated by withdrawing FGF2 and adding NBF media supplemented with fresh growth factors as follows: WNT3A (100ng/ml) (R&amp;D Systems), BDNF (10ng/ml), GDNF (10ng/ml), IGF-1 (10ng/ml) (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PeproTech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), and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cAMP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1μM (Sigma).  Cells were fed every other day. The protocol produces a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heterogenous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mix of glutamatergic neurons and </w:t>
      </w:r>
      <w:proofErr w:type="spellStart"/>
      <w:r w:rsidRPr="009C2E6D">
        <w:rPr>
          <w:rFonts w:ascii="Arial" w:eastAsia="Calibri" w:hAnsi="Arial" w:cs="Arial"/>
          <w:sz w:val="24"/>
          <w:szCs w:val="24"/>
        </w:rPr>
        <w:t>GABAergic</w:t>
      </w:r>
      <w:proofErr w:type="spellEnd"/>
      <w:r w:rsidRPr="009C2E6D">
        <w:rPr>
          <w:rFonts w:ascii="Arial" w:eastAsia="Calibri" w:hAnsi="Arial" w:cs="Arial"/>
          <w:sz w:val="24"/>
          <w:szCs w:val="24"/>
        </w:rPr>
        <w:t xml:space="preserve"> neurons (~50-50 mix).</w:t>
      </w:r>
    </w:p>
    <w:p w:rsidR="009C2E6D" w:rsidRDefault="009C2E6D" w:rsidP="00804FC8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</w:p>
    <w:p w:rsidR="00545782" w:rsidRPr="009373F0" w:rsidRDefault="00545782" w:rsidP="00804FC8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r w:rsidRPr="009373F0">
        <w:rPr>
          <w:rFonts w:ascii="Arial" w:hAnsi="Arial" w:cs="Arial"/>
          <w:b/>
          <w:sz w:val="24"/>
          <w:szCs w:val="24"/>
        </w:rPr>
        <w:t>Reverse transcribed PCR (RT-PCR) and quantitative real-time PCR (</w:t>
      </w:r>
      <w:proofErr w:type="spellStart"/>
      <w:r w:rsidRPr="009373F0">
        <w:rPr>
          <w:rFonts w:ascii="Arial" w:hAnsi="Arial" w:cs="Arial"/>
          <w:b/>
          <w:sz w:val="24"/>
          <w:szCs w:val="24"/>
        </w:rPr>
        <w:t>qPCR</w:t>
      </w:r>
      <w:proofErr w:type="spellEnd"/>
      <w:r w:rsidRPr="009373F0">
        <w:rPr>
          <w:rFonts w:ascii="Arial" w:hAnsi="Arial" w:cs="Arial"/>
          <w:b/>
          <w:sz w:val="24"/>
          <w:szCs w:val="24"/>
        </w:rPr>
        <w:t>)</w:t>
      </w:r>
    </w:p>
    <w:p w:rsidR="00CF419F" w:rsidRPr="00CF419F" w:rsidRDefault="00545782" w:rsidP="00CF419F">
      <w:pPr>
        <w:pStyle w:val="NoSpacing"/>
        <w:spacing w:line="480" w:lineRule="auto"/>
        <w:rPr>
          <w:rFonts w:ascii="Arial" w:hAnsi="Arial" w:cs="Arial"/>
          <w:sz w:val="24"/>
          <w:szCs w:val="24"/>
        </w:rPr>
      </w:pPr>
      <w:r w:rsidRPr="009373F0">
        <w:rPr>
          <w:rFonts w:ascii="Arial" w:hAnsi="Arial" w:cs="Arial"/>
          <w:sz w:val="24"/>
          <w:szCs w:val="24"/>
        </w:rPr>
        <w:t xml:space="preserve">Total </w:t>
      </w:r>
      <w:smartTag w:uri="urn:schemas-microsoft-com:office:smarttags" w:element="stockticker">
        <w:r w:rsidRPr="009373F0">
          <w:rPr>
            <w:rFonts w:ascii="Arial" w:hAnsi="Arial" w:cs="Arial"/>
            <w:sz w:val="24"/>
            <w:szCs w:val="24"/>
          </w:rPr>
          <w:t>RNA</w:t>
        </w:r>
      </w:smartTag>
      <w:r w:rsidRPr="009373F0">
        <w:rPr>
          <w:rFonts w:ascii="Arial" w:hAnsi="Arial" w:cs="Arial"/>
          <w:sz w:val="24"/>
          <w:szCs w:val="24"/>
        </w:rPr>
        <w:t xml:space="preserve"> was extracted using a </w:t>
      </w:r>
      <w:proofErr w:type="spellStart"/>
      <w:proofErr w:type="gramStart"/>
      <w:r w:rsidR="00F8006D" w:rsidRPr="009373F0">
        <w:rPr>
          <w:rFonts w:ascii="Arial" w:hAnsi="Arial" w:cs="Arial"/>
          <w:sz w:val="24"/>
          <w:szCs w:val="24"/>
        </w:rPr>
        <w:t>miRNeasy</w:t>
      </w:r>
      <w:proofErr w:type="spellEnd"/>
      <w:r w:rsidR="00F8006D" w:rsidRPr="009373F0">
        <w:rPr>
          <w:rFonts w:ascii="Arial" w:hAnsi="Arial" w:cs="Arial"/>
          <w:sz w:val="24"/>
          <w:szCs w:val="24"/>
        </w:rPr>
        <w:t xml:space="preserve"> </w:t>
      </w:r>
      <w:r w:rsidRPr="009373F0">
        <w:rPr>
          <w:rFonts w:ascii="Arial" w:hAnsi="Arial" w:cs="Arial"/>
          <w:sz w:val="24"/>
          <w:szCs w:val="24"/>
        </w:rPr>
        <w:t xml:space="preserve"> Kit</w:t>
      </w:r>
      <w:proofErr w:type="gramEnd"/>
      <w:r w:rsidRPr="009373F0">
        <w:rPr>
          <w:rFonts w:ascii="Arial" w:hAnsi="Arial" w:cs="Arial"/>
          <w:sz w:val="24"/>
          <w:szCs w:val="24"/>
        </w:rPr>
        <w:t xml:space="preserve"> according to the manufacturer’s instructions (</w:t>
      </w:r>
      <w:proofErr w:type="spellStart"/>
      <w:r w:rsidR="00F8006D" w:rsidRPr="009373F0">
        <w:rPr>
          <w:rFonts w:ascii="Arial" w:hAnsi="Arial" w:cs="Arial"/>
          <w:sz w:val="24"/>
          <w:szCs w:val="24"/>
        </w:rPr>
        <w:t>Qiagen</w:t>
      </w:r>
      <w:proofErr w:type="spellEnd"/>
      <w:r w:rsidRPr="009373F0">
        <w:rPr>
          <w:rFonts w:ascii="Arial" w:hAnsi="Arial" w:cs="Arial"/>
          <w:sz w:val="24"/>
          <w:szCs w:val="24"/>
        </w:rPr>
        <w:t>). An additional treatment with DNase1 (</w:t>
      </w:r>
      <w:proofErr w:type="spellStart"/>
      <w:r w:rsidRPr="009373F0">
        <w:rPr>
          <w:rFonts w:ascii="Arial" w:hAnsi="Arial" w:cs="Arial"/>
          <w:sz w:val="24"/>
          <w:szCs w:val="24"/>
        </w:rPr>
        <w:t>Qiagen</w:t>
      </w:r>
      <w:proofErr w:type="spellEnd"/>
      <w:r w:rsidRPr="009373F0">
        <w:rPr>
          <w:rFonts w:ascii="Arial" w:hAnsi="Arial" w:cs="Arial"/>
          <w:sz w:val="24"/>
          <w:szCs w:val="24"/>
        </w:rPr>
        <w:t xml:space="preserve">, Valencia, CA) was included to remove genomic </w:t>
      </w:r>
      <w:smartTag w:uri="urn:schemas-microsoft-com:office:smarttags" w:element="stockticker">
        <w:r w:rsidRPr="009373F0">
          <w:rPr>
            <w:rFonts w:ascii="Arial" w:hAnsi="Arial" w:cs="Arial"/>
            <w:sz w:val="24"/>
            <w:szCs w:val="24"/>
          </w:rPr>
          <w:t>DNA</w:t>
        </w:r>
      </w:smartTag>
      <w:r w:rsidRPr="009373F0">
        <w:rPr>
          <w:rFonts w:ascii="Arial" w:hAnsi="Arial" w:cs="Arial"/>
          <w:sz w:val="24"/>
          <w:szCs w:val="24"/>
        </w:rPr>
        <w:t xml:space="preserve">. Reverse transcribed </w:t>
      </w:r>
      <w:smartTag w:uri="urn:schemas-microsoft-com:office:smarttags" w:element="stockticker">
        <w:r w:rsidRPr="009373F0">
          <w:rPr>
            <w:rFonts w:ascii="Arial" w:hAnsi="Arial" w:cs="Arial"/>
            <w:sz w:val="24"/>
            <w:szCs w:val="24"/>
          </w:rPr>
          <w:t>PCR</w:t>
        </w:r>
      </w:smartTag>
      <w:r w:rsidRPr="009373F0">
        <w:rPr>
          <w:rFonts w:ascii="Arial" w:hAnsi="Arial" w:cs="Arial"/>
          <w:sz w:val="24"/>
          <w:szCs w:val="24"/>
        </w:rPr>
        <w:t xml:space="preserve"> (RT-</w:t>
      </w:r>
      <w:smartTag w:uri="urn:schemas-microsoft-com:office:smarttags" w:element="stockticker">
        <w:r w:rsidRPr="009373F0">
          <w:rPr>
            <w:rFonts w:ascii="Arial" w:hAnsi="Arial" w:cs="Arial"/>
            <w:sz w:val="24"/>
            <w:szCs w:val="24"/>
          </w:rPr>
          <w:t>PCR</w:t>
        </w:r>
      </w:smartTag>
      <w:r w:rsidRPr="009373F0">
        <w:rPr>
          <w:rFonts w:ascii="Arial" w:hAnsi="Arial" w:cs="Arial"/>
          <w:sz w:val="24"/>
          <w:szCs w:val="24"/>
        </w:rPr>
        <w:t xml:space="preserve">) was performed using </w:t>
      </w:r>
      <w:proofErr w:type="gramStart"/>
      <w:r w:rsidRPr="009373F0">
        <w:rPr>
          <w:rFonts w:ascii="Arial" w:hAnsi="Arial" w:cs="Arial"/>
          <w:sz w:val="24"/>
          <w:szCs w:val="24"/>
        </w:rPr>
        <w:t>a</w:t>
      </w:r>
      <w:proofErr w:type="gramEnd"/>
      <w:r w:rsidRPr="009373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3F0">
        <w:rPr>
          <w:rFonts w:ascii="Arial" w:hAnsi="Arial" w:cs="Arial"/>
          <w:sz w:val="24"/>
          <w:szCs w:val="24"/>
        </w:rPr>
        <w:t>OneStep</w:t>
      </w:r>
      <w:proofErr w:type="spellEnd"/>
      <w:r w:rsidRPr="009373F0">
        <w:rPr>
          <w:rFonts w:ascii="Arial" w:hAnsi="Arial" w:cs="Arial"/>
          <w:sz w:val="24"/>
          <w:szCs w:val="24"/>
        </w:rPr>
        <w:t xml:space="preserve"> RT-</w:t>
      </w:r>
      <w:smartTag w:uri="urn:schemas-microsoft-com:office:smarttags" w:element="stockticker">
        <w:r w:rsidRPr="009373F0">
          <w:rPr>
            <w:rFonts w:ascii="Arial" w:hAnsi="Arial" w:cs="Arial"/>
            <w:sz w:val="24"/>
            <w:szCs w:val="24"/>
          </w:rPr>
          <w:t>PCR</w:t>
        </w:r>
      </w:smartTag>
      <w:r w:rsidRPr="009373F0">
        <w:rPr>
          <w:rFonts w:ascii="Arial" w:hAnsi="Arial" w:cs="Arial"/>
          <w:sz w:val="24"/>
          <w:szCs w:val="24"/>
        </w:rPr>
        <w:t xml:space="preserve"> Kit (</w:t>
      </w:r>
      <w:proofErr w:type="spellStart"/>
      <w:r w:rsidRPr="009373F0">
        <w:rPr>
          <w:rFonts w:ascii="Arial" w:hAnsi="Arial" w:cs="Arial"/>
          <w:sz w:val="24"/>
          <w:szCs w:val="24"/>
        </w:rPr>
        <w:t>Qiagen</w:t>
      </w:r>
      <w:proofErr w:type="spellEnd"/>
      <w:r w:rsidRPr="009373F0">
        <w:rPr>
          <w:rFonts w:ascii="Arial" w:hAnsi="Arial" w:cs="Arial"/>
          <w:sz w:val="24"/>
          <w:szCs w:val="24"/>
        </w:rPr>
        <w:t>, Valencia, CA) according to the manufacturer’s instructions. The cDNA was used as a template for quantitative PCR (</w:t>
      </w:r>
      <w:proofErr w:type="spellStart"/>
      <w:r w:rsidRPr="009373F0">
        <w:rPr>
          <w:rFonts w:ascii="Arial" w:hAnsi="Arial" w:cs="Arial"/>
          <w:sz w:val="24"/>
          <w:szCs w:val="24"/>
        </w:rPr>
        <w:t>qPCR</w:t>
      </w:r>
      <w:proofErr w:type="spellEnd"/>
      <w:r w:rsidRPr="009373F0">
        <w:rPr>
          <w:rFonts w:ascii="Arial" w:hAnsi="Arial" w:cs="Arial"/>
          <w:sz w:val="24"/>
          <w:szCs w:val="24"/>
        </w:rPr>
        <w:t xml:space="preserve">), which was carried out using the </w:t>
      </w:r>
      <w:smartTag w:uri="urn:schemas-microsoft-com:office:smarttags" w:element="stockticker">
        <w:r w:rsidRPr="009373F0">
          <w:rPr>
            <w:rFonts w:ascii="Arial" w:hAnsi="Arial" w:cs="Arial"/>
            <w:sz w:val="24"/>
            <w:szCs w:val="24"/>
          </w:rPr>
          <w:t>ABI</w:t>
        </w:r>
      </w:smartTag>
      <w:r w:rsidRPr="009373F0">
        <w:rPr>
          <w:rFonts w:ascii="Arial" w:hAnsi="Arial" w:cs="Arial"/>
          <w:sz w:val="24"/>
          <w:szCs w:val="24"/>
        </w:rPr>
        <w:t xml:space="preserve"> 7900HT Real-Time </w:t>
      </w:r>
      <w:smartTag w:uri="urn:schemas-microsoft-com:office:smarttags" w:element="stockticker">
        <w:r w:rsidRPr="009373F0">
          <w:rPr>
            <w:rFonts w:ascii="Arial" w:hAnsi="Arial" w:cs="Arial"/>
            <w:sz w:val="24"/>
            <w:szCs w:val="24"/>
          </w:rPr>
          <w:t>PCR</w:t>
        </w:r>
      </w:smartTag>
      <w:r w:rsidRPr="009373F0">
        <w:rPr>
          <w:rFonts w:ascii="Arial" w:hAnsi="Arial" w:cs="Arial"/>
          <w:sz w:val="24"/>
          <w:szCs w:val="24"/>
        </w:rPr>
        <w:t xml:space="preserve"> System (Applied </w:t>
      </w:r>
      <w:proofErr w:type="spellStart"/>
      <w:r w:rsidRPr="009373F0">
        <w:rPr>
          <w:rFonts w:ascii="Arial" w:hAnsi="Arial" w:cs="Arial"/>
          <w:sz w:val="24"/>
          <w:szCs w:val="24"/>
        </w:rPr>
        <w:t>Biosystems</w:t>
      </w:r>
      <w:proofErr w:type="spellEnd"/>
      <w:r w:rsidRPr="009373F0">
        <w:rPr>
          <w:rFonts w:ascii="Arial" w:hAnsi="Arial" w:cs="Arial"/>
          <w:sz w:val="24"/>
          <w:szCs w:val="24"/>
        </w:rPr>
        <w:t xml:space="preserve">, Foster City, CA). Each reaction consisted of cDNA, primers, and </w:t>
      </w:r>
      <w:smartTag w:uri="urn:schemas-microsoft-com:office:smarttags" w:element="stockticker">
        <w:r w:rsidRPr="009373F0">
          <w:rPr>
            <w:rFonts w:ascii="Arial" w:hAnsi="Arial" w:cs="Arial"/>
            <w:sz w:val="24"/>
            <w:szCs w:val="24"/>
          </w:rPr>
          <w:t>SYBR</w:t>
        </w:r>
      </w:smartTag>
      <w:r w:rsidRPr="009373F0">
        <w:rPr>
          <w:rFonts w:ascii="Arial" w:hAnsi="Arial" w:cs="Arial"/>
          <w:sz w:val="24"/>
          <w:szCs w:val="24"/>
        </w:rPr>
        <w:t xml:space="preserve"> Green </w:t>
      </w:r>
      <w:smartTag w:uri="urn:schemas-microsoft-com:office:smarttags" w:element="stockticker">
        <w:r w:rsidRPr="009373F0">
          <w:rPr>
            <w:rFonts w:ascii="Arial" w:hAnsi="Arial" w:cs="Arial"/>
            <w:sz w:val="24"/>
            <w:szCs w:val="24"/>
          </w:rPr>
          <w:t>PCR</w:t>
        </w:r>
      </w:smartTag>
      <w:r w:rsidRPr="009373F0">
        <w:rPr>
          <w:rFonts w:ascii="Arial" w:hAnsi="Arial" w:cs="Arial"/>
          <w:sz w:val="24"/>
          <w:szCs w:val="24"/>
        </w:rPr>
        <w:t xml:space="preserve"> Master Mix (Applied </w:t>
      </w:r>
      <w:proofErr w:type="spellStart"/>
      <w:r w:rsidRPr="009373F0">
        <w:rPr>
          <w:rFonts w:ascii="Arial" w:hAnsi="Arial" w:cs="Arial"/>
          <w:sz w:val="24"/>
          <w:szCs w:val="24"/>
        </w:rPr>
        <w:t>Biosystems</w:t>
      </w:r>
      <w:proofErr w:type="spellEnd"/>
      <w:r w:rsidRPr="009373F0">
        <w:rPr>
          <w:rFonts w:ascii="Arial" w:hAnsi="Arial" w:cs="Arial"/>
          <w:sz w:val="24"/>
          <w:szCs w:val="24"/>
        </w:rPr>
        <w:t xml:space="preserve">, Foster City, CA) in an 8 </w:t>
      </w:r>
      <w:proofErr w:type="spellStart"/>
      <w:r w:rsidRPr="009373F0">
        <w:rPr>
          <w:rFonts w:ascii="Arial" w:hAnsi="Arial" w:cs="Arial"/>
          <w:sz w:val="24"/>
          <w:szCs w:val="24"/>
        </w:rPr>
        <w:t>μl</w:t>
      </w:r>
      <w:proofErr w:type="spellEnd"/>
      <w:r w:rsidRPr="009373F0">
        <w:rPr>
          <w:rFonts w:ascii="Arial" w:hAnsi="Arial" w:cs="Arial"/>
          <w:sz w:val="24"/>
          <w:szCs w:val="24"/>
        </w:rPr>
        <w:t xml:space="preserve"> volume. Melting curve analysis of target sequences showed that all primers used in this study generated </w:t>
      </w:r>
      <w:proofErr w:type="spellStart"/>
      <w:r w:rsidRPr="009373F0">
        <w:rPr>
          <w:rFonts w:ascii="Arial" w:hAnsi="Arial" w:cs="Arial"/>
          <w:sz w:val="24"/>
          <w:szCs w:val="24"/>
        </w:rPr>
        <w:t>amplicons</w:t>
      </w:r>
      <w:proofErr w:type="spellEnd"/>
      <w:r w:rsidRPr="009373F0">
        <w:rPr>
          <w:rFonts w:ascii="Arial" w:hAnsi="Arial" w:cs="Arial"/>
          <w:sz w:val="24"/>
          <w:szCs w:val="24"/>
        </w:rPr>
        <w:t xml:space="preserve"> that had a single peak, without primer-dimer artifacts. Primer concentrations were optimized prior to use in </w:t>
      </w:r>
      <w:proofErr w:type="spellStart"/>
      <w:r w:rsidRPr="009373F0">
        <w:rPr>
          <w:rFonts w:ascii="Arial" w:hAnsi="Arial" w:cs="Arial"/>
          <w:sz w:val="24"/>
          <w:szCs w:val="24"/>
        </w:rPr>
        <w:t>qPCR</w:t>
      </w:r>
      <w:proofErr w:type="spellEnd"/>
      <w:r w:rsidRPr="009373F0">
        <w:rPr>
          <w:rFonts w:ascii="Arial" w:hAnsi="Arial" w:cs="Arial"/>
          <w:sz w:val="24"/>
          <w:szCs w:val="24"/>
        </w:rPr>
        <w:t xml:space="preserve"> experiments. Relative changes in gene expression were calculated using the 2</w:t>
      </w:r>
      <w:r w:rsidRPr="009373F0">
        <w:rPr>
          <w:rFonts w:ascii="Arial" w:hAnsi="Arial" w:cs="Arial"/>
          <w:sz w:val="24"/>
          <w:szCs w:val="24"/>
          <w:vertAlign w:val="superscript"/>
        </w:rPr>
        <w:t>-∆∆Ct</w:t>
      </w:r>
      <w:r w:rsidRPr="009373F0">
        <w:rPr>
          <w:rFonts w:ascii="Arial" w:hAnsi="Arial" w:cs="Arial"/>
          <w:sz w:val="24"/>
          <w:szCs w:val="24"/>
        </w:rPr>
        <w:t xml:space="preserve"> method with β2-microglobulin (β2M) as a reference gene. Each </w:t>
      </w:r>
      <w:proofErr w:type="spellStart"/>
      <w:r w:rsidRPr="009373F0">
        <w:rPr>
          <w:rFonts w:ascii="Arial" w:hAnsi="Arial" w:cs="Arial"/>
          <w:sz w:val="24"/>
          <w:szCs w:val="24"/>
        </w:rPr>
        <w:t>qPCR</w:t>
      </w:r>
      <w:proofErr w:type="spellEnd"/>
      <w:r w:rsidRPr="009373F0">
        <w:rPr>
          <w:rFonts w:ascii="Arial" w:hAnsi="Arial" w:cs="Arial"/>
          <w:sz w:val="24"/>
          <w:szCs w:val="24"/>
        </w:rPr>
        <w:t xml:space="preserve"> was carried out in triplicate, with each triplicate data point repeated </w:t>
      </w:r>
      <w:r w:rsidR="00CF419F">
        <w:rPr>
          <w:rFonts w:ascii="Arial" w:hAnsi="Arial" w:cs="Arial"/>
          <w:sz w:val="24"/>
          <w:szCs w:val="24"/>
        </w:rPr>
        <w:t>3</w:t>
      </w:r>
      <w:r w:rsidRPr="009373F0">
        <w:rPr>
          <w:rFonts w:ascii="Arial" w:hAnsi="Arial" w:cs="Arial"/>
          <w:sz w:val="24"/>
          <w:szCs w:val="24"/>
        </w:rPr>
        <w:t xml:space="preserve"> times. </w:t>
      </w:r>
      <w:r w:rsidR="00CF419F" w:rsidRPr="00CF419F">
        <w:rPr>
          <w:rFonts w:ascii="Arial" w:hAnsi="Arial" w:cs="Arial"/>
          <w:bCs/>
          <w:sz w:val="24"/>
          <w:szCs w:val="24"/>
        </w:rPr>
        <w:t xml:space="preserve">For the triplicates, only samples that differed by &lt;0.3 Ct values were used in the final calculations. Less than ~5% of samples fell out of this range. In addition, standard curves were generated for each gene using a 50-fold dilution range. </w:t>
      </w:r>
      <w:proofErr w:type="spellStart"/>
      <w:r w:rsidR="00CF419F" w:rsidRPr="00CF419F">
        <w:rPr>
          <w:rFonts w:ascii="Arial" w:hAnsi="Arial" w:cs="Arial"/>
          <w:bCs/>
          <w:sz w:val="24"/>
          <w:szCs w:val="24"/>
        </w:rPr>
        <w:t>qPCR</w:t>
      </w:r>
      <w:proofErr w:type="spellEnd"/>
      <w:r w:rsidR="00CF419F" w:rsidRPr="00CF419F">
        <w:rPr>
          <w:rFonts w:ascii="Arial" w:hAnsi="Arial" w:cs="Arial"/>
          <w:bCs/>
          <w:sz w:val="24"/>
          <w:szCs w:val="24"/>
        </w:rPr>
        <w:t xml:space="preserve"> experiments </w:t>
      </w:r>
      <w:r w:rsidR="00CF419F" w:rsidRPr="00CF419F">
        <w:rPr>
          <w:rFonts w:ascii="Arial" w:hAnsi="Arial" w:cs="Arial"/>
          <w:bCs/>
          <w:sz w:val="24"/>
          <w:szCs w:val="24"/>
        </w:rPr>
        <w:lastRenderedPageBreak/>
        <w:t xml:space="preserve">were only used in the final analysis if the slope of the Ct vs input curve was at least -3.0 and the correlation coefficient for triplicate </w:t>
      </w:r>
      <w:proofErr w:type="spellStart"/>
      <w:r w:rsidR="00CF419F" w:rsidRPr="00CF419F">
        <w:rPr>
          <w:rFonts w:ascii="Arial" w:hAnsi="Arial" w:cs="Arial"/>
          <w:bCs/>
          <w:sz w:val="24"/>
          <w:szCs w:val="24"/>
        </w:rPr>
        <w:t>sames</w:t>
      </w:r>
      <w:proofErr w:type="spellEnd"/>
      <w:r w:rsidR="00CF419F" w:rsidRPr="00CF419F">
        <w:rPr>
          <w:rFonts w:ascii="Arial" w:hAnsi="Arial" w:cs="Arial"/>
          <w:bCs/>
          <w:sz w:val="24"/>
          <w:szCs w:val="24"/>
        </w:rPr>
        <w:t xml:space="preserve"> was &gt;0.98. Relative changes in gene expression were calculated using the 2</w:t>
      </w:r>
      <w:r w:rsidR="00CF419F" w:rsidRPr="00CF419F">
        <w:rPr>
          <w:rFonts w:ascii="Arial" w:hAnsi="Arial" w:cs="Arial"/>
          <w:bCs/>
          <w:sz w:val="24"/>
          <w:szCs w:val="24"/>
          <w:vertAlign w:val="superscript"/>
        </w:rPr>
        <w:t>-∆∆Ct</w:t>
      </w:r>
      <w:r w:rsidR="00CF419F" w:rsidRPr="00CF419F">
        <w:rPr>
          <w:rFonts w:ascii="Arial" w:hAnsi="Arial" w:cs="Arial"/>
          <w:bCs/>
          <w:sz w:val="24"/>
          <w:szCs w:val="24"/>
        </w:rPr>
        <w:t xml:space="preserve"> method with β2-microglobulin (β2M) as </w:t>
      </w:r>
      <w:r w:rsidR="007654D9">
        <w:rPr>
          <w:rFonts w:ascii="Arial" w:hAnsi="Arial" w:cs="Arial"/>
          <w:bCs/>
          <w:sz w:val="24"/>
          <w:szCs w:val="24"/>
        </w:rPr>
        <w:t xml:space="preserve">a </w:t>
      </w:r>
      <w:r w:rsidR="00CF419F" w:rsidRPr="00CF419F">
        <w:rPr>
          <w:rFonts w:ascii="Arial" w:hAnsi="Arial" w:cs="Arial"/>
          <w:bCs/>
          <w:sz w:val="24"/>
          <w:szCs w:val="24"/>
        </w:rPr>
        <w:t xml:space="preserve">reference gene. </w:t>
      </w:r>
      <w:r w:rsidR="00CF419F" w:rsidRPr="00CF419F">
        <w:rPr>
          <w:rFonts w:ascii="Arial" w:hAnsi="Arial" w:cs="Arial"/>
          <w:sz w:val="24"/>
          <w:szCs w:val="24"/>
        </w:rPr>
        <w:t xml:space="preserve"> Significant differences in gene expression were assessed using a two-tailed student T-test.</w:t>
      </w:r>
    </w:p>
    <w:p w:rsidR="009C2E6D" w:rsidRDefault="009C2E6D" w:rsidP="004115C2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</w:p>
    <w:p w:rsidR="00545782" w:rsidRPr="009373F0" w:rsidRDefault="009C2E6D" w:rsidP="004115C2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PCR p</w:t>
      </w:r>
      <w:r w:rsidR="00804FC8" w:rsidRPr="009373F0">
        <w:rPr>
          <w:rFonts w:ascii="Arial" w:hAnsi="Arial" w:cs="Arial"/>
          <w:b/>
          <w:sz w:val="24"/>
          <w:szCs w:val="24"/>
        </w:rPr>
        <w:t>rimers used in this study</w:t>
      </w:r>
      <w:r w:rsidR="00545782" w:rsidRPr="009373F0">
        <w:rPr>
          <w:rFonts w:ascii="Arial" w:hAnsi="Arial" w:cs="Arial"/>
          <w:b/>
          <w:sz w:val="24"/>
          <w:szCs w:val="24"/>
        </w:rPr>
        <w:t xml:space="preserve"> </w:t>
      </w:r>
    </w:p>
    <w:p w:rsidR="00F7176D" w:rsidRPr="00544CDC" w:rsidRDefault="00F7176D" w:rsidP="004115C2">
      <w:pPr>
        <w:pStyle w:val="NoSpacing"/>
        <w:spacing w:line="480" w:lineRule="auto"/>
        <w:rPr>
          <w:rFonts w:ascii="Arial" w:hAnsi="Arial" w:cs="Arial"/>
          <w:b/>
          <w:sz w:val="20"/>
          <w:szCs w:val="20"/>
        </w:rPr>
      </w:pPr>
      <w:r w:rsidRPr="00544CDC">
        <w:rPr>
          <w:rFonts w:ascii="Arial" w:hAnsi="Arial" w:cs="Arial"/>
          <w:b/>
          <w:sz w:val="20"/>
          <w:szCs w:val="20"/>
        </w:rPr>
        <w:t>Gene</w:t>
      </w:r>
      <w:r w:rsidRPr="00544CDC">
        <w:rPr>
          <w:rFonts w:ascii="Arial" w:hAnsi="Arial" w:cs="Arial"/>
          <w:b/>
          <w:sz w:val="20"/>
          <w:szCs w:val="20"/>
        </w:rPr>
        <w:tab/>
      </w:r>
      <w:r w:rsidRPr="00544CDC">
        <w:rPr>
          <w:rFonts w:ascii="Arial" w:hAnsi="Arial" w:cs="Arial"/>
          <w:b/>
          <w:sz w:val="20"/>
          <w:szCs w:val="20"/>
        </w:rPr>
        <w:tab/>
      </w:r>
      <w:r w:rsidRPr="00544CDC">
        <w:rPr>
          <w:rFonts w:ascii="Arial" w:hAnsi="Arial" w:cs="Arial"/>
          <w:b/>
          <w:sz w:val="20"/>
          <w:szCs w:val="20"/>
        </w:rPr>
        <w:tab/>
        <w:t>Forward</w:t>
      </w:r>
      <w:r w:rsidRPr="00544CDC">
        <w:rPr>
          <w:rFonts w:ascii="Arial" w:hAnsi="Arial" w:cs="Arial"/>
          <w:b/>
          <w:sz w:val="20"/>
          <w:szCs w:val="20"/>
        </w:rPr>
        <w:tab/>
      </w:r>
      <w:r w:rsidRPr="00544CDC">
        <w:rPr>
          <w:rFonts w:ascii="Arial" w:hAnsi="Arial" w:cs="Arial"/>
          <w:b/>
          <w:sz w:val="20"/>
          <w:szCs w:val="20"/>
        </w:rPr>
        <w:tab/>
      </w:r>
      <w:r w:rsidRPr="00544CDC">
        <w:rPr>
          <w:rFonts w:ascii="Arial" w:hAnsi="Arial" w:cs="Arial"/>
          <w:b/>
          <w:sz w:val="20"/>
          <w:szCs w:val="20"/>
        </w:rPr>
        <w:tab/>
      </w:r>
      <w:r w:rsidRPr="00544CDC">
        <w:rPr>
          <w:rFonts w:ascii="Arial" w:hAnsi="Arial" w:cs="Arial"/>
          <w:b/>
          <w:sz w:val="20"/>
          <w:szCs w:val="20"/>
        </w:rPr>
        <w:tab/>
        <w:t>Reverse</w:t>
      </w:r>
    </w:p>
    <w:p w:rsidR="00545782" w:rsidRPr="00544CDC" w:rsidRDefault="00804FC8" w:rsidP="009373F0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proofErr w:type="gramStart"/>
      <w:r w:rsidRPr="00544CDC">
        <w:rPr>
          <w:rFonts w:ascii="Arial" w:hAnsi="Arial" w:cs="Arial"/>
          <w:sz w:val="20"/>
          <w:szCs w:val="20"/>
        </w:rPr>
        <w:t>β2M</w:t>
      </w:r>
      <w:proofErr w:type="gramEnd"/>
      <w:r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ab/>
      </w:r>
      <w:r w:rsidR="00F7176D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>GCTCGCGCTACTCTCTCTTT</w:t>
      </w:r>
      <w:r w:rsidR="00BA6F54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ab/>
        <w:t>CAATGTCGGATGGATGAAAC</w:t>
      </w:r>
    </w:p>
    <w:p w:rsidR="00BC715C" w:rsidRPr="00544CDC" w:rsidRDefault="00BC715C" w:rsidP="009373F0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544CDC">
        <w:rPr>
          <w:rFonts w:ascii="Arial" w:hAnsi="Arial" w:cs="Arial"/>
          <w:sz w:val="20"/>
          <w:szCs w:val="20"/>
        </w:rPr>
        <w:t>OCT4 plasmid</w:t>
      </w:r>
      <w:r w:rsidR="009373F0" w:rsidRPr="00544CDC">
        <w:rPr>
          <w:rFonts w:ascii="Arial" w:hAnsi="Arial" w:cs="Arial"/>
          <w:sz w:val="20"/>
          <w:szCs w:val="20"/>
        </w:rPr>
        <w:t xml:space="preserve">  </w:t>
      </w:r>
      <w:r w:rsidR="009373F0" w:rsidRPr="00544CDC">
        <w:rPr>
          <w:rFonts w:ascii="Arial" w:hAnsi="Arial" w:cs="Arial"/>
          <w:sz w:val="20"/>
          <w:szCs w:val="20"/>
        </w:rPr>
        <w:tab/>
      </w:r>
      <w:r w:rsidR="009373F0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>CATTCAAACTGAGGTAAGGG</w:t>
      </w:r>
      <w:r w:rsidRPr="00544CDC">
        <w:rPr>
          <w:rFonts w:ascii="Arial" w:hAnsi="Arial" w:cs="Arial"/>
          <w:sz w:val="20"/>
          <w:szCs w:val="20"/>
        </w:rPr>
        <w:tab/>
      </w:r>
      <w:r w:rsidR="009373F0" w:rsidRPr="00544CDC">
        <w:rPr>
          <w:rFonts w:ascii="Arial" w:hAnsi="Arial" w:cs="Arial"/>
          <w:sz w:val="20"/>
          <w:szCs w:val="20"/>
        </w:rPr>
        <w:t xml:space="preserve"> </w:t>
      </w:r>
      <w:r w:rsidR="00BA6F54" w:rsidRPr="00544CDC">
        <w:rPr>
          <w:rFonts w:ascii="Arial" w:hAnsi="Arial" w:cs="Arial"/>
          <w:sz w:val="20"/>
          <w:szCs w:val="20"/>
        </w:rPr>
        <w:tab/>
      </w:r>
      <w:r w:rsidR="009373F0" w:rsidRPr="00544CDC">
        <w:rPr>
          <w:rFonts w:ascii="Arial" w:hAnsi="Arial" w:cs="Arial"/>
          <w:sz w:val="20"/>
          <w:szCs w:val="20"/>
        </w:rPr>
        <w:t xml:space="preserve"> </w:t>
      </w:r>
      <w:r w:rsidRPr="00544CDC">
        <w:rPr>
          <w:rFonts w:ascii="Arial" w:hAnsi="Arial" w:cs="Arial"/>
          <w:sz w:val="20"/>
          <w:szCs w:val="20"/>
        </w:rPr>
        <w:t>TAGCGTAAAAGGAGCAACATAG</w:t>
      </w:r>
    </w:p>
    <w:p w:rsidR="00BC715C" w:rsidRPr="00544CDC" w:rsidRDefault="00BC715C" w:rsidP="009373F0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544CDC">
        <w:rPr>
          <w:rFonts w:ascii="Arial" w:hAnsi="Arial" w:cs="Arial"/>
          <w:sz w:val="20"/>
          <w:szCs w:val="20"/>
        </w:rPr>
        <w:t>KLF4 plasmid</w:t>
      </w:r>
      <w:r w:rsidR="009373F0" w:rsidRPr="00544CDC">
        <w:rPr>
          <w:rFonts w:ascii="Arial" w:hAnsi="Arial" w:cs="Arial"/>
          <w:sz w:val="20"/>
          <w:szCs w:val="20"/>
        </w:rPr>
        <w:t xml:space="preserve">   </w:t>
      </w:r>
      <w:r w:rsidR="009373F0" w:rsidRPr="00544CDC">
        <w:rPr>
          <w:rFonts w:ascii="Arial" w:hAnsi="Arial" w:cs="Arial"/>
          <w:sz w:val="20"/>
          <w:szCs w:val="20"/>
        </w:rPr>
        <w:tab/>
      </w:r>
      <w:r w:rsidR="009373F0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 xml:space="preserve">CCACCTCGCCTTACACATGAAGA </w:t>
      </w:r>
      <w:r w:rsidR="00BA6F54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>GCGTAAAAGGAGCAACATAG</w:t>
      </w:r>
    </w:p>
    <w:p w:rsidR="00BC715C" w:rsidRPr="00544CDC" w:rsidRDefault="00BC715C" w:rsidP="009373F0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544CDC">
        <w:rPr>
          <w:rFonts w:ascii="Arial" w:hAnsi="Arial" w:cs="Arial"/>
          <w:sz w:val="20"/>
          <w:szCs w:val="20"/>
        </w:rPr>
        <w:t>SOX2 plasmid</w:t>
      </w:r>
      <w:r w:rsidR="009373F0" w:rsidRPr="00544CDC">
        <w:rPr>
          <w:rFonts w:ascii="Arial" w:hAnsi="Arial" w:cs="Arial"/>
          <w:sz w:val="20"/>
          <w:szCs w:val="20"/>
        </w:rPr>
        <w:tab/>
      </w:r>
      <w:r w:rsidR="009373F0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 xml:space="preserve">TTCACATGTCCCAGCACTACCAGA </w:t>
      </w:r>
      <w:r w:rsidR="00BA6F54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>TTGTTTGACAGGAGCGACGAT</w:t>
      </w:r>
    </w:p>
    <w:p w:rsidR="00BC715C" w:rsidRPr="00544CDC" w:rsidRDefault="00BC715C" w:rsidP="009373F0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544CDC">
        <w:rPr>
          <w:rFonts w:ascii="Arial" w:hAnsi="Arial" w:cs="Arial"/>
          <w:sz w:val="20"/>
          <w:szCs w:val="20"/>
        </w:rPr>
        <w:t>L-MYC plasmid</w:t>
      </w:r>
      <w:r w:rsidR="009373F0" w:rsidRPr="00544CDC">
        <w:rPr>
          <w:rFonts w:ascii="Arial" w:hAnsi="Arial" w:cs="Arial"/>
          <w:sz w:val="20"/>
          <w:szCs w:val="20"/>
        </w:rPr>
        <w:tab/>
      </w:r>
      <w:r w:rsidR="009373F0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>GGCTGAGAAGAGGATGGCTAC</w:t>
      </w:r>
      <w:r w:rsidR="009373F0" w:rsidRPr="00544CDC">
        <w:rPr>
          <w:rFonts w:ascii="Arial" w:hAnsi="Arial" w:cs="Arial"/>
          <w:sz w:val="20"/>
          <w:szCs w:val="20"/>
        </w:rPr>
        <w:t xml:space="preserve"> </w:t>
      </w:r>
      <w:r w:rsidR="00BA6F54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>TTTGTTTGACAGGAGCGACGAT</w:t>
      </w:r>
    </w:p>
    <w:p w:rsidR="00BC715C" w:rsidRPr="00544CDC" w:rsidRDefault="00BC715C" w:rsidP="009373F0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544CDC">
        <w:rPr>
          <w:rFonts w:ascii="Arial" w:hAnsi="Arial" w:cs="Arial"/>
          <w:sz w:val="20"/>
          <w:szCs w:val="20"/>
        </w:rPr>
        <w:t xml:space="preserve">LIN28 plasmid </w:t>
      </w:r>
      <w:r w:rsidR="009373F0" w:rsidRPr="00544CDC">
        <w:rPr>
          <w:rFonts w:ascii="Arial" w:hAnsi="Arial" w:cs="Arial"/>
          <w:sz w:val="20"/>
          <w:szCs w:val="20"/>
        </w:rPr>
        <w:tab/>
      </w:r>
      <w:r w:rsidR="009373F0"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>AGCCATATGGTAGCCTCATGTCCGC</w:t>
      </w:r>
      <w:r w:rsidR="009373F0" w:rsidRPr="00544CDC">
        <w:rPr>
          <w:rFonts w:ascii="Arial" w:hAnsi="Arial" w:cs="Arial"/>
          <w:sz w:val="20"/>
          <w:szCs w:val="20"/>
        </w:rPr>
        <w:t xml:space="preserve"> </w:t>
      </w:r>
      <w:r w:rsidRPr="00544CDC">
        <w:rPr>
          <w:rFonts w:ascii="Arial" w:hAnsi="Arial" w:cs="Arial"/>
          <w:sz w:val="20"/>
          <w:szCs w:val="20"/>
        </w:rPr>
        <w:t>TAGCGTAAAAGGAGCAACATAG</w:t>
      </w:r>
    </w:p>
    <w:p w:rsidR="00BA6F54" w:rsidRDefault="00BA6F54" w:rsidP="00BA6F54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544CDC">
        <w:rPr>
          <w:rFonts w:ascii="Arial" w:hAnsi="Arial" w:cs="Arial"/>
          <w:sz w:val="20"/>
          <w:szCs w:val="20"/>
        </w:rPr>
        <w:t>ZNF804A</w:t>
      </w:r>
      <w:r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ab/>
        <w:t>CCAGCTCTCACCAGAACCTC</w:t>
      </w:r>
      <w:r w:rsidRPr="00544CDC">
        <w:rPr>
          <w:rFonts w:ascii="Arial" w:hAnsi="Arial" w:cs="Arial"/>
          <w:sz w:val="20"/>
          <w:szCs w:val="20"/>
        </w:rPr>
        <w:tab/>
      </w:r>
      <w:r w:rsidRPr="00544CDC">
        <w:rPr>
          <w:rFonts w:ascii="Arial" w:hAnsi="Arial" w:cs="Arial"/>
          <w:sz w:val="20"/>
          <w:szCs w:val="20"/>
        </w:rPr>
        <w:tab/>
        <w:t>GGTTGCAAAGGGATGACAGT</w:t>
      </w:r>
    </w:p>
    <w:p w:rsidR="009C2E6D" w:rsidRPr="009C2E6D" w:rsidRDefault="009C2E6D" w:rsidP="009C2E6D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9C2E6D">
        <w:rPr>
          <w:rFonts w:ascii="Arial" w:hAnsi="Arial" w:cs="Arial"/>
          <w:sz w:val="20"/>
          <w:szCs w:val="20"/>
        </w:rPr>
        <w:t>IFITM2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ab/>
        <w:t>GGGACAGGAAGATGGTTGG</w:t>
      </w:r>
      <w:r w:rsidRPr="009C2E6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>GGTCATGAAGATGCCCAAAA</w:t>
      </w:r>
      <w:r w:rsidRPr="009C2E6D"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ab/>
      </w:r>
    </w:p>
    <w:p w:rsidR="009C2E6D" w:rsidRPr="009C2E6D" w:rsidRDefault="009C2E6D" w:rsidP="009C2E6D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9C2E6D">
        <w:rPr>
          <w:rFonts w:ascii="Arial" w:hAnsi="Arial" w:cs="Arial"/>
          <w:sz w:val="20"/>
          <w:szCs w:val="20"/>
        </w:rPr>
        <w:t>IFITM3</w:t>
      </w:r>
      <w:r w:rsidRPr="009C2E6D"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CTGATTCTGGGCATCCTCAT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>ATACAGGTCATGGGCAGAGC</w:t>
      </w:r>
      <w:r w:rsidRPr="009C2E6D"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ab/>
      </w:r>
    </w:p>
    <w:p w:rsidR="009C2E6D" w:rsidRPr="009C2E6D" w:rsidRDefault="009C2E6D" w:rsidP="009C2E6D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CRYAB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>GATTGAGGTGCATGGAAAA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>GCCTCCAAAGCTGATAGCAC</w:t>
      </w:r>
      <w:r w:rsidRPr="009C2E6D"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ab/>
      </w:r>
    </w:p>
    <w:p w:rsidR="009C2E6D" w:rsidRPr="009C2E6D" w:rsidRDefault="009C2E6D" w:rsidP="009C2E6D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9C2E6D">
        <w:rPr>
          <w:rFonts w:ascii="Arial" w:hAnsi="Arial" w:cs="Arial"/>
          <w:sz w:val="20"/>
          <w:szCs w:val="20"/>
        </w:rPr>
        <w:t xml:space="preserve">APOE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CACTGTCTGAGCAGGTGCAG</w:t>
      </w:r>
      <w:r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ab/>
        <w:t>TCCAGTTCCGATTTGTAGGC</w:t>
      </w:r>
      <w:r w:rsidRPr="009C2E6D"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ab/>
      </w:r>
    </w:p>
    <w:p w:rsidR="009C2E6D" w:rsidRPr="009C2E6D" w:rsidRDefault="009C2E6D" w:rsidP="009C2E6D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9C2E6D">
        <w:rPr>
          <w:rFonts w:ascii="Arial" w:hAnsi="Arial" w:cs="Arial"/>
          <w:sz w:val="20"/>
          <w:szCs w:val="20"/>
        </w:rPr>
        <w:t>EZH2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 xml:space="preserve">TGAAGTATGTCGGCATCGAA </w:t>
      </w:r>
      <w:r w:rsidRPr="009C2E6D"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ab/>
        <w:t>CCCACAGTACTCGAGGTTCC</w:t>
      </w:r>
      <w:r w:rsidRPr="009C2E6D">
        <w:rPr>
          <w:rFonts w:ascii="Arial" w:hAnsi="Arial" w:cs="Arial"/>
          <w:sz w:val="20"/>
          <w:szCs w:val="20"/>
        </w:rPr>
        <w:tab/>
      </w:r>
      <w:r w:rsidRPr="009C2E6D">
        <w:rPr>
          <w:rFonts w:ascii="Arial" w:hAnsi="Arial" w:cs="Arial"/>
          <w:sz w:val="20"/>
          <w:szCs w:val="20"/>
        </w:rPr>
        <w:tab/>
      </w:r>
    </w:p>
    <w:p w:rsidR="00125282" w:rsidRDefault="00125282" w:rsidP="00125282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125282">
        <w:rPr>
          <w:rFonts w:ascii="Arial" w:hAnsi="Arial" w:cs="Arial"/>
          <w:sz w:val="20"/>
          <w:szCs w:val="20"/>
        </w:rPr>
        <w:t>CHRM2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ab/>
        <w:t>TACGGCTATTGCAGCCTTCT</w:t>
      </w:r>
      <w:r w:rsidRPr="00125282"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ab/>
        <w:t>GCAACAGGCTCCTTCTTGTC</w:t>
      </w:r>
      <w:r w:rsidRPr="00125282"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ab/>
      </w:r>
    </w:p>
    <w:p w:rsidR="00125282" w:rsidRDefault="00125282" w:rsidP="00125282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125282">
        <w:rPr>
          <w:rFonts w:ascii="Arial" w:hAnsi="Arial" w:cs="Arial"/>
          <w:sz w:val="20"/>
          <w:szCs w:val="20"/>
        </w:rPr>
        <w:t>IGF2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>             TACCGCCATCTCCCTTCTCA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>GGTGAGGGTCGTGCCAATTA</w:t>
      </w:r>
    </w:p>
    <w:p w:rsidR="00125282" w:rsidRDefault="00125282" w:rsidP="00125282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125282">
        <w:rPr>
          <w:rFonts w:ascii="Arial" w:hAnsi="Arial" w:cs="Arial"/>
          <w:sz w:val="20"/>
          <w:szCs w:val="20"/>
        </w:rPr>
        <w:t>SLC6A9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AAAAATGCCACAAAGCCAAG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>GAGCCATTACTGCCCACAAT</w:t>
      </w:r>
      <w:r w:rsidRPr="00125282"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ab/>
      </w:r>
    </w:p>
    <w:p w:rsidR="00125282" w:rsidRDefault="00125282" w:rsidP="00125282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125282">
        <w:rPr>
          <w:rFonts w:ascii="Arial" w:hAnsi="Arial" w:cs="Arial"/>
          <w:sz w:val="20"/>
          <w:szCs w:val="20"/>
        </w:rPr>
        <w:t>GRIA2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>TGGGGACTGATTTTTGGTGT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AAATTGTCGATGTGGGGTGT</w:t>
      </w:r>
      <w:r w:rsidRPr="00125282"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ab/>
      </w:r>
    </w:p>
    <w:p w:rsidR="00125282" w:rsidRPr="00125282" w:rsidRDefault="00125282" w:rsidP="00125282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125282">
        <w:rPr>
          <w:rFonts w:ascii="Arial" w:hAnsi="Arial" w:cs="Arial"/>
          <w:sz w:val="20"/>
          <w:szCs w:val="20"/>
        </w:rPr>
        <w:t>CDK1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>TACACATGAGGTAGTAACACTCTG</w:t>
      </w:r>
      <w:r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>AGTCCTGTAAAGATTCCACTTCTG</w:t>
      </w:r>
    </w:p>
    <w:p w:rsidR="00BA6F54" w:rsidRDefault="00125282" w:rsidP="00125282">
      <w:pPr>
        <w:pStyle w:val="NoSpacing"/>
        <w:spacing w:line="480" w:lineRule="auto"/>
        <w:rPr>
          <w:rFonts w:ascii="Arial" w:hAnsi="Arial" w:cs="Arial"/>
          <w:sz w:val="20"/>
          <w:szCs w:val="20"/>
        </w:rPr>
      </w:pPr>
      <w:r w:rsidRPr="00125282">
        <w:rPr>
          <w:rFonts w:ascii="Arial" w:hAnsi="Arial" w:cs="Arial"/>
          <w:sz w:val="20"/>
          <w:szCs w:val="20"/>
        </w:rPr>
        <w:t>BEGAIN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 xml:space="preserve"> TCAGAGCAACTACATGGCAC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ATAGAGCTCGTTGTCCTCTG   </w:t>
      </w:r>
      <w:r w:rsidRPr="00125282"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ab/>
      </w:r>
      <w:r w:rsidRPr="00125282">
        <w:rPr>
          <w:rFonts w:ascii="Arial" w:hAnsi="Arial" w:cs="Arial"/>
          <w:sz w:val="20"/>
          <w:szCs w:val="20"/>
        </w:rPr>
        <w:tab/>
      </w:r>
      <w:r w:rsidR="009C2E6D" w:rsidRPr="009C2E6D">
        <w:rPr>
          <w:rFonts w:ascii="Arial" w:hAnsi="Arial" w:cs="Arial"/>
          <w:sz w:val="20"/>
          <w:szCs w:val="20"/>
        </w:rPr>
        <w:tab/>
      </w:r>
      <w:r w:rsidR="009C2E6D" w:rsidRPr="009C2E6D">
        <w:rPr>
          <w:rFonts w:ascii="Arial" w:hAnsi="Arial" w:cs="Arial"/>
          <w:sz w:val="20"/>
          <w:szCs w:val="20"/>
        </w:rPr>
        <w:tab/>
      </w:r>
    </w:p>
    <w:p w:rsidR="004D357A" w:rsidRDefault="004D357A" w:rsidP="009C2E6D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ZNF804A </w:t>
      </w:r>
      <w:proofErr w:type="spellStart"/>
      <w:r>
        <w:rPr>
          <w:rFonts w:ascii="Arial" w:hAnsi="Arial" w:cs="Arial"/>
          <w:b/>
          <w:sz w:val="24"/>
          <w:szCs w:val="24"/>
        </w:rPr>
        <w:t>shRNA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vectors</w:t>
      </w:r>
    </w:p>
    <w:p w:rsidR="004D357A" w:rsidRPr="004D357A" w:rsidRDefault="004D357A" w:rsidP="009C2E6D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r w:rsidRPr="004D357A">
        <w:rPr>
          <w:rFonts w:ascii="Arial" w:hAnsi="Arial" w:cs="Arial"/>
          <w:b/>
          <w:sz w:val="24"/>
          <w:szCs w:val="24"/>
        </w:rPr>
        <w:t xml:space="preserve">Albert Einstein College of Medicine </w:t>
      </w:r>
      <w:proofErr w:type="spellStart"/>
      <w:r w:rsidRPr="004D357A">
        <w:rPr>
          <w:rFonts w:ascii="Arial" w:hAnsi="Arial" w:cs="Arial"/>
          <w:b/>
          <w:sz w:val="24"/>
          <w:szCs w:val="24"/>
        </w:rPr>
        <w:t>shRNA</w:t>
      </w:r>
      <w:proofErr w:type="spellEnd"/>
      <w:r w:rsidRPr="004D357A">
        <w:rPr>
          <w:rFonts w:ascii="Arial" w:hAnsi="Arial" w:cs="Arial"/>
          <w:b/>
          <w:sz w:val="24"/>
          <w:szCs w:val="24"/>
        </w:rPr>
        <w:t xml:space="preserve"> core facility</w:t>
      </w:r>
    </w:p>
    <w:p w:rsidR="004D357A" w:rsidRDefault="004D357A" w:rsidP="009C2E6D">
      <w:pPr>
        <w:pStyle w:val="NoSpacing"/>
        <w:spacing w:line="480" w:lineRule="auto"/>
        <w:rPr>
          <w:rFonts w:ascii="Arial" w:hAnsi="Arial" w:cs="Arial"/>
          <w:sz w:val="24"/>
          <w:szCs w:val="24"/>
        </w:rPr>
      </w:pPr>
      <w:r w:rsidRPr="004D357A">
        <w:rPr>
          <w:rFonts w:ascii="Arial" w:hAnsi="Arial" w:cs="Arial"/>
          <w:sz w:val="24"/>
          <w:szCs w:val="24"/>
        </w:rPr>
        <w:t xml:space="preserve">RHS4430-101027527 </w:t>
      </w:r>
      <w:r>
        <w:rPr>
          <w:rFonts w:ascii="Arial" w:hAnsi="Arial" w:cs="Arial"/>
          <w:sz w:val="24"/>
          <w:szCs w:val="24"/>
        </w:rPr>
        <w:t>(</w:t>
      </w:r>
      <w:r w:rsidRPr="004D357A">
        <w:rPr>
          <w:rFonts w:ascii="Arial" w:hAnsi="Arial" w:cs="Arial"/>
          <w:sz w:val="24"/>
          <w:szCs w:val="24"/>
        </w:rPr>
        <w:t>sense sequence</w:t>
      </w:r>
      <w:r>
        <w:rPr>
          <w:rFonts w:ascii="Arial" w:hAnsi="Arial" w:cs="Arial"/>
          <w:sz w:val="24"/>
          <w:szCs w:val="24"/>
        </w:rPr>
        <w:t xml:space="preserve">: </w:t>
      </w:r>
      <w:r w:rsidRPr="004D357A">
        <w:rPr>
          <w:rFonts w:ascii="Arial" w:hAnsi="Arial" w:cs="Arial"/>
          <w:sz w:val="24"/>
          <w:szCs w:val="24"/>
        </w:rPr>
        <w:t>AGAAGC</w:t>
      </w:r>
      <w:r>
        <w:rPr>
          <w:rFonts w:ascii="Arial" w:hAnsi="Arial" w:cs="Arial"/>
          <w:sz w:val="24"/>
          <w:szCs w:val="24"/>
        </w:rPr>
        <w:t>UU</w:t>
      </w:r>
      <w:r w:rsidRPr="004D357A">
        <w:rPr>
          <w:rFonts w:ascii="Arial" w:hAnsi="Arial" w:cs="Arial"/>
          <w:sz w:val="24"/>
          <w:szCs w:val="24"/>
        </w:rPr>
        <w:t>AG</w:t>
      </w:r>
      <w:r>
        <w:rPr>
          <w:rFonts w:ascii="Arial" w:hAnsi="Arial" w:cs="Arial"/>
          <w:sz w:val="24"/>
          <w:szCs w:val="24"/>
        </w:rPr>
        <w:t>UU</w:t>
      </w:r>
      <w:r w:rsidRPr="004D357A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UU</w:t>
      </w:r>
      <w:r w:rsidRPr="004D357A">
        <w:rPr>
          <w:rFonts w:ascii="Arial" w:hAnsi="Arial" w:cs="Arial"/>
          <w:sz w:val="24"/>
          <w:szCs w:val="24"/>
        </w:rPr>
        <w:t>CAAA)</w:t>
      </w:r>
      <w:r>
        <w:rPr>
          <w:rFonts w:ascii="Arial" w:hAnsi="Arial" w:cs="Arial"/>
          <w:sz w:val="24"/>
          <w:szCs w:val="24"/>
        </w:rPr>
        <w:t>.</w:t>
      </w:r>
    </w:p>
    <w:p w:rsidR="004D357A" w:rsidRDefault="004D357A" w:rsidP="009C2E6D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</w:p>
    <w:p w:rsidR="004D357A" w:rsidRDefault="004D357A" w:rsidP="009C2E6D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r w:rsidRPr="004D357A">
        <w:rPr>
          <w:rFonts w:ascii="Arial" w:hAnsi="Arial" w:cs="Arial"/>
          <w:b/>
          <w:sz w:val="24"/>
          <w:szCs w:val="24"/>
        </w:rPr>
        <w:t xml:space="preserve">Santa Cruz </w:t>
      </w:r>
      <w:proofErr w:type="spellStart"/>
      <w:r w:rsidRPr="004D357A">
        <w:rPr>
          <w:rFonts w:ascii="Arial" w:hAnsi="Arial" w:cs="Arial"/>
          <w:b/>
          <w:sz w:val="24"/>
          <w:szCs w:val="24"/>
        </w:rPr>
        <w:t>shRNA</w:t>
      </w:r>
      <w:proofErr w:type="spellEnd"/>
      <w:r w:rsidRPr="004D357A">
        <w:rPr>
          <w:rFonts w:ascii="Arial" w:hAnsi="Arial" w:cs="Arial"/>
          <w:b/>
          <w:sz w:val="24"/>
          <w:szCs w:val="24"/>
        </w:rPr>
        <w:t xml:space="preserve"> vectors</w:t>
      </w:r>
    </w:p>
    <w:p w:rsidR="004D357A" w:rsidRPr="004D357A" w:rsidRDefault="004D357A" w:rsidP="004D357A">
      <w:pPr>
        <w:pStyle w:val="NoSpacing"/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4D357A">
        <w:rPr>
          <w:rFonts w:ascii="Arial" w:hAnsi="Arial" w:cs="Arial"/>
          <w:sz w:val="24"/>
          <w:szCs w:val="24"/>
        </w:rPr>
        <w:t>sc-94548-VA</w:t>
      </w:r>
      <w:proofErr w:type="gramEnd"/>
      <w:r>
        <w:rPr>
          <w:rFonts w:ascii="Arial" w:hAnsi="Arial" w:cs="Arial"/>
          <w:sz w:val="24"/>
          <w:szCs w:val="24"/>
        </w:rPr>
        <w:t xml:space="preserve"> (s</w:t>
      </w:r>
      <w:r w:rsidRPr="004D357A">
        <w:rPr>
          <w:rFonts w:ascii="Arial" w:hAnsi="Arial" w:cs="Arial"/>
          <w:sz w:val="24"/>
          <w:szCs w:val="24"/>
        </w:rPr>
        <w:t>ense</w:t>
      </w:r>
      <w:r>
        <w:rPr>
          <w:rFonts w:ascii="Arial" w:hAnsi="Arial" w:cs="Arial"/>
          <w:sz w:val="24"/>
          <w:szCs w:val="24"/>
        </w:rPr>
        <w:t xml:space="preserve"> sequence</w:t>
      </w:r>
      <w:r w:rsidRPr="004D357A">
        <w:rPr>
          <w:rFonts w:ascii="Arial" w:hAnsi="Arial" w:cs="Arial"/>
          <w:sz w:val="24"/>
          <w:szCs w:val="24"/>
        </w:rPr>
        <w:t>: CAAGGAUGUAUCUACAGAA</w:t>
      </w:r>
      <w:r>
        <w:rPr>
          <w:rFonts w:ascii="Arial" w:hAnsi="Arial" w:cs="Arial"/>
          <w:sz w:val="24"/>
          <w:szCs w:val="24"/>
        </w:rPr>
        <w:t>)</w:t>
      </w:r>
    </w:p>
    <w:p w:rsidR="004D357A" w:rsidRPr="004D357A" w:rsidRDefault="004D357A" w:rsidP="004D357A">
      <w:pPr>
        <w:pStyle w:val="NoSpacing"/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4D357A">
        <w:rPr>
          <w:rFonts w:ascii="Arial" w:hAnsi="Arial" w:cs="Arial"/>
          <w:sz w:val="24"/>
          <w:szCs w:val="24"/>
        </w:rPr>
        <w:t>sc-94548-VB</w:t>
      </w:r>
      <w:proofErr w:type="gramEnd"/>
      <w:r w:rsidRPr="004D35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(s</w:t>
      </w:r>
      <w:r w:rsidRPr="004D357A">
        <w:rPr>
          <w:rFonts w:ascii="Arial" w:hAnsi="Arial" w:cs="Arial"/>
          <w:sz w:val="24"/>
          <w:szCs w:val="24"/>
        </w:rPr>
        <w:t>ense</w:t>
      </w:r>
      <w:r>
        <w:rPr>
          <w:rFonts w:ascii="Arial" w:hAnsi="Arial" w:cs="Arial"/>
          <w:sz w:val="24"/>
          <w:szCs w:val="24"/>
        </w:rPr>
        <w:t xml:space="preserve"> sequence</w:t>
      </w:r>
      <w:r w:rsidRPr="004D357A">
        <w:rPr>
          <w:rFonts w:ascii="Arial" w:hAnsi="Arial" w:cs="Arial"/>
          <w:sz w:val="24"/>
          <w:szCs w:val="24"/>
        </w:rPr>
        <w:t>: GAAGCAGAGAAUAGUUACA</w:t>
      </w:r>
      <w:r>
        <w:rPr>
          <w:rFonts w:ascii="Arial" w:hAnsi="Arial" w:cs="Arial"/>
          <w:sz w:val="24"/>
          <w:szCs w:val="24"/>
        </w:rPr>
        <w:t>)</w:t>
      </w:r>
    </w:p>
    <w:p w:rsidR="004D357A" w:rsidRPr="004D357A" w:rsidRDefault="004D357A" w:rsidP="004D357A">
      <w:pPr>
        <w:pStyle w:val="NoSpacing"/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4D357A">
        <w:rPr>
          <w:rFonts w:ascii="Arial" w:hAnsi="Arial" w:cs="Arial"/>
          <w:sz w:val="24"/>
          <w:szCs w:val="24"/>
        </w:rPr>
        <w:t>sc-94548-VC</w:t>
      </w:r>
      <w:proofErr w:type="gramEnd"/>
      <w:r>
        <w:rPr>
          <w:rFonts w:ascii="Arial" w:hAnsi="Arial" w:cs="Arial"/>
          <w:sz w:val="24"/>
          <w:szCs w:val="24"/>
        </w:rPr>
        <w:t xml:space="preserve"> (sense sequence:</w:t>
      </w:r>
      <w:r w:rsidRPr="004D357A">
        <w:rPr>
          <w:rFonts w:ascii="Arial" w:hAnsi="Arial" w:cs="Arial"/>
          <w:sz w:val="24"/>
          <w:szCs w:val="24"/>
        </w:rPr>
        <w:t xml:space="preserve"> CAACCACCAUUACCAUUCA</w:t>
      </w:r>
      <w:r>
        <w:rPr>
          <w:rFonts w:ascii="Arial" w:hAnsi="Arial" w:cs="Arial"/>
          <w:sz w:val="24"/>
          <w:szCs w:val="24"/>
        </w:rPr>
        <w:t>)</w:t>
      </w:r>
    </w:p>
    <w:p w:rsidR="004D357A" w:rsidRDefault="004D357A" w:rsidP="00774DBC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7C6751" w:rsidRPr="009373F0" w:rsidRDefault="007C6751" w:rsidP="00774DBC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9373F0">
        <w:rPr>
          <w:rFonts w:ascii="Arial" w:hAnsi="Arial" w:cs="Arial"/>
          <w:b/>
          <w:sz w:val="24"/>
          <w:szCs w:val="24"/>
        </w:rPr>
        <w:t>Antibodies used in this study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73F0">
              <w:rPr>
                <w:rFonts w:ascii="Arial" w:hAnsi="Arial" w:cs="Arial"/>
                <w:b/>
                <w:sz w:val="24"/>
                <w:szCs w:val="24"/>
              </w:rPr>
              <w:t>Antibody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73F0">
              <w:rPr>
                <w:rFonts w:ascii="Arial" w:hAnsi="Arial" w:cs="Arial"/>
                <w:b/>
                <w:sz w:val="24"/>
                <w:szCs w:val="24"/>
              </w:rPr>
              <w:t>Company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73F0">
              <w:rPr>
                <w:rFonts w:ascii="Arial" w:hAnsi="Arial" w:cs="Arial"/>
                <w:b/>
                <w:sz w:val="24"/>
                <w:szCs w:val="24"/>
              </w:rPr>
              <w:t>Catalog #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 xml:space="preserve">Anti-human </w:t>
            </w: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Tra</w:t>
            </w:r>
            <w:proofErr w:type="spellEnd"/>
            <w:r w:rsidRPr="009373F0">
              <w:rPr>
                <w:rFonts w:ascii="Arial" w:hAnsi="Arial" w:cs="Arial"/>
                <w:sz w:val="24"/>
                <w:szCs w:val="24"/>
              </w:rPr>
              <w:t xml:space="preserve"> 1-60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eBioscience</w:t>
            </w:r>
            <w:proofErr w:type="spellEnd"/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12-8863-80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 xml:space="preserve">Anti-human </w:t>
            </w: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Tra</w:t>
            </w:r>
            <w:proofErr w:type="spellEnd"/>
            <w:r w:rsidRPr="009373F0">
              <w:rPr>
                <w:rFonts w:ascii="Arial" w:hAnsi="Arial" w:cs="Arial"/>
                <w:sz w:val="24"/>
                <w:szCs w:val="24"/>
              </w:rPr>
              <w:t xml:space="preserve"> 1-81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eBioscience</w:t>
            </w:r>
            <w:proofErr w:type="spellEnd"/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12-8883-80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AF488 Anti-mouse/human SSEA-3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eBioscience</w:t>
            </w:r>
            <w:proofErr w:type="spellEnd"/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53-8833-71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AF488 Mouse anti SSEA-4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 xml:space="preserve">BD </w:t>
            </w: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Pharmingen</w:t>
            </w:r>
            <w:proofErr w:type="spellEnd"/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560308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Anti-Tubulin, beta III isoform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Millipore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MAB1637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Desmin</w:t>
            </w:r>
            <w:proofErr w:type="spellEnd"/>
            <w:r w:rsidRPr="009373F0">
              <w:rPr>
                <w:rFonts w:ascii="Arial" w:hAnsi="Arial" w:cs="Arial"/>
                <w:sz w:val="24"/>
                <w:szCs w:val="24"/>
              </w:rPr>
              <w:t xml:space="preserve"> Ab-1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ThermoScientific</w:t>
            </w:r>
            <w:proofErr w:type="spellEnd"/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MS-376-S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Anti-human/mouseα-Fetoprotein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R &amp; D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MAB1368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PSD95 (mouse)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 xml:space="preserve">UC Davis/NIH </w:t>
            </w: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NeuroMab</w:t>
            </w:r>
            <w:proofErr w:type="spellEnd"/>
            <w:r w:rsidRPr="009373F0">
              <w:rPr>
                <w:rFonts w:ascii="Arial" w:hAnsi="Arial" w:cs="Arial"/>
                <w:sz w:val="24"/>
                <w:szCs w:val="24"/>
              </w:rPr>
              <w:t xml:space="preserve"> Facility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75-028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Synaptophysin</w:t>
            </w:r>
            <w:proofErr w:type="spellEnd"/>
            <w:r w:rsidRPr="009373F0">
              <w:rPr>
                <w:rFonts w:ascii="Arial" w:hAnsi="Arial" w:cs="Arial"/>
                <w:sz w:val="24"/>
                <w:szCs w:val="24"/>
              </w:rPr>
              <w:t>(rabbit)</w:t>
            </w:r>
          </w:p>
        </w:tc>
        <w:tc>
          <w:tcPr>
            <w:tcW w:w="3192" w:type="dxa"/>
          </w:tcPr>
          <w:p w:rsidR="007C6751" w:rsidRPr="00292FAB" w:rsidRDefault="00292FAB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92FA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3192" w:type="dxa"/>
          </w:tcPr>
          <w:p w:rsidR="007C6751" w:rsidRPr="00292FAB" w:rsidRDefault="00292FAB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FA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ab8049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Anti-GAD65/67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Sigma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G5163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Ms anti- Vglut2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Millipore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MAB5504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Rabbit neuronal class III β-tubulin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Fisher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NC9168644</w:t>
            </w:r>
          </w:p>
        </w:tc>
      </w:tr>
      <w:tr w:rsidR="0009177F" w:rsidRPr="009373F0" w:rsidTr="009402F6">
        <w:trPr>
          <w:jc w:val="center"/>
        </w:trPr>
        <w:tc>
          <w:tcPr>
            <w:tcW w:w="3192" w:type="dxa"/>
          </w:tcPr>
          <w:p w:rsidR="0009177F" w:rsidRPr="009373F0" w:rsidRDefault="0009177F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Tbr1</w:t>
            </w:r>
          </w:p>
        </w:tc>
        <w:tc>
          <w:tcPr>
            <w:tcW w:w="3192" w:type="dxa"/>
          </w:tcPr>
          <w:p w:rsidR="0009177F" w:rsidRPr="009373F0" w:rsidRDefault="0009177F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3192" w:type="dxa"/>
          </w:tcPr>
          <w:p w:rsidR="0009177F" w:rsidRPr="009373F0" w:rsidRDefault="0009177F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Ab31940</w:t>
            </w:r>
          </w:p>
        </w:tc>
      </w:tr>
      <w:tr w:rsidR="007C6751" w:rsidRPr="009373F0" w:rsidTr="009402F6">
        <w:trPr>
          <w:jc w:val="center"/>
        </w:trPr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Sheep anti-Tyrosine Hydroxylase</w:t>
            </w:r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373F0">
              <w:rPr>
                <w:rFonts w:ascii="Arial" w:hAnsi="Arial" w:cs="Arial"/>
                <w:sz w:val="24"/>
                <w:szCs w:val="24"/>
              </w:rPr>
              <w:t>Pel-Freez</w:t>
            </w:r>
            <w:proofErr w:type="spellEnd"/>
          </w:p>
        </w:tc>
        <w:tc>
          <w:tcPr>
            <w:tcW w:w="3192" w:type="dxa"/>
          </w:tcPr>
          <w:p w:rsidR="007C6751" w:rsidRPr="009373F0" w:rsidRDefault="007C6751" w:rsidP="00940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3F0">
              <w:rPr>
                <w:rFonts w:ascii="Arial" w:hAnsi="Arial" w:cs="Arial"/>
                <w:sz w:val="24"/>
                <w:szCs w:val="24"/>
              </w:rPr>
              <w:t>P60101</w:t>
            </w:r>
          </w:p>
        </w:tc>
      </w:tr>
    </w:tbl>
    <w:p w:rsidR="007C6751" w:rsidRDefault="007C6751" w:rsidP="00774DBC">
      <w:pPr>
        <w:spacing w:line="480" w:lineRule="auto"/>
        <w:rPr>
          <w:rFonts w:ascii="Arial" w:hAnsi="Arial" w:cs="Arial"/>
          <w:sz w:val="24"/>
          <w:szCs w:val="24"/>
        </w:rPr>
      </w:pPr>
    </w:p>
    <w:p w:rsidR="00B87D35" w:rsidRDefault="00B87D35">
      <w:pPr>
        <w:pStyle w:val="NormalWeb"/>
        <w:jc w:val="center"/>
        <w:divId w:val="1817140854"/>
        <w:rPr>
          <w:rFonts w:ascii="Arial" w:hAnsi="Arial" w:cs="Arial"/>
        </w:rPr>
      </w:pPr>
      <w:r>
        <w:rPr>
          <w:rFonts w:ascii="Arial" w:hAnsi="Arial" w:cs="Arial"/>
        </w:rPr>
        <w:lastRenderedPageBreak/>
        <w:fldChar w:fldCharType="begin"/>
      </w:r>
      <w:r>
        <w:rPr>
          <w:rFonts w:ascii="Arial" w:hAnsi="Arial" w:cs="Arial"/>
        </w:rPr>
        <w:instrText>ADDIN RW.BIB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 xml:space="preserve">References </w:t>
      </w:r>
    </w:p>
    <w:p w:rsidR="00B87D35" w:rsidRDefault="00B87D35">
      <w:pPr>
        <w:pStyle w:val="NormalWeb"/>
        <w:divId w:val="1817140854"/>
        <w:rPr>
          <w:rFonts w:ascii="Arial" w:hAnsi="Arial" w:cs="Arial"/>
        </w:rPr>
      </w:pPr>
      <w:r>
        <w:rPr>
          <w:rFonts w:ascii="Arial" w:hAnsi="Arial" w:cs="Arial"/>
        </w:rPr>
        <w:t xml:space="preserve">1. Okita K, Matsumura Y, Sato Y, Okada A, Morizane A, Okamoto S, et al (2011): A more efficient method to generate integration-free human iPS cells. </w:t>
      </w:r>
      <w:r>
        <w:rPr>
          <w:rFonts w:ascii="Arial" w:hAnsi="Arial" w:cs="Arial"/>
          <w:i/>
          <w:iCs/>
        </w:rPr>
        <w:t xml:space="preserve">Nat Methods </w:t>
      </w:r>
      <w:r>
        <w:rPr>
          <w:rFonts w:ascii="Arial" w:hAnsi="Arial" w:cs="Arial"/>
        </w:rPr>
        <w:t xml:space="preserve">8:409-412. </w:t>
      </w:r>
    </w:p>
    <w:p w:rsidR="00B87D35" w:rsidRDefault="00B87D35">
      <w:pPr>
        <w:pStyle w:val="NormalWeb"/>
        <w:divId w:val="1817140854"/>
        <w:rPr>
          <w:rFonts w:ascii="Arial" w:hAnsi="Arial" w:cs="Arial"/>
        </w:rPr>
      </w:pPr>
      <w:r>
        <w:rPr>
          <w:rFonts w:ascii="Arial" w:hAnsi="Arial" w:cs="Arial"/>
        </w:rPr>
        <w:t xml:space="preserve">2. Lin M, Hrabovsky A, Pedrosa E, Wang T, Zheng D, Lachman HM (2012): Allele-biased expression in differentiating human neurons: implications for neuropsychiatric disorders. </w:t>
      </w:r>
      <w:r>
        <w:rPr>
          <w:rFonts w:ascii="Arial" w:hAnsi="Arial" w:cs="Arial"/>
          <w:i/>
          <w:iCs/>
        </w:rPr>
        <w:t xml:space="preserve">PLoS One </w:t>
      </w:r>
      <w:r>
        <w:rPr>
          <w:rFonts w:ascii="Arial" w:hAnsi="Arial" w:cs="Arial"/>
        </w:rPr>
        <w:t xml:space="preserve">7:e44017. </w:t>
      </w:r>
    </w:p>
    <w:p w:rsidR="00B87D35" w:rsidRDefault="00B87D35">
      <w:pPr>
        <w:pStyle w:val="NormalWeb"/>
        <w:divId w:val="1817140854"/>
        <w:rPr>
          <w:rFonts w:ascii="Arial" w:hAnsi="Arial" w:cs="Arial"/>
        </w:rPr>
      </w:pPr>
      <w:r>
        <w:rPr>
          <w:rFonts w:ascii="Arial" w:hAnsi="Arial" w:cs="Arial"/>
        </w:rPr>
        <w:t xml:space="preserve">3. Chen J, Lin M, Foxe JJ, Pedrosa E, Hrabovsky A, Carroll R, et al (2013): Transcriptome Comparison of Human Neurons Generated Using Induced Pluripotent Stem Cells Derived from Dental Pulp and Skin Fibroblasts. </w:t>
      </w:r>
      <w:r>
        <w:rPr>
          <w:rFonts w:ascii="Arial" w:hAnsi="Arial" w:cs="Arial"/>
          <w:i/>
          <w:iCs/>
        </w:rPr>
        <w:t xml:space="preserve">PLoS One </w:t>
      </w:r>
      <w:r>
        <w:rPr>
          <w:rFonts w:ascii="Arial" w:hAnsi="Arial" w:cs="Arial"/>
        </w:rPr>
        <w:t xml:space="preserve">8:e75682. </w:t>
      </w:r>
    </w:p>
    <w:p w:rsidR="00B87D35" w:rsidRDefault="00B87D35">
      <w:pPr>
        <w:pStyle w:val="NormalWeb"/>
        <w:divId w:val="1817140854"/>
        <w:rPr>
          <w:rFonts w:ascii="Arial" w:hAnsi="Arial" w:cs="Arial"/>
        </w:rPr>
      </w:pPr>
      <w:r>
        <w:rPr>
          <w:rFonts w:ascii="Arial" w:hAnsi="Arial" w:cs="Arial"/>
        </w:rPr>
        <w:t xml:space="preserve">4. Pedrosa E, Sandler V, Shah A, Carroll R, Chang C, Rockowitz S, et al (2011): Development of Patient-Specific Neurons in Schizophrenia Using Induced Pluripotent Stem Cells. </w:t>
      </w:r>
      <w:r>
        <w:rPr>
          <w:rFonts w:ascii="Arial" w:hAnsi="Arial" w:cs="Arial"/>
          <w:i/>
          <w:iCs/>
        </w:rPr>
        <w:t xml:space="preserve">J Neurogenet </w:t>
      </w:r>
      <w:r>
        <w:rPr>
          <w:rFonts w:ascii="Arial" w:hAnsi="Arial" w:cs="Arial"/>
        </w:rPr>
        <w:t xml:space="preserve">. </w:t>
      </w:r>
    </w:p>
    <w:p w:rsidR="00B87D35" w:rsidRDefault="00B87D35">
      <w:pPr>
        <w:pStyle w:val="NormalWeb"/>
        <w:divId w:val="1817140854"/>
        <w:rPr>
          <w:rFonts w:ascii="Arial" w:hAnsi="Arial" w:cs="Arial"/>
        </w:rPr>
      </w:pPr>
      <w:r>
        <w:rPr>
          <w:rFonts w:ascii="Arial" w:hAnsi="Arial" w:cs="Arial"/>
        </w:rPr>
        <w:t xml:space="preserve">5. Muenthaisong S, Ujhelly O, Polgar Z, Varga E, Ivics Z, Pirity MK, et al (2012): Generation of mouse induced pluripotent stem cells from different genetic backgrounds using Sleeping beauty transposon mediated gene transfer. </w:t>
      </w:r>
      <w:r>
        <w:rPr>
          <w:rFonts w:ascii="Arial" w:hAnsi="Arial" w:cs="Arial"/>
          <w:i/>
          <w:iCs/>
        </w:rPr>
        <w:t xml:space="preserve">Exp Cell Res </w:t>
      </w:r>
      <w:r>
        <w:rPr>
          <w:rFonts w:ascii="Arial" w:hAnsi="Arial" w:cs="Arial"/>
        </w:rPr>
        <w:t xml:space="preserve">318:2482-2489. </w:t>
      </w:r>
    </w:p>
    <w:p w:rsidR="00B87D35" w:rsidRDefault="00B87D35">
      <w:pPr>
        <w:pStyle w:val="NormalWeb"/>
        <w:divId w:val="1817140854"/>
        <w:rPr>
          <w:rFonts w:ascii="Arial" w:hAnsi="Arial" w:cs="Arial"/>
        </w:rPr>
      </w:pPr>
      <w:r>
        <w:rPr>
          <w:rFonts w:ascii="Arial" w:hAnsi="Arial" w:cs="Arial"/>
        </w:rPr>
        <w:t xml:space="preserve">6. Pal R, Mamidi MK, Das AK, Bhonde R (2012): Comparative analysis of cardiomyocyte differentiation from human embryonic stem cells under 3-D and 2-D culture conditions. </w:t>
      </w:r>
      <w:r>
        <w:rPr>
          <w:rFonts w:ascii="Arial" w:hAnsi="Arial" w:cs="Arial"/>
          <w:i/>
          <w:iCs/>
        </w:rPr>
        <w:t xml:space="preserve">J Biosci Bioeng </w:t>
      </w:r>
      <w:r>
        <w:rPr>
          <w:rFonts w:ascii="Arial" w:hAnsi="Arial" w:cs="Arial"/>
        </w:rPr>
        <w:t xml:space="preserve">. </w:t>
      </w:r>
    </w:p>
    <w:p w:rsidR="00B87D35" w:rsidRDefault="00B87D35">
      <w:pPr>
        <w:pStyle w:val="NormalWeb"/>
        <w:divId w:val="1817140854"/>
        <w:rPr>
          <w:rFonts w:ascii="Arial" w:hAnsi="Arial" w:cs="Arial"/>
        </w:rPr>
      </w:pPr>
      <w:r>
        <w:rPr>
          <w:rFonts w:ascii="Arial" w:hAnsi="Arial" w:cs="Arial"/>
        </w:rPr>
        <w:t xml:space="preserve">7. Takahashi K, Tanabe K, Ohnuki M, Narita M, Ichisaka T, Tomoda K, et al (2007): Induction of pluripotent stem cells from adult human fibroblasts by defined factors. </w:t>
      </w:r>
      <w:r>
        <w:rPr>
          <w:rFonts w:ascii="Arial" w:hAnsi="Arial" w:cs="Arial"/>
          <w:i/>
          <w:iCs/>
        </w:rPr>
        <w:t xml:space="preserve">Cell </w:t>
      </w:r>
      <w:r>
        <w:rPr>
          <w:rFonts w:ascii="Arial" w:hAnsi="Arial" w:cs="Arial"/>
        </w:rPr>
        <w:t xml:space="preserve">131:861-872. </w:t>
      </w:r>
    </w:p>
    <w:p w:rsidR="00B87D35" w:rsidRDefault="00B87D35">
      <w:pPr>
        <w:pStyle w:val="NormalWeb"/>
        <w:divId w:val="1817140854"/>
        <w:rPr>
          <w:rFonts w:ascii="Arial" w:hAnsi="Arial" w:cs="Arial"/>
        </w:rPr>
      </w:pPr>
      <w:r>
        <w:rPr>
          <w:rFonts w:ascii="Arial" w:hAnsi="Arial" w:cs="Arial"/>
        </w:rPr>
        <w:t xml:space="preserve">8. Takahashi K, Yamanaka S (2006): Induction of pluripotent stem cells from mouse embryonic and adult fibroblast cultures by defined factors. </w:t>
      </w:r>
      <w:r>
        <w:rPr>
          <w:rFonts w:ascii="Arial" w:hAnsi="Arial" w:cs="Arial"/>
          <w:i/>
          <w:iCs/>
        </w:rPr>
        <w:t xml:space="preserve">Cell </w:t>
      </w:r>
      <w:r>
        <w:rPr>
          <w:rFonts w:ascii="Arial" w:hAnsi="Arial" w:cs="Arial"/>
        </w:rPr>
        <w:t xml:space="preserve">126:663-676. </w:t>
      </w:r>
    </w:p>
    <w:p w:rsidR="00B87D35" w:rsidRPr="009373F0" w:rsidRDefault="00B87D35" w:rsidP="00774DBC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</w:p>
    <w:sectPr w:rsidR="00B87D35" w:rsidRPr="009373F0" w:rsidSect="00502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61"/>
    <w:multiLevelType w:val="hybridMultilevel"/>
    <w:tmpl w:val="88688E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807394"/>
    <w:multiLevelType w:val="hybridMultilevel"/>
    <w:tmpl w:val="67CC9E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D0B340C"/>
    <w:multiLevelType w:val="hybridMultilevel"/>
    <w:tmpl w:val="B6CE9B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2CE4CA8"/>
    <w:multiLevelType w:val="hybridMultilevel"/>
    <w:tmpl w:val="08D43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BC"/>
    <w:rsid w:val="0002348B"/>
    <w:rsid w:val="0009177F"/>
    <w:rsid w:val="000B2071"/>
    <w:rsid w:val="00125282"/>
    <w:rsid w:val="00137071"/>
    <w:rsid w:val="00153FB0"/>
    <w:rsid w:val="001D5133"/>
    <w:rsid w:val="001D72CA"/>
    <w:rsid w:val="00292FAB"/>
    <w:rsid w:val="002B346A"/>
    <w:rsid w:val="002E0899"/>
    <w:rsid w:val="003750FA"/>
    <w:rsid w:val="004115C2"/>
    <w:rsid w:val="00421F21"/>
    <w:rsid w:val="004412A4"/>
    <w:rsid w:val="0046270E"/>
    <w:rsid w:val="004D357A"/>
    <w:rsid w:val="00502BC0"/>
    <w:rsid w:val="005204A1"/>
    <w:rsid w:val="005325D6"/>
    <w:rsid w:val="00544CDC"/>
    <w:rsid w:val="00545782"/>
    <w:rsid w:val="0055665D"/>
    <w:rsid w:val="00570B01"/>
    <w:rsid w:val="00603EAB"/>
    <w:rsid w:val="00695FCE"/>
    <w:rsid w:val="006F4B2D"/>
    <w:rsid w:val="006F50D4"/>
    <w:rsid w:val="007345CB"/>
    <w:rsid w:val="007421FA"/>
    <w:rsid w:val="00761E34"/>
    <w:rsid w:val="007654D9"/>
    <w:rsid w:val="00774DBC"/>
    <w:rsid w:val="007C6751"/>
    <w:rsid w:val="00804FC8"/>
    <w:rsid w:val="008B4901"/>
    <w:rsid w:val="008D63DA"/>
    <w:rsid w:val="00916CC3"/>
    <w:rsid w:val="009373F0"/>
    <w:rsid w:val="009402F6"/>
    <w:rsid w:val="00952525"/>
    <w:rsid w:val="00957394"/>
    <w:rsid w:val="009625DE"/>
    <w:rsid w:val="009C2E6D"/>
    <w:rsid w:val="00A03698"/>
    <w:rsid w:val="00A26361"/>
    <w:rsid w:val="00A939A8"/>
    <w:rsid w:val="00AA70A0"/>
    <w:rsid w:val="00AE1A7D"/>
    <w:rsid w:val="00B87D35"/>
    <w:rsid w:val="00BA66B7"/>
    <w:rsid w:val="00BA6F54"/>
    <w:rsid w:val="00BC715C"/>
    <w:rsid w:val="00C02047"/>
    <w:rsid w:val="00C12B53"/>
    <w:rsid w:val="00C40026"/>
    <w:rsid w:val="00C41AD8"/>
    <w:rsid w:val="00C8136B"/>
    <w:rsid w:val="00CF419F"/>
    <w:rsid w:val="00CF4701"/>
    <w:rsid w:val="00EE6C6E"/>
    <w:rsid w:val="00F07920"/>
    <w:rsid w:val="00F7176D"/>
    <w:rsid w:val="00F7242A"/>
    <w:rsid w:val="00F8006D"/>
    <w:rsid w:val="00F81A3A"/>
    <w:rsid w:val="00F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4DBC"/>
    <w:pPr>
      <w:spacing w:after="0" w:line="240" w:lineRule="auto"/>
    </w:pPr>
  </w:style>
  <w:style w:type="table" w:styleId="TableGrid">
    <w:name w:val="Table Grid"/>
    <w:basedOn w:val="TableNormal"/>
    <w:uiPriority w:val="59"/>
    <w:rsid w:val="007C675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6B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207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036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4DBC"/>
    <w:pPr>
      <w:spacing w:after="0" w:line="240" w:lineRule="auto"/>
    </w:pPr>
  </w:style>
  <w:style w:type="table" w:styleId="TableGrid">
    <w:name w:val="Table Grid"/>
    <w:basedOn w:val="TableNormal"/>
    <w:uiPriority w:val="59"/>
    <w:rsid w:val="007C675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6B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207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036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46E1B-9639-4172-8D01-5A8213BD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</vt:lpstr>
    </vt:vector>
  </TitlesOfParts>
  <Company>Microsoft</Company>
  <LinksUpToDate>false</LinksUpToDate>
  <CharactersWithSpaces>11044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Herb</dc:creator>
  <cp:lastModifiedBy>Herb Lachman</cp:lastModifiedBy>
  <cp:revision>2</cp:revision>
  <dcterms:created xsi:type="dcterms:W3CDTF">2015-01-02T17:55:00Z</dcterms:created>
  <dcterms:modified xsi:type="dcterms:W3CDTF">2015-01-02T17:55:00Z</dcterms:modified>
</cp:coreProperties>
</file>