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1DB110" w14:textId="77777777" w:rsidR="00A335C4" w:rsidRDefault="00A335C4" w:rsidP="00A335C4">
      <w:pPr>
        <w:rPr>
          <w:rFonts w:ascii="Arial" w:hAnsi="Arial" w:cs="Arial"/>
        </w:rPr>
      </w:pPr>
      <w:r>
        <w:rPr>
          <w:rFonts w:ascii="Arial" w:hAnsi="Arial" w:cs="Arial"/>
        </w:rPr>
        <w:t xml:space="preserve">Supp. Figure 1. Relative abundance of class and order bacterial groups change due to </w:t>
      </w:r>
      <w:proofErr w:type="gramStart"/>
      <w:r>
        <w:rPr>
          <w:rFonts w:ascii="Arial" w:hAnsi="Arial" w:cs="Arial"/>
        </w:rPr>
        <w:t>either anastomotic</w:t>
      </w:r>
      <w:proofErr w:type="gramEnd"/>
      <w:r>
        <w:rPr>
          <w:rFonts w:ascii="Arial" w:hAnsi="Arial" w:cs="Arial"/>
        </w:rPr>
        <w:t xml:space="preserve"> surgeries. (A) Relative abundance composition of the intestinal microbiome class or (B) order for each intestinal segment (top heading) within each surgery group (x-axis label).</w:t>
      </w:r>
    </w:p>
    <w:p w14:paraId="24D4C17F" w14:textId="05D0CCFA" w:rsidR="008F39FB" w:rsidRDefault="008F39FB" w:rsidP="008F39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Supp. Figure </w:t>
      </w:r>
      <w:r w:rsidR="00A335C4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.  Expression of IL-10 and IL-22 in </w:t>
      </w:r>
      <w:proofErr w:type="spellStart"/>
      <w:r>
        <w:rPr>
          <w:rFonts w:ascii="Arial" w:hAnsi="Arial" w:cs="Arial"/>
        </w:rPr>
        <w:t>iNKT</w:t>
      </w:r>
      <w:proofErr w:type="spellEnd"/>
      <w:r>
        <w:rPr>
          <w:rFonts w:ascii="Arial" w:hAnsi="Arial" w:cs="Arial"/>
        </w:rPr>
        <w:t xml:space="preserve"> cells after </w:t>
      </w:r>
      <w:r w:rsidRPr="00C947F8">
        <w:rPr>
          <w:rFonts w:ascii="Arial" w:hAnsi="Arial" w:cs="Arial"/>
        </w:rPr>
        <w:t>end-to-end and Roux-en-Y anastomoses</w:t>
      </w:r>
      <w:r>
        <w:rPr>
          <w:rFonts w:ascii="Arial" w:hAnsi="Arial" w:cs="Arial"/>
        </w:rPr>
        <w:t xml:space="preserve">.  (A) Dot plots </w:t>
      </w:r>
      <w:r w:rsidRPr="00C947F8">
        <w:rPr>
          <w:rFonts w:ascii="Arial" w:hAnsi="Arial" w:cs="Arial"/>
        </w:rPr>
        <w:t xml:space="preserve">showing increased IL-10+ expression in </w:t>
      </w:r>
      <w:proofErr w:type="spellStart"/>
      <w:r w:rsidRPr="00C947F8">
        <w:rPr>
          <w:rFonts w:ascii="Arial" w:hAnsi="Arial" w:cs="Arial"/>
        </w:rPr>
        <w:t>iNKT</w:t>
      </w:r>
      <w:proofErr w:type="spellEnd"/>
      <w:r w:rsidRPr="00C947F8">
        <w:rPr>
          <w:rFonts w:ascii="Arial" w:hAnsi="Arial" w:cs="Arial"/>
        </w:rPr>
        <w:t xml:space="preserve"> cells after both anastomotic surgeries.</w:t>
      </w:r>
      <w:r w:rsidRPr="005D2712">
        <w:rPr>
          <w:rFonts w:ascii="Arial" w:hAnsi="Arial" w:cs="Arial"/>
        </w:rPr>
        <w:t xml:space="preserve"> </w:t>
      </w:r>
      <w:r w:rsidRPr="00C947F8">
        <w:rPr>
          <w:rFonts w:ascii="Arial" w:hAnsi="Arial" w:cs="Arial"/>
        </w:rPr>
        <w:t>(</w:t>
      </w:r>
      <w:r>
        <w:rPr>
          <w:rFonts w:ascii="Arial" w:hAnsi="Arial" w:cs="Arial"/>
        </w:rPr>
        <w:t>B</w:t>
      </w:r>
      <w:r w:rsidRPr="00C947F8">
        <w:rPr>
          <w:rFonts w:ascii="Arial" w:hAnsi="Arial" w:cs="Arial"/>
        </w:rPr>
        <w:t xml:space="preserve">) Normalized </w:t>
      </w:r>
      <w:proofErr w:type="spellStart"/>
      <w:r w:rsidRPr="00C947F8">
        <w:rPr>
          <w:rFonts w:ascii="Arial" w:hAnsi="Arial" w:cs="Arial"/>
        </w:rPr>
        <w:t>iNKT</w:t>
      </w:r>
      <w:proofErr w:type="spellEnd"/>
      <w:r w:rsidRPr="00C947F8">
        <w:rPr>
          <w:rFonts w:ascii="Arial" w:hAnsi="Arial" w:cs="Arial"/>
        </w:rPr>
        <w:t xml:space="preserve"> cells that are IL-22</w:t>
      </w:r>
      <w:r w:rsidRPr="001A51A8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>.  * = p ≤ 0.05, n=5-8</w:t>
      </w:r>
    </w:p>
    <w:p w14:paraId="110FECC5" w14:textId="4C0C70ED" w:rsidR="008F39FB" w:rsidRDefault="008F39FB" w:rsidP="008F39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Supp. Figure </w:t>
      </w:r>
      <w:r w:rsidR="00A335C4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 Treg gating and expression of IL-10 and IL-22.  (A) Dot plots </w:t>
      </w:r>
      <w:r w:rsidRPr="00C947F8">
        <w:rPr>
          <w:rFonts w:ascii="Arial" w:hAnsi="Arial" w:cs="Arial"/>
        </w:rPr>
        <w:t xml:space="preserve">showing </w:t>
      </w:r>
      <w:r>
        <w:rPr>
          <w:rFonts w:ascii="Arial" w:hAnsi="Arial" w:cs="Arial"/>
        </w:rPr>
        <w:t>Treg</w:t>
      </w:r>
      <w:r w:rsidRPr="00C947F8">
        <w:rPr>
          <w:rFonts w:ascii="Arial" w:hAnsi="Arial" w:cs="Arial"/>
        </w:rPr>
        <w:t xml:space="preserve"> cells after </w:t>
      </w:r>
      <w:r>
        <w:rPr>
          <w:rFonts w:ascii="Arial" w:hAnsi="Arial" w:cs="Arial"/>
        </w:rPr>
        <w:t>(A) no surgery, (B) end-to-end anastomosis, and (C) Roux-en-Y anastomosis from segment A</w:t>
      </w:r>
      <w:r w:rsidRPr="00C947F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FoxP3 vs. TCRβ dot plots (2</w:t>
      </w:r>
      <w:r w:rsidRPr="009D707A">
        <w:rPr>
          <w:rFonts w:ascii="Arial" w:hAnsi="Arial" w:cs="Arial"/>
          <w:vertAlign w:val="superscript"/>
        </w:rPr>
        <w:t>nd</w:t>
      </w:r>
      <w:r>
        <w:rPr>
          <w:rFonts w:ascii="Arial" w:hAnsi="Arial" w:cs="Arial"/>
        </w:rPr>
        <w:t xml:space="preserve"> column</w:t>
      </w:r>
      <w:r w:rsidRPr="009D70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from top to bottom) back gate to either TCRβ</w:t>
      </w:r>
      <w:r>
        <w:rPr>
          <w:rFonts w:ascii="Arial" w:hAnsi="Arial" w:cs="Arial"/>
          <w:vertAlign w:val="superscript"/>
        </w:rPr>
        <w:t>hi</w:t>
      </w:r>
      <w:r>
        <w:rPr>
          <w:rFonts w:ascii="Arial" w:hAnsi="Arial" w:cs="Arial"/>
        </w:rPr>
        <w:t xml:space="preserve"> CD4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, TCRβ</w:t>
      </w:r>
      <w:r>
        <w:rPr>
          <w:rFonts w:ascii="Arial" w:hAnsi="Arial" w:cs="Arial"/>
          <w:vertAlign w:val="superscript"/>
        </w:rPr>
        <w:t>hi/+</w:t>
      </w:r>
      <w:r>
        <w:rPr>
          <w:rFonts w:ascii="Arial" w:hAnsi="Arial" w:cs="Arial"/>
        </w:rPr>
        <w:t xml:space="preserve"> CD4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, or TCRβ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CD4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gates in the first dot plot.  IL-22 and IL-10 plots are back gated to the TCRβ</w:t>
      </w:r>
      <w:r>
        <w:rPr>
          <w:rFonts w:ascii="Arial" w:hAnsi="Arial" w:cs="Arial"/>
          <w:vertAlign w:val="superscript"/>
        </w:rPr>
        <w:t>hi/+</w:t>
      </w:r>
      <w:r>
        <w:rPr>
          <w:rFonts w:ascii="Arial" w:hAnsi="Arial" w:cs="Arial"/>
        </w:rPr>
        <w:t xml:space="preserve"> CD4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FoxP3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parent plot. Representative of one experiment, n=6-7.  </w:t>
      </w:r>
    </w:p>
    <w:p w14:paraId="7C51CDBA" w14:textId="77777777" w:rsidR="008F39FB" w:rsidRDefault="008F39FB" w:rsidP="008F39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Supp. Figure 4. Immune cell populations correlate to Bacteroidetes with distinct patterns based on either anastomotic surgery.  Correlation graphs of (A) </w:t>
      </w:r>
      <w:proofErr w:type="spellStart"/>
      <w:r>
        <w:rPr>
          <w:rFonts w:ascii="Arial" w:hAnsi="Arial" w:cs="Arial"/>
        </w:rPr>
        <w:t>iNKT</w:t>
      </w:r>
      <w:proofErr w:type="spellEnd"/>
      <w:r>
        <w:rPr>
          <w:rFonts w:ascii="Arial" w:hAnsi="Arial" w:cs="Arial"/>
        </w:rPr>
        <w:t xml:space="preserve"> </w:t>
      </w:r>
      <w:r w:rsidRPr="00C947F8">
        <w:rPr>
          <w:rFonts w:ascii="Arial" w:hAnsi="Arial" w:cs="Arial"/>
        </w:rPr>
        <w:t>(TCRβ</w:t>
      </w:r>
      <w:r w:rsidRPr="001A51A8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 CD1dtet</w:t>
      </w:r>
      <w:r w:rsidRPr="001A51A8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IL-22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cells, (B) </w:t>
      </w:r>
      <w:proofErr w:type="spellStart"/>
      <w:r>
        <w:rPr>
          <w:rFonts w:ascii="Arial" w:hAnsi="Arial" w:cs="Arial"/>
        </w:rPr>
        <w:t>iNKT</w:t>
      </w:r>
      <w:proofErr w:type="spellEnd"/>
      <w:r>
        <w:rPr>
          <w:rFonts w:ascii="Arial" w:hAnsi="Arial" w:cs="Arial"/>
        </w:rPr>
        <w:t xml:space="preserve"> IL-10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, (C) </w:t>
      </w:r>
      <w:r w:rsidRPr="00C947F8">
        <w:rPr>
          <w:rFonts w:ascii="Arial" w:hAnsi="Arial" w:cs="Arial"/>
        </w:rPr>
        <w:t>CD11b</w:t>
      </w:r>
      <w:r w:rsidRPr="006703B2">
        <w:rPr>
          <w:rFonts w:ascii="Arial" w:hAnsi="Arial" w:cs="Arial"/>
          <w:vertAlign w:val="superscript"/>
        </w:rPr>
        <w:t xml:space="preserve">hi </w:t>
      </w:r>
      <w:r w:rsidRPr="00C947F8">
        <w:rPr>
          <w:rFonts w:ascii="Arial" w:hAnsi="Arial" w:cs="Arial"/>
        </w:rPr>
        <w:t>CD103</w:t>
      </w:r>
      <w:r w:rsidRPr="006703B2">
        <w:rPr>
          <w:rFonts w:ascii="Arial" w:hAnsi="Arial" w:cs="Arial"/>
          <w:vertAlign w:val="superscript"/>
        </w:rPr>
        <w:t>mid</w:t>
      </w:r>
      <w:r w:rsidRPr="00C947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DCs </w:t>
      </w:r>
      <w:r w:rsidRPr="00C947F8">
        <w:rPr>
          <w:rFonts w:ascii="Arial" w:hAnsi="Arial" w:cs="Arial"/>
        </w:rPr>
        <w:t>(CD4</w:t>
      </w:r>
      <w:r>
        <w:rPr>
          <w:rFonts w:ascii="Arial" w:hAnsi="Arial" w:cs="Arial"/>
        </w:rPr>
        <w:t>5</w:t>
      </w:r>
      <w:r w:rsidRPr="00347C19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 IA-IE</w:t>
      </w:r>
      <w:r w:rsidRPr="00347C19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 CD110</w:t>
      </w:r>
      <w:r w:rsidRPr="00347C19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(D) Th17 </w:t>
      </w:r>
      <w:r w:rsidRPr="00C947F8">
        <w:rPr>
          <w:rFonts w:ascii="Arial" w:hAnsi="Arial" w:cs="Arial"/>
        </w:rPr>
        <w:t>(TCR</w:t>
      </w:r>
      <w:r w:rsidRPr="00C947F8">
        <w:rPr>
          <w:rFonts w:ascii="Arial" w:hAnsi="Arial" w:cs="Arial"/>
          <w:lang w:val="el-GR"/>
        </w:rPr>
        <w:t>β</w:t>
      </w:r>
      <w:r>
        <w:rPr>
          <w:rFonts w:ascii="Arial" w:hAnsi="Arial" w:cs="Arial"/>
          <w:vertAlign w:val="superscript"/>
        </w:rPr>
        <w:t>hi</w:t>
      </w:r>
      <w:r w:rsidRPr="00C947F8">
        <w:rPr>
          <w:rFonts w:ascii="Arial" w:hAnsi="Arial" w:cs="Arial"/>
        </w:rPr>
        <w:t xml:space="preserve"> CD4</w:t>
      </w:r>
      <w:r w:rsidRPr="00C947F8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 IL-17A</w:t>
      </w:r>
      <w:r w:rsidRPr="00C947F8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 IL17F</w:t>
      </w:r>
      <w:r w:rsidRPr="00C947F8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and (E) Treg (TCRβ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CD4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FoxP3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) versus Bacteroidetes within surgery type.  </w:t>
      </w:r>
    </w:p>
    <w:p w14:paraId="694E6535" w14:textId="77777777" w:rsidR="008F39FB" w:rsidRDefault="008F39FB" w:rsidP="008F39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Supp. Figure 5. Immune cell populations correlate to Proteobacteria with distinct patterns based on either anastomotic surgery.  Correlation graphs of (A) </w:t>
      </w:r>
      <w:proofErr w:type="spellStart"/>
      <w:r>
        <w:rPr>
          <w:rFonts w:ascii="Arial" w:hAnsi="Arial" w:cs="Arial"/>
        </w:rPr>
        <w:t>iNKT</w:t>
      </w:r>
      <w:proofErr w:type="spellEnd"/>
      <w:r>
        <w:rPr>
          <w:rFonts w:ascii="Arial" w:hAnsi="Arial" w:cs="Arial"/>
        </w:rPr>
        <w:t xml:space="preserve"> </w:t>
      </w:r>
      <w:r w:rsidRPr="00C947F8">
        <w:rPr>
          <w:rFonts w:ascii="Arial" w:hAnsi="Arial" w:cs="Arial"/>
        </w:rPr>
        <w:t>(TCRβ</w:t>
      </w:r>
      <w:r w:rsidRPr="001A51A8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 CD1dtet</w:t>
      </w:r>
      <w:r w:rsidRPr="001A51A8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IL-22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cells, (B) </w:t>
      </w:r>
      <w:proofErr w:type="spellStart"/>
      <w:r>
        <w:rPr>
          <w:rFonts w:ascii="Arial" w:hAnsi="Arial" w:cs="Arial"/>
        </w:rPr>
        <w:t>iNKT</w:t>
      </w:r>
      <w:proofErr w:type="spellEnd"/>
      <w:r>
        <w:rPr>
          <w:rFonts w:ascii="Arial" w:hAnsi="Arial" w:cs="Arial"/>
        </w:rPr>
        <w:t xml:space="preserve"> IL-10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, (C) </w:t>
      </w:r>
      <w:r w:rsidRPr="00C947F8">
        <w:rPr>
          <w:rFonts w:ascii="Arial" w:hAnsi="Arial" w:cs="Arial"/>
        </w:rPr>
        <w:t>CD11b</w:t>
      </w:r>
      <w:r w:rsidRPr="006703B2">
        <w:rPr>
          <w:rFonts w:ascii="Arial" w:hAnsi="Arial" w:cs="Arial"/>
          <w:vertAlign w:val="superscript"/>
        </w:rPr>
        <w:t xml:space="preserve">hi </w:t>
      </w:r>
      <w:r w:rsidRPr="00C947F8">
        <w:rPr>
          <w:rFonts w:ascii="Arial" w:hAnsi="Arial" w:cs="Arial"/>
        </w:rPr>
        <w:t>CD103</w:t>
      </w:r>
      <w:r w:rsidRPr="006703B2">
        <w:rPr>
          <w:rFonts w:ascii="Arial" w:hAnsi="Arial" w:cs="Arial"/>
          <w:vertAlign w:val="superscript"/>
        </w:rPr>
        <w:t>mid</w:t>
      </w:r>
      <w:r w:rsidRPr="00C947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DCs </w:t>
      </w:r>
      <w:r w:rsidRPr="00C947F8">
        <w:rPr>
          <w:rFonts w:ascii="Arial" w:hAnsi="Arial" w:cs="Arial"/>
        </w:rPr>
        <w:t>(CD4</w:t>
      </w:r>
      <w:r>
        <w:rPr>
          <w:rFonts w:ascii="Arial" w:hAnsi="Arial" w:cs="Arial"/>
        </w:rPr>
        <w:t>5</w:t>
      </w:r>
      <w:r w:rsidRPr="00347C19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 IA-IE</w:t>
      </w:r>
      <w:r w:rsidRPr="00347C19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 CD110</w:t>
      </w:r>
      <w:r w:rsidRPr="00347C19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(D) Th17 </w:t>
      </w:r>
      <w:r w:rsidRPr="00C947F8">
        <w:rPr>
          <w:rFonts w:ascii="Arial" w:hAnsi="Arial" w:cs="Arial"/>
        </w:rPr>
        <w:t>(TCR</w:t>
      </w:r>
      <w:r w:rsidRPr="00C947F8">
        <w:rPr>
          <w:rFonts w:ascii="Arial" w:hAnsi="Arial" w:cs="Arial"/>
          <w:lang w:val="el-GR"/>
        </w:rPr>
        <w:t>β</w:t>
      </w:r>
      <w:r>
        <w:rPr>
          <w:rFonts w:ascii="Arial" w:hAnsi="Arial" w:cs="Arial"/>
          <w:vertAlign w:val="superscript"/>
        </w:rPr>
        <w:t>hi</w:t>
      </w:r>
      <w:r w:rsidRPr="00C947F8">
        <w:rPr>
          <w:rFonts w:ascii="Arial" w:hAnsi="Arial" w:cs="Arial"/>
        </w:rPr>
        <w:t xml:space="preserve"> CD4</w:t>
      </w:r>
      <w:r w:rsidRPr="00C947F8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 IL-17A</w:t>
      </w:r>
      <w:r w:rsidRPr="00C947F8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 IL17F</w:t>
      </w:r>
      <w:r w:rsidRPr="00C947F8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and (E) Treg (TCRβ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CD4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FoxP3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) versus Proteobacteria within surgery type.  </w:t>
      </w:r>
    </w:p>
    <w:p w14:paraId="7F8DA034" w14:textId="77777777" w:rsidR="008F39FB" w:rsidRDefault="008F39FB" w:rsidP="008F39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Supp. Figure 6. Immune cell populations correlate to Bacteroidetes with distinct patterns based on surgical segments.  Correlation graphs of (A) </w:t>
      </w:r>
      <w:proofErr w:type="spellStart"/>
      <w:r>
        <w:rPr>
          <w:rFonts w:ascii="Arial" w:hAnsi="Arial" w:cs="Arial"/>
        </w:rPr>
        <w:t>iNKT</w:t>
      </w:r>
      <w:proofErr w:type="spellEnd"/>
      <w:r>
        <w:rPr>
          <w:rFonts w:ascii="Arial" w:hAnsi="Arial" w:cs="Arial"/>
        </w:rPr>
        <w:t xml:space="preserve"> </w:t>
      </w:r>
      <w:r w:rsidRPr="00C947F8">
        <w:rPr>
          <w:rFonts w:ascii="Arial" w:hAnsi="Arial" w:cs="Arial"/>
        </w:rPr>
        <w:t>(TCRβ</w:t>
      </w:r>
      <w:r w:rsidRPr="001A51A8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 CD1dtet</w:t>
      </w:r>
      <w:r w:rsidRPr="001A51A8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IL-22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cells, (B) </w:t>
      </w:r>
      <w:proofErr w:type="spellStart"/>
      <w:r>
        <w:rPr>
          <w:rFonts w:ascii="Arial" w:hAnsi="Arial" w:cs="Arial"/>
        </w:rPr>
        <w:t>iNKT</w:t>
      </w:r>
      <w:proofErr w:type="spellEnd"/>
      <w:r>
        <w:rPr>
          <w:rFonts w:ascii="Arial" w:hAnsi="Arial" w:cs="Arial"/>
        </w:rPr>
        <w:t xml:space="preserve"> IL-10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, (C) </w:t>
      </w:r>
      <w:r w:rsidRPr="00C947F8">
        <w:rPr>
          <w:rFonts w:ascii="Arial" w:hAnsi="Arial" w:cs="Arial"/>
        </w:rPr>
        <w:t>CD11b</w:t>
      </w:r>
      <w:r w:rsidRPr="006703B2">
        <w:rPr>
          <w:rFonts w:ascii="Arial" w:hAnsi="Arial" w:cs="Arial"/>
          <w:vertAlign w:val="superscript"/>
        </w:rPr>
        <w:t xml:space="preserve">hi </w:t>
      </w:r>
      <w:r w:rsidRPr="00C947F8">
        <w:rPr>
          <w:rFonts w:ascii="Arial" w:hAnsi="Arial" w:cs="Arial"/>
        </w:rPr>
        <w:t>CD103</w:t>
      </w:r>
      <w:r w:rsidRPr="006703B2">
        <w:rPr>
          <w:rFonts w:ascii="Arial" w:hAnsi="Arial" w:cs="Arial"/>
          <w:vertAlign w:val="superscript"/>
        </w:rPr>
        <w:t>mid</w:t>
      </w:r>
      <w:r w:rsidRPr="00C947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DCs </w:t>
      </w:r>
      <w:r w:rsidRPr="00C947F8">
        <w:rPr>
          <w:rFonts w:ascii="Arial" w:hAnsi="Arial" w:cs="Arial"/>
        </w:rPr>
        <w:t>(CD4</w:t>
      </w:r>
      <w:r>
        <w:rPr>
          <w:rFonts w:ascii="Arial" w:hAnsi="Arial" w:cs="Arial"/>
        </w:rPr>
        <w:t>5</w:t>
      </w:r>
      <w:r w:rsidRPr="00347C19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 IA-IE</w:t>
      </w:r>
      <w:r w:rsidRPr="00347C19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 CD110</w:t>
      </w:r>
      <w:r w:rsidRPr="00347C19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(D) Th17 </w:t>
      </w:r>
      <w:r w:rsidRPr="00C947F8">
        <w:rPr>
          <w:rFonts w:ascii="Arial" w:hAnsi="Arial" w:cs="Arial"/>
        </w:rPr>
        <w:t>(TCR</w:t>
      </w:r>
      <w:r w:rsidRPr="00C947F8">
        <w:rPr>
          <w:rFonts w:ascii="Arial" w:hAnsi="Arial" w:cs="Arial"/>
          <w:lang w:val="el-GR"/>
        </w:rPr>
        <w:t>β</w:t>
      </w:r>
      <w:r>
        <w:rPr>
          <w:rFonts w:ascii="Arial" w:hAnsi="Arial" w:cs="Arial"/>
          <w:vertAlign w:val="superscript"/>
        </w:rPr>
        <w:t>hi</w:t>
      </w:r>
      <w:r w:rsidRPr="00C947F8">
        <w:rPr>
          <w:rFonts w:ascii="Arial" w:hAnsi="Arial" w:cs="Arial"/>
        </w:rPr>
        <w:t xml:space="preserve"> CD4</w:t>
      </w:r>
      <w:r w:rsidRPr="00C947F8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 IL-17A</w:t>
      </w:r>
      <w:r w:rsidRPr="00C947F8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 IL17F</w:t>
      </w:r>
      <w:r w:rsidRPr="00C947F8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and (E) Treg (TCRβ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CD4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FoxP3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) versus Bacteroidetes within surgical segments.  </w:t>
      </w:r>
    </w:p>
    <w:p w14:paraId="7747F80D" w14:textId="77777777" w:rsidR="008F39FB" w:rsidRDefault="008F39FB" w:rsidP="008F39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Supp. Figure 7. Immune cell populations correlate to Proteobacteria with distinct patterns based on surgical segments.  Correlation graphs of (A) </w:t>
      </w:r>
      <w:proofErr w:type="spellStart"/>
      <w:r>
        <w:rPr>
          <w:rFonts w:ascii="Arial" w:hAnsi="Arial" w:cs="Arial"/>
        </w:rPr>
        <w:t>iNKT</w:t>
      </w:r>
      <w:proofErr w:type="spellEnd"/>
      <w:r>
        <w:rPr>
          <w:rFonts w:ascii="Arial" w:hAnsi="Arial" w:cs="Arial"/>
        </w:rPr>
        <w:t xml:space="preserve"> </w:t>
      </w:r>
      <w:r w:rsidRPr="00C947F8">
        <w:rPr>
          <w:rFonts w:ascii="Arial" w:hAnsi="Arial" w:cs="Arial"/>
        </w:rPr>
        <w:t>(TCRβ</w:t>
      </w:r>
      <w:r w:rsidRPr="001A51A8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 CD1dtet</w:t>
      </w:r>
      <w:r w:rsidRPr="001A51A8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IL-22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cells, (B) </w:t>
      </w:r>
      <w:proofErr w:type="spellStart"/>
      <w:r>
        <w:rPr>
          <w:rFonts w:ascii="Arial" w:hAnsi="Arial" w:cs="Arial"/>
        </w:rPr>
        <w:t>iNKT</w:t>
      </w:r>
      <w:proofErr w:type="spellEnd"/>
      <w:r>
        <w:rPr>
          <w:rFonts w:ascii="Arial" w:hAnsi="Arial" w:cs="Arial"/>
        </w:rPr>
        <w:t xml:space="preserve"> IL-10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, (C) </w:t>
      </w:r>
      <w:r w:rsidRPr="00C947F8">
        <w:rPr>
          <w:rFonts w:ascii="Arial" w:hAnsi="Arial" w:cs="Arial"/>
        </w:rPr>
        <w:t>CD11b</w:t>
      </w:r>
      <w:r w:rsidRPr="006703B2">
        <w:rPr>
          <w:rFonts w:ascii="Arial" w:hAnsi="Arial" w:cs="Arial"/>
          <w:vertAlign w:val="superscript"/>
        </w:rPr>
        <w:t xml:space="preserve">hi </w:t>
      </w:r>
      <w:r w:rsidRPr="00C947F8">
        <w:rPr>
          <w:rFonts w:ascii="Arial" w:hAnsi="Arial" w:cs="Arial"/>
        </w:rPr>
        <w:t>CD103</w:t>
      </w:r>
      <w:r w:rsidRPr="006703B2">
        <w:rPr>
          <w:rFonts w:ascii="Arial" w:hAnsi="Arial" w:cs="Arial"/>
          <w:vertAlign w:val="superscript"/>
        </w:rPr>
        <w:t>mid</w:t>
      </w:r>
      <w:r w:rsidRPr="00C947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DCs </w:t>
      </w:r>
      <w:r w:rsidRPr="00C947F8">
        <w:rPr>
          <w:rFonts w:ascii="Arial" w:hAnsi="Arial" w:cs="Arial"/>
        </w:rPr>
        <w:t>(CD4</w:t>
      </w:r>
      <w:r>
        <w:rPr>
          <w:rFonts w:ascii="Arial" w:hAnsi="Arial" w:cs="Arial"/>
        </w:rPr>
        <w:t>5</w:t>
      </w:r>
      <w:r w:rsidRPr="00347C19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 IA-IE</w:t>
      </w:r>
      <w:r w:rsidRPr="00347C19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 CD110</w:t>
      </w:r>
      <w:r w:rsidRPr="00347C19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(D) Th17 </w:t>
      </w:r>
      <w:r w:rsidRPr="00C947F8">
        <w:rPr>
          <w:rFonts w:ascii="Arial" w:hAnsi="Arial" w:cs="Arial"/>
        </w:rPr>
        <w:t>(TCR</w:t>
      </w:r>
      <w:r w:rsidRPr="00C947F8">
        <w:rPr>
          <w:rFonts w:ascii="Arial" w:hAnsi="Arial" w:cs="Arial"/>
          <w:lang w:val="el-GR"/>
        </w:rPr>
        <w:t>β</w:t>
      </w:r>
      <w:r>
        <w:rPr>
          <w:rFonts w:ascii="Arial" w:hAnsi="Arial" w:cs="Arial"/>
          <w:vertAlign w:val="superscript"/>
        </w:rPr>
        <w:t>hi</w:t>
      </w:r>
      <w:r w:rsidRPr="00C947F8">
        <w:rPr>
          <w:rFonts w:ascii="Arial" w:hAnsi="Arial" w:cs="Arial"/>
        </w:rPr>
        <w:t xml:space="preserve"> CD4</w:t>
      </w:r>
      <w:r w:rsidRPr="00C947F8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 IL-17A</w:t>
      </w:r>
      <w:r w:rsidRPr="00C947F8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 xml:space="preserve"> IL17F</w:t>
      </w:r>
      <w:r w:rsidRPr="00C947F8">
        <w:rPr>
          <w:rFonts w:ascii="Arial" w:hAnsi="Arial" w:cs="Arial"/>
          <w:vertAlign w:val="superscript"/>
        </w:rPr>
        <w:t>+</w:t>
      </w:r>
      <w:r w:rsidRPr="00C947F8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and (E) Treg (TCRβ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CD4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FoxP3</w:t>
      </w:r>
      <w:r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) versus Proteobacteria within surgical segments.  </w:t>
      </w:r>
    </w:p>
    <w:p w14:paraId="1F041305" w14:textId="77777777" w:rsidR="008F39FB" w:rsidRDefault="008F39FB" w:rsidP="008F39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Supp. Table 1.  </w:t>
      </w:r>
      <w:bookmarkStart w:id="0" w:name="OLE_LINK3"/>
      <w:r>
        <w:rPr>
          <w:rFonts w:ascii="Arial" w:hAnsi="Arial" w:cs="Arial"/>
        </w:rPr>
        <w:t xml:space="preserve">Pearson correlation coefficients (r) for immune cell population versus </w:t>
      </w:r>
      <w:proofErr w:type="spellStart"/>
      <w:r>
        <w:rPr>
          <w:rFonts w:ascii="Arial" w:hAnsi="Arial" w:cs="Arial"/>
        </w:rPr>
        <w:t>phylums</w:t>
      </w:r>
      <w:proofErr w:type="spellEnd"/>
      <w:r>
        <w:rPr>
          <w:rFonts w:ascii="Arial" w:hAnsi="Arial" w:cs="Arial"/>
        </w:rPr>
        <w:t xml:space="preserve"> within anastomoses segments.  Bolded r value with * have a p </w:t>
      </w:r>
      <w:r w:rsidRPr="00C947F8">
        <w:rPr>
          <w:rFonts w:ascii="Arial" w:hAnsi="Arial" w:cs="Arial"/>
        </w:rPr>
        <w:t>≤ 0.05</w:t>
      </w:r>
      <w:r>
        <w:rPr>
          <w:rFonts w:ascii="Arial" w:hAnsi="Arial" w:cs="Arial"/>
        </w:rPr>
        <w:t xml:space="preserve"> and indicates a significant correlation between the immune cell population and phylum within that surgical segment.   </w:t>
      </w:r>
      <w:bookmarkEnd w:id="0"/>
    </w:p>
    <w:p w14:paraId="7A5A69E0" w14:textId="77777777" w:rsidR="008F39FB" w:rsidRDefault="008F39FB" w:rsidP="008F39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Supp. Table 2. Pearson correlation coefficients (r) for immune cell population versus </w:t>
      </w:r>
      <w:proofErr w:type="spellStart"/>
      <w:r>
        <w:rPr>
          <w:rFonts w:ascii="Arial" w:hAnsi="Arial" w:cs="Arial"/>
        </w:rPr>
        <w:t>phylums</w:t>
      </w:r>
      <w:proofErr w:type="spellEnd"/>
      <w:r>
        <w:rPr>
          <w:rFonts w:ascii="Arial" w:hAnsi="Arial" w:cs="Arial"/>
        </w:rPr>
        <w:t xml:space="preserve"> within surgery types.  Bolded r value with * have a p </w:t>
      </w:r>
      <w:r w:rsidRPr="00C947F8">
        <w:rPr>
          <w:rFonts w:ascii="Arial" w:hAnsi="Arial" w:cs="Arial"/>
        </w:rPr>
        <w:t>≤ 0.05</w:t>
      </w:r>
      <w:r>
        <w:rPr>
          <w:rFonts w:ascii="Arial" w:hAnsi="Arial" w:cs="Arial"/>
        </w:rPr>
        <w:t xml:space="preserve"> and indicates a significant correlation between the immune cell population and phylum within that type of surgery.   </w:t>
      </w:r>
    </w:p>
    <w:p w14:paraId="42E6DBF7" w14:textId="77777777" w:rsidR="00B34F8D" w:rsidRDefault="00B34F8D"/>
    <w:sectPr w:rsidR="00B34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9FB"/>
    <w:rsid w:val="00103A94"/>
    <w:rsid w:val="001929B5"/>
    <w:rsid w:val="008F39FB"/>
    <w:rsid w:val="00A335C4"/>
    <w:rsid w:val="00B3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11C4A"/>
  <w15:chartTrackingRefBased/>
  <w15:docId w15:val="{C192E0F0-280A-468F-81F7-23091ACBD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3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454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Dekrey, Emilie</dc:creator>
  <cp:keywords/>
  <dc:description/>
  <cp:lastModifiedBy>Dekrey, Emilie</cp:lastModifiedBy>
  <cp:revision>2</cp:revision>
  <dcterms:created xsi:type="dcterms:W3CDTF">2021-04-08T15:15:00Z</dcterms:created>
  <dcterms:modified xsi:type="dcterms:W3CDTF">2021-04-08T15:15:00Z</dcterms:modified>
</cp:coreProperties>
</file>