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6F4" w:rsidRPr="00B638C6" w:rsidRDefault="006116F4" w:rsidP="006116F4">
      <w:pPr>
        <w:rPr>
          <w:rFonts w:ascii="Cambria" w:hAnsi="Cambria"/>
          <w:b/>
        </w:rPr>
      </w:pPr>
      <w:r>
        <w:rPr>
          <w:rFonts w:ascii="Cambria" w:hAnsi="Cambria"/>
          <w:b/>
        </w:rPr>
        <w:t>Table S5. Association analyse</w:t>
      </w:r>
      <w:r w:rsidRPr="00B638C6">
        <w:rPr>
          <w:rFonts w:ascii="Cambria" w:hAnsi="Cambria"/>
          <w:b/>
        </w:rPr>
        <w:t>s of calorie and macronutrient intakes with obesity</w:t>
      </w:r>
    </w:p>
    <w:tbl>
      <w:tblPr>
        <w:tblW w:w="779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80"/>
        <w:gridCol w:w="2140"/>
        <w:gridCol w:w="2238"/>
        <w:gridCol w:w="2239"/>
      </w:tblGrid>
      <w:tr w:rsidR="006116F4" w:rsidRPr="00B638C6" w:rsidTr="00E166A5">
        <w:trPr>
          <w:trHeight w:val="345"/>
        </w:trPr>
        <w:tc>
          <w:tcPr>
            <w:tcW w:w="1180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</w:rPr>
              <w:t>Study</w:t>
            </w:r>
          </w:p>
        </w:tc>
        <w:tc>
          <w:tcPr>
            <w:tcW w:w="21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</w:rPr>
              <w:t>environmental effect</w:t>
            </w:r>
          </w:p>
        </w:tc>
        <w:tc>
          <w:tcPr>
            <w:tcW w:w="447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  <w:t>obesity</w:t>
            </w:r>
          </w:p>
        </w:tc>
      </w:tr>
      <w:tr w:rsidR="006116F4" w:rsidRPr="00B638C6" w:rsidTr="00E166A5">
        <w:trPr>
          <w:trHeight w:val="345"/>
        </w:trPr>
        <w:tc>
          <w:tcPr>
            <w:tcW w:w="11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</w:rPr>
              <w:t>OR (95% CI)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6F2E33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i/>
                <w:color w:val="000000"/>
                <w:kern w:val="0"/>
                <w:sz w:val="16"/>
                <w:szCs w:val="16"/>
              </w:rPr>
            </w:pPr>
            <w:r w:rsidRPr="006F2E33">
              <w:rPr>
                <w:rFonts w:ascii="Cambria" w:eastAsia="맑은 고딕" w:hAnsi="Cambria" w:cs="굴림"/>
                <w:b/>
                <w:bCs/>
                <w:i/>
                <w:color w:val="000000"/>
                <w:kern w:val="0"/>
                <w:sz w:val="16"/>
                <w:szCs w:val="16"/>
              </w:rPr>
              <w:t>P</w:t>
            </w:r>
          </w:p>
        </w:tc>
      </w:tr>
      <w:tr w:rsidR="006116F4" w:rsidRPr="00B638C6" w:rsidTr="00E166A5">
        <w:trPr>
          <w:trHeight w:val="330"/>
        </w:trPr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  <w:t>KARE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calorie intake (1-SD)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1.086 (1.040-1.135)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  <w:t>2.24E-04</w:t>
            </w:r>
          </w:p>
        </w:tc>
      </w:tr>
      <w:tr w:rsidR="006116F4" w:rsidRPr="00B638C6" w:rsidTr="00E166A5">
        <w:trPr>
          <w:trHeight w:val="330"/>
        </w:trPr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protein (1-SD)</w:t>
            </w:r>
          </w:p>
        </w:tc>
        <w:tc>
          <w:tcPr>
            <w:tcW w:w="223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1.087 (1.040-1.136)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  <w:t>2.29E-04</w:t>
            </w:r>
          </w:p>
        </w:tc>
      </w:tr>
      <w:tr w:rsidR="006116F4" w:rsidRPr="00B638C6" w:rsidTr="00E166A5">
        <w:trPr>
          <w:trHeight w:val="330"/>
        </w:trPr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fat (1-SD)</w:t>
            </w:r>
          </w:p>
        </w:tc>
        <w:tc>
          <w:tcPr>
            <w:tcW w:w="223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1.044 (0.998-1.091)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6.24E-02</w:t>
            </w:r>
          </w:p>
        </w:tc>
      </w:tr>
      <w:tr w:rsidR="006116F4" w:rsidRPr="00B638C6" w:rsidTr="00E166A5">
        <w:trPr>
          <w:trHeight w:val="330"/>
        </w:trPr>
        <w:tc>
          <w:tcPr>
            <w:tcW w:w="11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carbohydrate (1-SD)</w:t>
            </w:r>
          </w:p>
        </w:tc>
        <w:tc>
          <w:tcPr>
            <w:tcW w:w="223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1.089 (1.042-1.137)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  <w:t>1.43E-04</w:t>
            </w:r>
          </w:p>
        </w:tc>
      </w:tr>
      <w:tr w:rsidR="006116F4" w:rsidRPr="00B638C6" w:rsidTr="00E166A5">
        <w:trPr>
          <w:trHeight w:val="330"/>
        </w:trPr>
        <w:tc>
          <w:tcPr>
            <w:tcW w:w="11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  <w:t>CAVAS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calorie intake (1-SD)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1.148 (1.098-1.201)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  <w:t>1.51E-09</w:t>
            </w:r>
          </w:p>
        </w:tc>
      </w:tr>
      <w:tr w:rsidR="006116F4" w:rsidRPr="00B638C6" w:rsidTr="00E166A5">
        <w:trPr>
          <w:trHeight w:val="330"/>
        </w:trPr>
        <w:tc>
          <w:tcPr>
            <w:tcW w:w="11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protein (1-SD)</w:t>
            </w:r>
          </w:p>
        </w:tc>
        <w:tc>
          <w:tcPr>
            <w:tcW w:w="223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1.137 (1.087-1.190)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  <w:t>2.67E-08</w:t>
            </w:r>
          </w:p>
        </w:tc>
      </w:tr>
      <w:tr w:rsidR="006116F4" w:rsidRPr="00B638C6" w:rsidTr="00E166A5">
        <w:trPr>
          <w:trHeight w:val="330"/>
        </w:trPr>
        <w:tc>
          <w:tcPr>
            <w:tcW w:w="11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fat (1-SD)</w:t>
            </w:r>
          </w:p>
        </w:tc>
        <w:tc>
          <w:tcPr>
            <w:tcW w:w="223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1.061 (1.014-1.110)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1.01E-02</w:t>
            </w:r>
          </w:p>
        </w:tc>
      </w:tr>
      <w:tr w:rsidR="006116F4" w:rsidRPr="00B638C6" w:rsidTr="00E166A5">
        <w:trPr>
          <w:trHeight w:val="330"/>
        </w:trPr>
        <w:tc>
          <w:tcPr>
            <w:tcW w:w="11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carbohydrate (1-SD)</w:t>
            </w:r>
          </w:p>
        </w:tc>
        <w:tc>
          <w:tcPr>
            <w:tcW w:w="223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1.148 (1.099-1.200)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 w:val="16"/>
                <w:szCs w:val="16"/>
                <w:u w:val="single"/>
              </w:rPr>
              <w:t>5.45E-10</w:t>
            </w:r>
          </w:p>
        </w:tc>
      </w:tr>
      <w:tr w:rsidR="006116F4" w:rsidRPr="00B638C6" w:rsidTr="00E166A5">
        <w:trPr>
          <w:trHeight w:val="330"/>
        </w:trPr>
        <w:tc>
          <w:tcPr>
            <w:tcW w:w="118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  <w:t>HEXA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calorie intake (1-SD)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kern w:val="0"/>
                <w:sz w:val="16"/>
                <w:szCs w:val="16"/>
              </w:rPr>
              <w:t>1.074 (1.039-1.111)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kern w:val="0"/>
                <w:sz w:val="16"/>
                <w:szCs w:val="16"/>
                <w:u w:val="single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kern w:val="0"/>
                <w:sz w:val="16"/>
                <w:szCs w:val="16"/>
                <w:u w:val="single"/>
              </w:rPr>
              <w:t>2.30E-05</w:t>
            </w:r>
          </w:p>
        </w:tc>
      </w:tr>
      <w:tr w:rsidR="006116F4" w:rsidRPr="00B638C6" w:rsidTr="00E166A5">
        <w:trPr>
          <w:trHeight w:val="330"/>
        </w:trPr>
        <w:tc>
          <w:tcPr>
            <w:tcW w:w="118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protein (1-SD)</w:t>
            </w:r>
          </w:p>
        </w:tc>
        <w:tc>
          <w:tcPr>
            <w:tcW w:w="223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kern w:val="0"/>
                <w:sz w:val="16"/>
                <w:szCs w:val="16"/>
              </w:rPr>
              <w:t>1.072 (1.037-1.107)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kern w:val="0"/>
                <w:sz w:val="16"/>
                <w:szCs w:val="16"/>
                <w:u w:val="single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kern w:val="0"/>
                <w:sz w:val="16"/>
                <w:szCs w:val="16"/>
                <w:u w:val="single"/>
              </w:rPr>
              <w:t>3.00E-05</w:t>
            </w:r>
          </w:p>
        </w:tc>
      </w:tr>
      <w:tr w:rsidR="006116F4" w:rsidRPr="00B638C6" w:rsidTr="00E166A5">
        <w:trPr>
          <w:trHeight w:val="330"/>
        </w:trPr>
        <w:tc>
          <w:tcPr>
            <w:tcW w:w="118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fat (1-SD)</w:t>
            </w:r>
          </w:p>
        </w:tc>
        <w:tc>
          <w:tcPr>
            <w:tcW w:w="223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kern w:val="0"/>
                <w:sz w:val="16"/>
                <w:szCs w:val="16"/>
              </w:rPr>
              <w:t>1.048 (1.014-1.083)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kern w:val="0"/>
                <w:sz w:val="16"/>
                <w:szCs w:val="16"/>
              </w:rPr>
              <w:t>5.73E-03</w:t>
            </w:r>
          </w:p>
        </w:tc>
      </w:tr>
      <w:tr w:rsidR="006116F4" w:rsidRPr="00B638C6" w:rsidTr="00E166A5">
        <w:trPr>
          <w:trHeight w:val="345"/>
        </w:trPr>
        <w:tc>
          <w:tcPr>
            <w:tcW w:w="1180" w:type="dxa"/>
            <w:vMerge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left"/>
              <w:rPr>
                <w:rFonts w:ascii="Cambria" w:eastAsia="맑은 고딕" w:hAnsi="Cambria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color w:val="000000"/>
                <w:kern w:val="0"/>
                <w:sz w:val="16"/>
                <w:szCs w:val="16"/>
              </w:rPr>
              <w:t>carbohydrate (1-SD)</w:t>
            </w:r>
          </w:p>
        </w:tc>
        <w:tc>
          <w:tcPr>
            <w:tcW w:w="223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kern w:val="0"/>
                <w:sz w:val="16"/>
                <w:szCs w:val="16"/>
              </w:rPr>
            </w:pPr>
            <w:r w:rsidRPr="00B638C6">
              <w:rPr>
                <w:rFonts w:ascii="Cambria" w:eastAsia="맑은 고딕" w:hAnsi="Cambria" w:cs="굴림"/>
                <w:kern w:val="0"/>
                <w:sz w:val="16"/>
                <w:szCs w:val="16"/>
              </w:rPr>
              <w:t>1.067 (1.032-1.103)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F4" w:rsidRPr="00B638C6" w:rsidRDefault="006116F4" w:rsidP="00E166A5">
            <w:pPr>
              <w:spacing w:after="0" w:line="240" w:lineRule="auto"/>
              <w:jc w:val="center"/>
              <w:rPr>
                <w:rFonts w:ascii="Cambria" w:eastAsia="맑은 고딕" w:hAnsi="Cambria" w:cs="굴림"/>
                <w:b/>
                <w:bCs/>
                <w:kern w:val="0"/>
                <w:sz w:val="16"/>
                <w:szCs w:val="16"/>
                <w:u w:val="single"/>
              </w:rPr>
            </w:pPr>
            <w:r w:rsidRPr="00B638C6">
              <w:rPr>
                <w:rFonts w:ascii="Cambria" w:eastAsia="맑은 고딕" w:hAnsi="Cambria" w:cs="굴림"/>
                <w:b/>
                <w:bCs/>
                <w:kern w:val="0"/>
                <w:sz w:val="16"/>
                <w:szCs w:val="16"/>
                <w:u w:val="single"/>
              </w:rPr>
              <w:t>1.32E-04</w:t>
            </w:r>
          </w:p>
        </w:tc>
      </w:tr>
    </w:tbl>
    <w:p w:rsidR="006116F4" w:rsidRDefault="006116F4" w:rsidP="006116F4">
      <w:pPr>
        <w:rPr>
          <w:rFonts w:ascii="Cambria" w:hAnsi="Cambria"/>
        </w:rPr>
      </w:pPr>
    </w:p>
    <w:p w:rsidR="006116F4" w:rsidRDefault="006116F4" w:rsidP="006116F4">
      <w:pPr>
        <w:rPr>
          <w:rFonts w:ascii="Cambria" w:hAnsi="Cambria"/>
        </w:rPr>
      </w:pPr>
      <w:r w:rsidRPr="00B638C6">
        <w:rPr>
          <w:rFonts w:ascii="Cambria" w:hAnsi="Cambria"/>
        </w:rPr>
        <w:t xml:space="preserve">The associations of calorie and macronutrient intakes (per 1-SD) with obesity were analyzed by logistic regression model, adjusted for age, sex and recruitment area in KARE and adjusted for age and sex in CAVAS and HEXA.; The significance threshold P &lt; 2.08E-03 (0.05 / 24 through </w:t>
      </w:r>
      <w:r>
        <w:rPr>
          <w:rFonts w:ascii="Cambria" w:hAnsi="Cambria" w:hint="eastAsia"/>
        </w:rPr>
        <w:t>m</w:t>
      </w:r>
      <w:r>
        <w:rPr>
          <w:rFonts w:ascii="Cambria" w:hAnsi="Cambria"/>
        </w:rPr>
        <w:t>ultiple</w:t>
      </w:r>
      <w:r w:rsidRPr="00B638C6">
        <w:rPr>
          <w:rFonts w:ascii="Cambria" w:hAnsi="Cambria"/>
        </w:rPr>
        <w:t xml:space="preserve"> correction)</w:t>
      </w:r>
    </w:p>
    <w:p w:rsidR="006116F4" w:rsidRDefault="006116F4" w:rsidP="006116F4">
      <w:pPr>
        <w:rPr>
          <w:rFonts w:ascii="Cambria" w:hAnsi="Cambria"/>
        </w:rPr>
      </w:pPr>
      <w:r w:rsidRPr="00B638C6">
        <w:rPr>
          <w:rFonts w:ascii="Cambria" w:hAnsi="Cambria"/>
        </w:rPr>
        <w:t>OR: odds ratio; CI: confidence interval.</w:t>
      </w:r>
    </w:p>
    <w:p w:rsidR="00E537AA" w:rsidRPr="006116F4" w:rsidRDefault="00E537AA" w:rsidP="00FA3605">
      <w:bookmarkStart w:id="0" w:name="_GoBack"/>
      <w:bookmarkEnd w:id="0"/>
    </w:p>
    <w:sectPr w:rsidR="00E537AA" w:rsidRPr="006116F4" w:rsidSect="00FA3605">
      <w:pgSz w:w="16838" w:h="11906" w:orient="landscape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AA"/>
    <w:rsid w:val="00107643"/>
    <w:rsid w:val="006116F4"/>
    <w:rsid w:val="006E1F9D"/>
    <w:rsid w:val="006F3A67"/>
    <w:rsid w:val="008417A7"/>
    <w:rsid w:val="00CB41B2"/>
    <w:rsid w:val="00E537AA"/>
    <w:rsid w:val="00FA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C82EE"/>
  <w15:chartTrackingRefBased/>
  <w15:docId w15:val="{43D586BB-E2D5-4861-9E6B-D268FD57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2020-07-24T02:24:00Z</dcterms:created>
  <dcterms:modified xsi:type="dcterms:W3CDTF">2020-07-24T02:24:00Z</dcterms:modified>
</cp:coreProperties>
</file>