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075" w:rsidRDefault="00D33291" w:rsidP="00822DA5">
      <w:pPr>
        <w:jc w:val="center"/>
      </w:pPr>
      <w:r>
        <w:rPr>
          <w:noProof/>
        </w:rPr>
        <w:drawing>
          <wp:inline distT="0" distB="0" distL="0" distR="0">
            <wp:extent cx="5400040" cy="503682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ementary Figure 1 final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03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075" w:rsidRPr="00496D4A" w:rsidRDefault="009C2075" w:rsidP="009C2075">
      <w:pPr>
        <w:jc w:val="both"/>
        <w:rPr>
          <w:lang w:val="en-US"/>
        </w:rPr>
      </w:pPr>
      <w:r>
        <w:rPr>
          <w:b/>
          <w:lang w:val="en-US"/>
        </w:rPr>
        <w:t xml:space="preserve">Supplementary Figure 1 </w:t>
      </w:r>
      <w:r w:rsidR="00CF36CA" w:rsidRPr="00970E72">
        <w:rPr>
          <w:lang w:val="en-US"/>
        </w:rPr>
        <w:t>The</w:t>
      </w:r>
      <w:r w:rsidR="00CF36CA">
        <w:rPr>
          <w:b/>
          <w:lang w:val="en-US"/>
        </w:rPr>
        <w:t xml:space="preserve"> </w:t>
      </w:r>
      <w:r w:rsidR="00CF36CA">
        <w:rPr>
          <w:lang w:val="en-US"/>
        </w:rPr>
        <w:t>c</w:t>
      </w:r>
      <w:r w:rsidRPr="00796CC2">
        <w:rPr>
          <w:lang w:val="en-US"/>
        </w:rPr>
        <w:t>hronic effect of acute TMZ</w:t>
      </w:r>
      <w:r>
        <w:rPr>
          <w:lang w:val="en-US"/>
        </w:rPr>
        <w:t xml:space="preserve"> treatment on nuclear morphometry</w:t>
      </w:r>
      <w:r w:rsidRPr="00796CC2">
        <w:rPr>
          <w:lang w:val="en-US"/>
        </w:rPr>
        <w:t xml:space="preserve"> and autophagy in TMZ</w:t>
      </w:r>
      <w:r>
        <w:rPr>
          <w:lang w:val="en-US"/>
        </w:rPr>
        <w:t>-treated cells</w:t>
      </w:r>
      <w:r w:rsidRPr="00796CC2">
        <w:rPr>
          <w:lang w:val="en-US"/>
        </w:rPr>
        <w:t>.</w:t>
      </w:r>
      <w:r w:rsidR="00CF36CA">
        <w:rPr>
          <w:lang w:val="en-US"/>
        </w:rPr>
        <w:t xml:space="preserve"> </w:t>
      </w:r>
      <w:bookmarkStart w:id="0" w:name="_GoBack"/>
      <w:bookmarkEnd w:id="0"/>
      <w:r w:rsidR="00CF36CA">
        <w:rPr>
          <w:lang w:val="en-US"/>
        </w:rPr>
        <w:t>The</w:t>
      </w:r>
      <w:r>
        <w:rPr>
          <w:b/>
          <w:lang w:val="en-US"/>
        </w:rPr>
        <w:t xml:space="preserve"> </w:t>
      </w:r>
      <w:r w:rsidRPr="002F244F">
        <w:rPr>
          <w:lang w:val="en-US"/>
        </w:rPr>
        <w:t xml:space="preserve">U87-LC3 cells were treated </w:t>
      </w:r>
      <w:r>
        <w:rPr>
          <w:lang w:val="en-US"/>
        </w:rPr>
        <w:t xml:space="preserve">as shown in Fig. </w:t>
      </w:r>
      <w:r w:rsidR="00CF36CA">
        <w:rPr>
          <w:lang w:val="en-US"/>
        </w:rPr>
        <w:t>1A</w:t>
      </w:r>
      <w:r w:rsidRPr="002F244F">
        <w:rPr>
          <w:lang w:val="en-US"/>
        </w:rPr>
        <w:t>. Time zero represents 3</w:t>
      </w:r>
      <w:r>
        <w:rPr>
          <w:lang w:val="en-US"/>
        </w:rPr>
        <w:t xml:space="preserve"> </w:t>
      </w:r>
      <w:r w:rsidRPr="002F244F">
        <w:rPr>
          <w:lang w:val="en-US"/>
        </w:rPr>
        <w:t xml:space="preserve">h after </w:t>
      </w:r>
      <w:r w:rsidR="00CF36CA">
        <w:rPr>
          <w:lang w:val="en-US"/>
        </w:rPr>
        <w:t xml:space="preserve">the </w:t>
      </w:r>
      <w:r w:rsidRPr="002F244F">
        <w:rPr>
          <w:lang w:val="en-US"/>
        </w:rPr>
        <w:t xml:space="preserve">treatment (day 0). </w:t>
      </w:r>
      <w:r w:rsidRPr="00AD1A24">
        <w:rPr>
          <w:b/>
          <w:lang w:val="en-US"/>
        </w:rPr>
        <w:t>(</w:t>
      </w:r>
      <w:r>
        <w:rPr>
          <w:b/>
          <w:lang w:val="en-US"/>
        </w:rPr>
        <w:t>A</w:t>
      </w:r>
      <w:r w:rsidRPr="00AD1A24">
        <w:rPr>
          <w:b/>
          <w:lang w:val="en-US"/>
        </w:rPr>
        <w:t>)</w:t>
      </w:r>
      <w:r>
        <w:rPr>
          <w:b/>
          <w:lang w:val="en-US"/>
        </w:rPr>
        <w:t xml:space="preserve"> </w:t>
      </w:r>
      <w:r>
        <w:rPr>
          <w:lang w:val="en-US"/>
        </w:rPr>
        <w:t xml:space="preserve">NMA of TMZ-treated cells </w:t>
      </w:r>
      <w:r w:rsidR="00CF36CA">
        <w:rPr>
          <w:lang w:val="en-US"/>
        </w:rPr>
        <w:t xml:space="preserve">on </w:t>
      </w:r>
      <w:r>
        <w:rPr>
          <w:lang w:val="en-US"/>
        </w:rPr>
        <w:t>day 7;</w:t>
      </w:r>
      <w:r w:rsidR="00CF36CA">
        <w:rPr>
          <w:lang w:val="en-US"/>
        </w:rPr>
        <w:t xml:space="preserve"> the</w:t>
      </w:r>
      <w:r>
        <w:rPr>
          <w:lang w:val="en-US"/>
        </w:rPr>
        <w:t xml:space="preserve"> numbers correspond to the percentage of cells with large and regular nuclei. </w:t>
      </w:r>
      <w:proofErr w:type="gramStart"/>
      <w:r>
        <w:rPr>
          <w:lang w:val="en-US"/>
        </w:rPr>
        <w:t xml:space="preserve">***p&lt;0.01 in relation to </w:t>
      </w:r>
      <w:r w:rsidR="00CF36CA">
        <w:rPr>
          <w:lang w:val="en-US"/>
        </w:rPr>
        <w:t xml:space="preserve">the </w:t>
      </w:r>
      <w:r>
        <w:rPr>
          <w:lang w:val="en-US"/>
        </w:rPr>
        <w:t>control.</w:t>
      </w:r>
      <w:proofErr w:type="gramEnd"/>
      <w:r>
        <w:rPr>
          <w:lang w:val="en-US"/>
        </w:rPr>
        <w:t xml:space="preserve"> </w:t>
      </w:r>
      <w:r w:rsidRPr="00603539">
        <w:rPr>
          <w:lang w:val="en-US"/>
        </w:rPr>
        <w:t>(</w:t>
      </w:r>
      <w:r>
        <w:rPr>
          <w:b/>
          <w:lang w:val="en-US"/>
        </w:rPr>
        <w:t>B</w:t>
      </w:r>
      <w:r w:rsidRPr="00603539">
        <w:rPr>
          <w:lang w:val="en-US"/>
        </w:rPr>
        <w:t>)</w:t>
      </w:r>
      <w:r w:rsidR="00CF36CA">
        <w:rPr>
          <w:b/>
          <w:lang w:val="en-US"/>
        </w:rPr>
        <w:t xml:space="preserve"> </w:t>
      </w:r>
      <w:r w:rsidR="00CF36CA" w:rsidRPr="00613A1C">
        <w:rPr>
          <w:lang w:val="en-US"/>
        </w:rPr>
        <w:t>The</w:t>
      </w:r>
      <w:r w:rsidRPr="00613A1C">
        <w:rPr>
          <w:lang w:val="en-US"/>
        </w:rPr>
        <w:t xml:space="preserve"> </w:t>
      </w:r>
      <w:r w:rsidR="00CF36CA">
        <w:rPr>
          <w:lang w:val="en-US"/>
        </w:rPr>
        <w:t>p</w:t>
      </w:r>
      <w:r w:rsidR="00CF36CA" w:rsidRPr="008F7543">
        <w:rPr>
          <w:lang w:val="en-US"/>
        </w:rPr>
        <w:t>ercentage</w:t>
      </w:r>
      <w:r w:rsidR="00CF36CA">
        <w:rPr>
          <w:lang w:val="en-US"/>
        </w:rPr>
        <w:t xml:space="preserve"> </w:t>
      </w:r>
      <w:r>
        <w:rPr>
          <w:lang w:val="en-US"/>
        </w:rPr>
        <w:t>of cells in</w:t>
      </w:r>
      <w:r w:rsidR="00CF36CA">
        <w:rPr>
          <w:lang w:val="en-US"/>
        </w:rPr>
        <w:t xml:space="preserve"> the</w:t>
      </w:r>
      <w:r>
        <w:rPr>
          <w:lang w:val="en-US"/>
        </w:rPr>
        <w:t xml:space="preserve"> NA1, NA2 and NA3 regions over time, based on </w:t>
      </w:r>
      <w:r w:rsidR="00CF36CA">
        <w:rPr>
          <w:lang w:val="en-US"/>
        </w:rPr>
        <w:t xml:space="preserve">the </w:t>
      </w:r>
      <w:r>
        <w:rPr>
          <w:lang w:val="en-US"/>
        </w:rPr>
        <w:t xml:space="preserve">graphs </w:t>
      </w:r>
      <w:r w:rsidR="00CF36CA">
        <w:rPr>
          <w:lang w:val="en-US"/>
        </w:rPr>
        <w:t xml:space="preserve">from </w:t>
      </w:r>
      <w:r>
        <w:rPr>
          <w:lang w:val="en-US"/>
        </w:rPr>
        <w:t xml:space="preserve">Fig. </w:t>
      </w:r>
      <w:r w:rsidR="00CF36CA">
        <w:rPr>
          <w:lang w:val="en-US"/>
        </w:rPr>
        <w:t>1F</w:t>
      </w:r>
      <w:r>
        <w:rPr>
          <w:lang w:val="en-US"/>
        </w:rPr>
        <w:t>.</w:t>
      </w:r>
      <w:r>
        <w:rPr>
          <w:b/>
          <w:lang w:val="en-US"/>
        </w:rPr>
        <w:t xml:space="preserve"> </w:t>
      </w:r>
      <w:r w:rsidRPr="00AD1A24">
        <w:rPr>
          <w:b/>
          <w:lang w:val="en-US"/>
        </w:rPr>
        <w:t xml:space="preserve"> </w:t>
      </w:r>
      <w:r w:rsidRPr="00603539">
        <w:rPr>
          <w:lang w:val="en-US"/>
        </w:rPr>
        <w:t>(</w:t>
      </w:r>
      <w:r>
        <w:rPr>
          <w:b/>
          <w:lang w:val="en-US"/>
        </w:rPr>
        <w:t>C</w:t>
      </w:r>
      <w:r w:rsidRPr="00603539">
        <w:rPr>
          <w:lang w:val="en-US"/>
        </w:rPr>
        <w:t>)</w:t>
      </w:r>
      <w:r w:rsidR="00CF36CA">
        <w:rPr>
          <w:b/>
          <w:lang w:val="en-US"/>
        </w:rPr>
        <w:t xml:space="preserve"> </w:t>
      </w:r>
      <w:r w:rsidR="00CF36CA" w:rsidRPr="00613A1C">
        <w:rPr>
          <w:lang w:val="en-US"/>
        </w:rPr>
        <w:t>The</w:t>
      </w:r>
      <w:r w:rsidRPr="00613A1C">
        <w:rPr>
          <w:lang w:val="en-US"/>
        </w:rPr>
        <w:t xml:space="preserve"> </w:t>
      </w:r>
      <w:r>
        <w:rPr>
          <w:lang w:val="en-US"/>
        </w:rPr>
        <w:t xml:space="preserve">relative </w:t>
      </w:r>
      <w:r w:rsidRPr="00AD1A24">
        <w:rPr>
          <w:lang w:val="en-US"/>
        </w:rPr>
        <w:t xml:space="preserve">AO </w:t>
      </w:r>
      <w:r>
        <w:rPr>
          <w:lang w:val="en-US"/>
        </w:rPr>
        <w:t xml:space="preserve">red </w:t>
      </w:r>
      <w:r w:rsidRPr="00AD1A24">
        <w:rPr>
          <w:lang w:val="en-US"/>
        </w:rPr>
        <w:t>intensity</w:t>
      </w:r>
      <w:r>
        <w:rPr>
          <w:lang w:val="en-US"/>
        </w:rPr>
        <w:t xml:space="preserve"> and</w:t>
      </w:r>
      <w:r w:rsidRPr="00AD1A24">
        <w:rPr>
          <w:lang w:val="en-US"/>
        </w:rPr>
        <w:t xml:space="preserve"> </w:t>
      </w:r>
      <w:r w:rsidRPr="00970E72">
        <w:rPr>
          <w:lang w:val="en-US"/>
        </w:rPr>
        <w:t>(</w:t>
      </w:r>
      <w:r>
        <w:rPr>
          <w:b/>
          <w:lang w:val="en-US"/>
        </w:rPr>
        <w:t>D</w:t>
      </w:r>
      <w:r w:rsidRPr="00970E72">
        <w:rPr>
          <w:lang w:val="en-US"/>
        </w:rPr>
        <w:t>)</w:t>
      </w:r>
      <w:r w:rsidR="00CF36CA">
        <w:rPr>
          <w:b/>
          <w:lang w:val="en-US"/>
        </w:rPr>
        <w:t xml:space="preserve"> </w:t>
      </w:r>
      <w:r w:rsidR="00CF36CA" w:rsidRPr="00613A1C">
        <w:rPr>
          <w:lang w:val="en-US"/>
        </w:rPr>
        <w:t>the</w:t>
      </w:r>
      <w:r w:rsidRPr="00AD1A24">
        <w:rPr>
          <w:lang w:val="en-US"/>
        </w:rPr>
        <w:t xml:space="preserve"> </w:t>
      </w:r>
      <w:r w:rsidR="00CF36CA">
        <w:rPr>
          <w:lang w:val="en-US"/>
        </w:rPr>
        <w:t>percentage</w:t>
      </w:r>
      <w:r w:rsidRPr="00AD1A24">
        <w:rPr>
          <w:lang w:val="en-US"/>
        </w:rPr>
        <w:t xml:space="preserve"> of AO-positive cells;</w:t>
      </w:r>
      <w:r>
        <w:rPr>
          <w:lang w:val="en-US"/>
        </w:rPr>
        <w:t xml:space="preserve"> *p&lt;0.05, **p&lt;0.01 and ***p&lt;0.01 in relation to</w:t>
      </w:r>
      <w:r w:rsidR="00CF36CA">
        <w:rPr>
          <w:lang w:val="en-US"/>
        </w:rPr>
        <w:t xml:space="preserve"> the</w:t>
      </w:r>
      <w:r>
        <w:rPr>
          <w:lang w:val="en-US"/>
        </w:rPr>
        <w:t xml:space="preserve"> control.</w:t>
      </w:r>
    </w:p>
    <w:p w:rsidR="00822DA5" w:rsidRPr="00A37234" w:rsidRDefault="00822DA5" w:rsidP="00543340">
      <w:pPr>
        <w:spacing w:after="0" w:line="360" w:lineRule="auto"/>
        <w:jc w:val="both"/>
        <w:rPr>
          <w:rFonts w:ascii="Arial" w:hAnsi="Arial" w:cs="Arial"/>
          <w:lang w:val="en-US"/>
        </w:rPr>
      </w:pPr>
    </w:p>
    <w:p w:rsidR="00543340" w:rsidRPr="00543340" w:rsidRDefault="00543340">
      <w:pPr>
        <w:rPr>
          <w:lang w:val="en-US"/>
        </w:rPr>
      </w:pPr>
    </w:p>
    <w:sectPr w:rsidR="00543340" w:rsidRPr="00543340" w:rsidSect="00453C7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340"/>
    <w:rsid w:val="00041DC6"/>
    <w:rsid w:val="000829DF"/>
    <w:rsid w:val="00115B6D"/>
    <w:rsid w:val="00453C74"/>
    <w:rsid w:val="00481D7D"/>
    <w:rsid w:val="00543340"/>
    <w:rsid w:val="005A68B3"/>
    <w:rsid w:val="00603539"/>
    <w:rsid w:val="00613A1C"/>
    <w:rsid w:val="0078106E"/>
    <w:rsid w:val="007C1C56"/>
    <w:rsid w:val="00822DA5"/>
    <w:rsid w:val="0088717A"/>
    <w:rsid w:val="00970E72"/>
    <w:rsid w:val="009C2075"/>
    <w:rsid w:val="00B1490B"/>
    <w:rsid w:val="00CF36CA"/>
    <w:rsid w:val="00D33291"/>
    <w:rsid w:val="00D77807"/>
    <w:rsid w:val="00EE3B5C"/>
    <w:rsid w:val="00FA0728"/>
    <w:rsid w:val="00FA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433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43340"/>
    <w:rPr>
      <w:rFonts w:ascii="Tahoma" w:hAnsi="Tahoma" w:cs="Tahoma"/>
      <w:sz w:val="16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041DC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41DC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41DC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41DC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41DC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900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99</Words>
  <Characters>538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Marcos</dc:creator>
  <cp:lastModifiedBy>LabSinal</cp:lastModifiedBy>
  <cp:revision>6</cp:revision>
  <dcterms:created xsi:type="dcterms:W3CDTF">2014-11-10T12:24:00Z</dcterms:created>
  <dcterms:modified xsi:type="dcterms:W3CDTF">2014-11-10T12:29:00Z</dcterms:modified>
</cp:coreProperties>
</file>