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02F" w:rsidRPr="006D7255" w:rsidRDefault="00BA102F" w:rsidP="00BA102F">
      <w:pPr>
        <w:spacing w:after="0" w:line="480" w:lineRule="auto"/>
        <w:jc w:val="both"/>
        <w:rPr>
          <w:rFonts w:ascii="Times New Roman" w:hAnsi="Times New Roman"/>
          <w:b/>
          <w:sz w:val="24"/>
          <w:szCs w:val="24"/>
          <w:lang w:val="en-US"/>
        </w:rPr>
      </w:pPr>
      <w:proofErr w:type="gramStart"/>
      <w:r>
        <w:rPr>
          <w:rFonts w:ascii="Times New Roman" w:hAnsi="Times New Roman"/>
          <w:b/>
          <w:sz w:val="24"/>
          <w:szCs w:val="24"/>
          <w:lang w:val="en-US"/>
        </w:rPr>
        <w:t>Text S</w:t>
      </w:r>
      <w:r w:rsidRPr="006D7255">
        <w:rPr>
          <w:rFonts w:ascii="Times New Roman" w:hAnsi="Times New Roman"/>
          <w:b/>
          <w:sz w:val="24"/>
          <w:szCs w:val="24"/>
          <w:lang w:val="en-US"/>
        </w:rPr>
        <w:t>1.</w:t>
      </w:r>
      <w:proofErr w:type="gramEnd"/>
      <w:r w:rsidRPr="006D7255">
        <w:rPr>
          <w:rFonts w:ascii="Times New Roman" w:hAnsi="Times New Roman"/>
          <w:b/>
          <w:sz w:val="24"/>
          <w:szCs w:val="24"/>
          <w:lang w:val="en-US"/>
        </w:rPr>
        <w:t xml:space="preserve"> </w:t>
      </w:r>
      <w:proofErr w:type="gramStart"/>
      <w:r w:rsidRPr="006D7255">
        <w:rPr>
          <w:rFonts w:ascii="Times New Roman" w:hAnsi="Times New Roman"/>
          <w:b/>
          <w:sz w:val="24"/>
          <w:szCs w:val="24"/>
          <w:lang w:val="en-US"/>
        </w:rPr>
        <w:t>Development of farmland cover</w:t>
      </w:r>
      <w:proofErr w:type="gramEnd"/>
      <w:r w:rsidRPr="006D7255">
        <w:rPr>
          <w:rFonts w:ascii="Times New Roman" w:hAnsi="Times New Roman"/>
          <w:b/>
          <w:sz w:val="24"/>
          <w:szCs w:val="24"/>
          <w:lang w:val="en-US"/>
        </w:rPr>
        <w:t xml:space="preserve"> scenarios</w:t>
      </w:r>
      <w:r>
        <w:rPr>
          <w:rFonts w:ascii="Times New Roman" w:hAnsi="Times New Roman"/>
          <w:b/>
          <w:sz w:val="24"/>
          <w:szCs w:val="24"/>
          <w:lang w:val="en-US"/>
        </w:rPr>
        <w:t>.</w:t>
      </w:r>
    </w:p>
    <w:p w:rsidR="00BA102F" w:rsidRPr="00AD0752" w:rsidRDefault="00BA102F" w:rsidP="00BA102F">
      <w:pPr>
        <w:spacing w:after="0" w:line="480" w:lineRule="auto"/>
        <w:rPr>
          <w:rFonts w:ascii="Times New Roman" w:hAnsi="Times New Roman"/>
          <w:i/>
          <w:sz w:val="24"/>
          <w:szCs w:val="24"/>
          <w:lang w:val="en-US"/>
        </w:rPr>
      </w:pPr>
      <w:r w:rsidRPr="00AD0752">
        <w:rPr>
          <w:rFonts w:ascii="Times New Roman" w:hAnsi="Times New Roman"/>
          <w:i/>
          <w:sz w:val="24"/>
          <w:szCs w:val="24"/>
          <w:lang w:val="en-US"/>
        </w:rPr>
        <w:t>This section gives information about the development of the farmland cover scenarios that has not been detailed in the manuscript.</w:t>
      </w:r>
    </w:p>
    <w:p w:rsidR="00BA102F" w:rsidRPr="006D7255" w:rsidRDefault="00BA102F" w:rsidP="00BA102F">
      <w:pPr>
        <w:spacing w:after="0" w:line="480" w:lineRule="auto"/>
        <w:rPr>
          <w:rFonts w:ascii="Times New Roman" w:hAnsi="Times New Roman"/>
          <w:sz w:val="24"/>
          <w:szCs w:val="24"/>
          <w:lang w:val="en-US"/>
        </w:rPr>
      </w:pPr>
    </w:p>
    <w:p w:rsidR="00BA102F" w:rsidRPr="006D7255" w:rsidRDefault="00BA102F" w:rsidP="00BA102F">
      <w:pPr>
        <w:spacing w:after="0" w:line="480" w:lineRule="auto"/>
        <w:rPr>
          <w:rFonts w:ascii="Times New Roman" w:hAnsi="Times New Roman"/>
          <w:sz w:val="24"/>
          <w:szCs w:val="24"/>
          <w:lang w:val="en-US"/>
        </w:rPr>
      </w:pPr>
      <w:r w:rsidRPr="005A21BB">
        <w:rPr>
          <w:rFonts w:ascii="Times New Roman" w:hAnsi="Times New Roman"/>
          <w:sz w:val="24"/>
          <w:szCs w:val="24"/>
          <w:lang w:val="en-US"/>
        </w:rPr>
        <w:t>To be coherent, development of future agricultural scenarios must account for the diversity and dynamics of French agriculture. These dynamics include both production systems (specialization or diversification) and crop management (increase or decrease in intensity of practices). They result in various environmental pressures which are more or less specific depending on regional contexts. Each scenario represents a potential outcome of French agriculture according to realistic assumptions on future political decisions and changes in livestock farming and cropping patterns.</w:t>
      </w:r>
      <w:r>
        <w:rPr>
          <w:rFonts w:ascii="Times New Roman" w:hAnsi="Times New Roman"/>
          <w:sz w:val="24"/>
          <w:szCs w:val="24"/>
          <w:lang w:val="en-US"/>
        </w:rPr>
        <w:t xml:space="preserve"> </w:t>
      </w:r>
      <w:r w:rsidRPr="006D7255">
        <w:rPr>
          <w:rFonts w:ascii="Times New Roman" w:hAnsi="Times New Roman"/>
          <w:sz w:val="24"/>
          <w:szCs w:val="24"/>
          <w:lang w:val="en-US"/>
        </w:rPr>
        <w:t>Farmland cover scenarios are based on changes in the use of the Utilized Agricultural Area (UAA) in each small agricultural region (SAR), i.e. the variations of cropping patterns (i.e. crop</w:t>
      </w:r>
      <w:r>
        <w:rPr>
          <w:rFonts w:ascii="Times New Roman" w:hAnsi="Times New Roman"/>
          <w:sz w:val="24"/>
          <w:szCs w:val="24"/>
          <w:lang w:val="en-US"/>
        </w:rPr>
        <w:t>/grassland proportions</w:t>
      </w:r>
      <w:r w:rsidRPr="006D7255">
        <w:rPr>
          <w:rFonts w:ascii="Times New Roman" w:hAnsi="Times New Roman"/>
          <w:sz w:val="24"/>
          <w:szCs w:val="24"/>
          <w:lang w:val="en-US"/>
        </w:rPr>
        <w:t xml:space="preserve">) between 2000 </w:t>
      </w:r>
      <w:r>
        <w:rPr>
          <w:rFonts w:ascii="Times New Roman" w:hAnsi="Times New Roman"/>
          <w:sz w:val="24"/>
          <w:szCs w:val="24"/>
          <w:lang w:val="en-US"/>
        </w:rPr>
        <w:t>and 2050, respectively</w:t>
      </w:r>
      <w:r w:rsidRPr="006D7255">
        <w:rPr>
          <w:rFonts w:ascii="Times New Roman" w:hAnsi="Times New Roman"/>
          <w:sz w:val="24"/>
          <w:szCs w:val="24"/>
          <w:lang w:val="en-US"/>
        </w:rPr>
        <w:t xml:space="preserve"> the bas</w:t>
      </w:r>
      <w:r>
        <w:rPr>
          <w:rFonts w:ascii="Times New Roman" w:hAnsi="Times New Roman"/>
          <w:sz w:val="24"/>
          <w:szCs w:val="24"/>
          <w:lang w:val="en-US"/>
        </w:rPr>
        <w:t>e year for the agricultural data</w:t>
      </w:r>
      <w:r w:rsidRPr="006D7255">
        <w:rPr>
          <w:rFonts w:ascii="Times New Roman" w:hAnsi="Times New Roman"/>
          <w:sz w:val="24"/>
          <w:szCs w:val="24"/>
          <w:lang w:val="en-US"/>
        </w:rPr>
        <w:t xml:space="preserve"> and the time horizon considered</w:t>
      </w:r>
      <w:r>
        <w:rPr>
          <w:rFonts w:ascii="Times New Roman" w:hAnsi="Times New Roman"/>
          <w:sz w:val="24"/>
          <w:szCs w:val="24"/>
          <w:lang w:val="en-US"/>
        </w:rPr>
        <w:t xml:space="preserve">. </w:t>
      </w:r>
      <w:r w:rsidRPr="006D7255">
        <w:rPr>
          <w:rFonts w:ascii="Times New Roman" w:hAnsi="Times New Roman"/>
          <w:sz w:val="24"/>
          <w:szCs w:val="24"/>
          <w:lang w:val="en-US"/>
        </w:rPr>
        <w:t>For the development of scenarios, the SARs classified as "</w:t>
      </w:r>
      <w:r w:rsidRPr="006D7255">
        <w:rPr>
          <w:lang w:val="en-US"/>
        </w:rPr>
        <w:t xml:space="preserve"> </w:t>
      </w:r>
      <w:r w:rsidRPr="006D7255">
        <w:rPr>
          <w:rFonts w:ascii="Times New Roman" w:hAnsi="Times New Roman"/>
          <w:sz w:val="24"/>
          <w:szCs w:val="24"/>
          <w:lang w:val="en-US"/>
        </w:rPr>
        <w:t>Livestock Farming" and "Semi-extensive Livestock Farming" were differentiated into two categories: Mountain Livestock Farming and Lowland Livestock Farming areas, by overlapping the map of the</w:t>
      </w:r>
      <w:r>
        <w:rPr>
          <w:rFonts w:ascii="Times New Roman" w:hAnsi="Times New Roman"/>
          <w:sz w:val="24"/>
          <w:szCs w:val="24"/>
          <w:lang w:val="en-US"/>
        </w:rPr>
        <w:t xml:space="preserve"> current</w:t>
      </w:r>
      <w:r w:rsidRPr="006D7255">
        <w:rPr>
          <w:rFonts w:ascii="Times New Roman" w:hAnsi="Times New Roman"/>
          <w:sz w:val="24"/>
          <w:szCs w:val="24"/>
          <w:lang w:val="en-US"/>
        </w:rPr>
        <w:t xml:space="preserve"> main </w:t>
      </w:r>
      <w:proofErr w:type="spellStart"/>
      <w:r w:rsidRPr="006D7255">
        <w:rPr>
          <w:rFonts w:ascii="Times New Roman" w:hAnsi="Times New Roman"/>
          <w:sz w:val="24"/>
          <w:szCs w:val="24"/>
          <w:lang w:val="en-US"/>
        </w:rPr>
        <w:t>agroecosystems</w:t>
      </w:r>
      <w:proofErr w:type="spellEnd"/>
      <w:r w:rsidRPr="006D7255">
        <w:rPr>
          <w:rFonts w:ascii="Times New Roman" w:hAnsi="Times New Roman"/>
          <w:sz w:val="24"/>
          <w:szCs w:val="24"/>
          <w:lang w:val="en-US"/>
        </w:rPr>
        <w:t xml:space="preserve"> (</w:t>
      </w:r>
      <w:r>
        <w:rPr>
          <w:rFonts w:ascii="Times New Roman" w:hAnsi="Times New Roman"/>
          <w:sz w:val="24"/>
          <w:szCs w:val="24"/>
          <w:lang w:val="en-US"/>
        </w:rPr>
        <w:t xml:space="preserve">see </w:t>
      </w:r>
      <w:r w:rsidRPr="006D7255">
        <w:rPr>
          <w:rFonts w:ascii="Times New Roman" w:hAnsi="Times New Roman"/>
          <w:sz w:val="24"/>
          <w:szCs w:val="24"/>
          <w:lang w:val="en-US"/>
        </w:rPr>
        <w:t>Fig</w:t>
      </w:r>
      <w:r>
        <w:rPr>
          <w:rFonts w:ascii="Times New Roman" w:hAnsi="Times New Roman"/>
          <w:sz w:val="24"/>
          <w:szCs w:val="24"/>
          <w:lang w:val="en-US"/>
        </w:rPr>
        <w:t xml:space="preserve">ure </w:t>
      </w:r>
      <w:r w:rsidRPr="006D7255">
        <w:rPr>
          <w:rFonts w:ascii="Times New Roman" w:hAnsi="Times New Roman"/>
          <w:sz w:val="24"/>
          <w:szCs w:val="24"/>
          <w:lang w:val="en-US"/>
        </w:rPr>
        <w:t>1</w:t>
      </w:r>
      <w:r>
        <w:rPr>
          <w:rFonts w:ascii="Times New Roman" w:hAnsi="Times New Roman"/>
          <w:sz w:val="24"/>
          <w:szCs w:val="24"/>
          <w:lang w:val="en-US"/>
        </w:rPr>
        <w:t>.a.</w:t>
      </w:r>
      <w:r w:rsidRPr="006D7255">
        <w:rPr>
          <w:rFonts w:ascii="Times New Roman" w:hAnsi="Times New Roman"/>
          <w:sz w:val="24"/>
          <w:szCs w:val="24"/>
          <w:lang w:val="en-US"/>
        </w:rPr>
        <w:t>) with the map of the Less Favored Areas defined as "Mountain/hill Areas" (</w:t>
      </w:r>
      <w:hyperlink r:id="rId5" w:history="1">
        <w:r w:rsidRPr="006D7255">
          <w:rPr>
            <w:rStyle w:val="Hyperlink"/>
            <w:rFonts w:ascii="Times New Roman" w:hAnsi="Times New Roman"/>
            <w:sz w:val="24"/>
            <w:szCs w:val="24"/>
            <w:lang w:val="en-US"/>
          </w:rPr>
          <w:t>http://ec.europa.eu/agriculture/rurdev/lfa/</w:t>
        </w:r>
      </w:hyperlink>
      <w:r w:rsidRPr="006D7255">
        <w:rPr>
          <w:rFonts w:ascii="Times New Roman" w:hAnsi="Times New Roman"/>
          <w:sz w:val="24"/>
          <w:szCs w:val="24"/>
          <w:lang w:val="en-US"/>
        </w:rPr>
        <w:t xml:space="preserve">). Farmers in LFAs are supported by payments from the EU Rural Development Regulations, with the aim to “contribute, through continued use of agricultural land, to maintaining the countryside as well as to maintaining and promoting sustainable farming systems”. In addition, the SARs whose main was defined as ‘Arable Crops dominated by maize’ were combined with the ‘Arable Crops specialization’ </w:t>
      </w:r>
      <w:proofErr w:type="spellStart"/>
      <w:r w:rsidRPr="006D7255">
        <w:rPr>
          <w:rFonts w:ascii="Times New Roman" w:hAnsi="Times New Roman"/>
          <w:sz w:val="24"/>
          <w:szCs w:val="24"/>
          <w:lang w:val="en-US"/>
        </w:rPr>
        <w:t>agroecosystems</w:t>
      </w:r>
      <w:proofErr w:type="spellEnd"/>
      <w:r w:rsidRPr="006D7255">
        <w:rPr>
          <w:rFonts w:ascii="Times New Roman" w:hAnsi="Times New Roman"/>
          <w:sz w:val="24"/>
          <w:szCs w:val="24"/>
          <w:lang w:val="en-US"/>
        </w:rPr>
        <w:t xml:space="preserve">. In a </w:t>
      </w:r>
      <w:r w:rsidRPr="006D7255">
        <w:rPr>
          <w:rFonts w:ascii="Times New Roman" w:hAnsi="Times New Roman"/>
          <w:sz w:val="24"/>
          <w:szCs w:val="24"/>
          <w:lang w:val="en-US"/>
        </w:rPr>
        <w:lastRenderedPageBreak/>
        <w:t xml:space="preserve">first step, we defined changes in main </w:t>
      </w:r>
      <w:proofErr w:type="spellStart"/>
      <w:r w:rsidRPr="006D7255">
        <w:rPr>
          <w:rFonts w:ascii="Times New Roman" w:hAnsi="Times New Roman"/>
          <w:sz w:val="24"/>
          <w:szCs w:val="24"/>
          <w:lang w:val="en-US"/>
        </w:rPr>
        <w:t>agroecosystems</w:t>
      </w:r>
      <w:proofErr w:type="spellEnd"/>
      <w:r w:rsidRPr="006D7255">
        <w:rPr>
          <w:rFonts w:ascii="Times New Roman" w:hAnsi="Times New Roman"/>
          <w:sz w:val="24"/>
          <w:szCs w:val="24"/>
          <w:lang w:val="en-US"/>
        </w:rPr>
        <w:t xml:space="preserve"> according to each scenario, within the geographic </w:t>
      </w:r>
      <w:proofErr w:type="spellStart"/>
      <w:r w:rsidRPr="006D7255">
        <w:rPr>
          <w:rFonts w:ascii="Times New Roman" w:hAnsi="Times New Roman"/>
          <w:sz w:val="24"/>
          <w:szCs w:val="24"/>
          <w:lang w:val="en-US"/>
        </w:rPr>
        <w:t>con</w:t>
      </w:r>
      <w:r>
        <w:rPr>
          <w:rFonts w:ascii="Times New Roman" w:hAnsi="Times New Roman"/>
          <w:sz w:val="24"/>
          <w:szCs w:val="24"/>
          <w:lang w:val="en-US"/>
        </w:rPr>
        <w:t>Text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w:t>
      </w:r>
      <w:r w:rsidRPr="006D7255">
        <w:rPr>
          <w:rFonts w:ascii="Times New Roman" w:hAnsi="Times New Roman"/>
          <w:sz w:val="24"/>
          <w:szCs w:val="24"/>
          <w:lang w:val="en-US"/>
        </w:rPr>
        <w:t>nd</w:t>
      </w:r>
      <w:proofErr w:type="spellEnd"/>
      <w:r w:rsidRPr="006D7255">
        <w:rPr>
          <w:rFonts w:ascii="Times New Roman" w:hAnsi="Times New Roman"/>
          <w:sz w:val="24"/>
          <w:szCs w:val="24"/>
          <w:lang w:val="en-US"/>
        </w:rPr>
        <w:t xml:space="preserve"> likely temporal dynamics of the different </w:t>
      </w:r>
      <w:proofErr w:type="spellStart"/>
      <w:r w:rsidRPr="006D7255">
        <w:rPr>
          <w:rFonts w:ascii="Times New Roman" w:hAnsi="Times New Roman"/>
          <w:sz w:val="24"/>
          <w:szCs w:val="24"/>
          <w:lang w:val="en-US"/>
        </w:rPr>
        <w:t>agroecosystems</w:t>
      </w:r>
      <w:proofErr w:type="spellEnd"/>
      <w:r>
        <w:rPr>
          <w:rFonts w:ascii="Times New Roman" w:hAnsi="Times New Roman"/>
          <w:sz w:val="24"/>
          <w:szCs w:val="24"/>
          <w:lang w:val="en-US"/>
        </w:rPr>
        <w:t xml:space="preserve"> of each SAR </w:t>
      </w:r>
      <w:r w:rsidRPr="005A21BB">
        <w:rPr>
          <w:rFonts w:ascii="Times New Roman" w:hAnsi="Times New Roman"/>
          <w:sz w:val="24"/>
          <w:szCs w:val="24"/>
          <w:lang w:val="en-US"/>
        </w:rPr>
        <w:t xml:space="preserve">(e.g. differences between mountain and lowland </w:t>
      </w:r>
      <w:proofErr w:type="spellStart"/>
      <w:r w:rsidRPr="005A21BB">
        <w:rPr>
          <w:rFonts w:ascii="Times New Roman" w:hAnsi="Times New Roman"/>
          <w:sz w:val="24"/>
          <w:szCs w:val="24"/>
          <w:lang w:val="en-US"/>
        </w:rPr>
        <w:t>agroecosyst</w:t>
      </w:r>
      <w:r>
        <w:rPr>
          <w:rFonts w:ascii="Times New Roman" w:hAnsi="Times New Roman"/>
          <w:sz w:val="24"/>
          <w:szCs w:val="24"/>
          <w:lang w:val="en-US"/>
        </w:rPr>
        <w:t>ems</w:t>
      </w:r>
      <w:proofErr w:type="spellEnd"/>
      <w:r>
        <w:rPr>
          <w:rFonts w:ascii="Times New Roman" w:hAnsi="Times New Roman"/>
          <w:sz w:val="24"/>
          <w:szCs w:val="24"/>
          <w:lang w:val="en-US"/>
        </w:rPr>
        <w:t>; see Table S2 and Figure 1</w:t>
      </w:r>
      <w:r w:rsidRPr="005A21BB">
        <w:rPr>
          <w:rFonts w:ascii="Times New Roman" w:hAnsi="Times New Roman"/>
          <w:sz w:val="24"/>
          <w:szCs w:val="24"/>
          <w:lang w:val="en-US"/>
        </w:rPr>
        <w:t>)</w:t>
      </w:r>
      <w:r w:rsidRPr="006D7255">
        <w:rPr>
          <w:rFonts w:ascii="Times New Roman" w:hAnsi="Times New Roman"/>
          <w:sz w:val="24"/>
          <w:szCs w:val="24"/>
          <w:lang w:val="en-US"/>
        </w:rPr>
        <w:t xml:space="preserve">. </w:t>
      </w:r>
      <w:r w:rsidRPr="005A21BB">
        <w:rPr>
          <w:rFonts w:ascii="Times New Roman" w:hAnsi="Times New Roman"/>
          <w:sz w:val="24"/>
          <w:szCs w:val="24"/>
          <w:lang w:val="en-US"/>
        </w:rPr>
        <w:t xml:space="preserve">As an example, in a scenario of agricultural intensification (e.g. </w:t>
      </w:r>
      <w:r w:rsidRPr="005A21BB">
        <w:rPr>
          <w:rFonts w:ascii="Times New Roman" w:hAnsi="Times New Roman"/>
          <w:i/>
          <w:sz w:val="24"/>
          <w:szCs w:val="24"/>
          <w:lang w:val="en-US"/>
        </w:rPr>
        <w:t>‘status quo’</w:t>
      </w:r>
      <w:r w:rsidRPr="005A21BB">
        <w:rPr>
          <w:rFonts w:ascii="Times New Roman" w:hAnsi="Times New Roman"/>
          <w:sz w:val="24"/>
          <w:szCs w:val="24"/>
          <w:lang w:val="en-US"/>
        </w:rPr>
        <w:t xml:space="preserve"> scenario), a SAR with currently extensive livestock farming could not change into a crop area, but might change into a more intensive livestock area. </w:t>
      </w:r>
      <w:r w:rsidRPr="006D7255">
        <w:rPr>
          <w:rFonts w:ascii="Times New Roman" w:hAnsi="Times New Roman"/>
          <w:sz w:val="24"/>
          <w:szCs w:val="24"/>
          <w:lang w:val="en-US"/>
        </w:rPr>
        <w:t xml:space="preserve">In a second step, we estimated the variations in the proportions of </w:t>
      </w:r>
      <w:r>
        <w:rPr>
          <w:rFonts w:ascii="Times New Roman" w:hAnsi="Times New Roman"/>
          <w:sz w:val="24"/>
          <w:szCs w:val="24"/>
          <w:lang w:val="en-US"/>
        </w:rPr>
        <w:t>crops</w:t>
      </w:r>
      <w:r w:rsidRPr="006D7255">
        <w:rPr>
          <w:rFonts w:ascii="Times New Roman" w:hAnsi="Times New Roman"/>
          <w:sz w:val="24"/>
          <w:szCs w:val="24"/>
          <w:lang w:val="en-US"/>
        </w:rPr>
        <w:t xml:space="preserve"> within each SAR </w:t>
      </w:r>
      <w:r w:rsidRPr="005A21BB">
        <w:rPr>
          <w:rFonts w:ascii="Times New Roman" w:hAnsi="Times New Roman"/>
          <w:sz w:val="24"/>
          <w:szCs w:val="24"/>
          <w:lang w:val="en-US"/>
        </w:rPr>
        <w:t xml:space="preserve">linked to the changes of the main </w:t>
      </w:r>
      <w:proofErr w:type="spellStart"/>
      <w:r w:rsidRPr="005A21BB">
        <w:rPr>
          <w:rFonts w:ascii="Times New Roman" w:hAnsi="Times New Roman"/>
          <w:sz w:val="24"/>
          <w:szCs w:val="24"/>
          <w:lang w:val="en-US"/>
        </w:rPr>
        <w:t>agroecosystem</w:t>
      </w:r>
      <w:proofErr w:type="spellEnd"/>
      <w:r w:rsidRPr="005A21BB">
        <w:rPr>
          <w:rFonts w:ascii="Times New Roman" w:hAnsi="Times New Roman"/>
          <w:sz w:val="24"/>
          <w:szCs w:val="24"/>
          <w:lang w:val="en-US"/>
        </w:rPr>
        <w:t xml:space="preserve"> within each SAR</w:t>
      </w:r>
      <w:r w:rsidRPr="006D7255">
        <w:rPr>
          <w:rFonts w:ascii="Times New Roman" w:hAnsi="Times New Roman"/>
          <w:sz w:val="24"/>
          <w:szCs w:val="24"/>
          <w:lang w:val="en-US"/>
        </w:rPr>
        <w:t xml:space="preserve">, according </w:t>
      </w:r>
      <w:r>
        <w:rPr>
          <w:rFonts w:ascii="Times New Roman" w:hAnsi="Times New Roman"/>
          <w:sz w:val="24"/>
          <w:szCs w:val="24"/>
          <w:lang w:val="en-US"/>
        </w:rPr>
        <w:t>to</w:t>
      </w:r>
      <w:r w:rsidRPr="006D7255">
        <w:rPr>
          <w:rFonts w:ascii="Times New Roman" w:hAnsi="Times New Roman"/>
          <w:sz w:val="24"/>
          <w:szCs w:val="24"/>
          <w:lang w:val="en-US"/>
        </w:rPr>
        <w:t xml:space="preserve"> each scenario. We considered the following nine crops: permanent grassland, temporary grassland, cereals, grain maize, rapeseed, sunflower, forage maize, pulses and fodder crops. Changes in crop proportions were calculated using an optimization method taking various constraints into account (see </w:t>
      </w:r>
      <w:r>
        <w:rPr>
          <w:rFonts w:ascii="Times New Roman" w:hAnsi="Times New Roman"/>
          <w:sz w:val="24"/>
          <w:szCs w:val="24"/>
          <w:lang w:val="en-US"/>
        </w:rPr>
        <w:t>Table S</w:t>
      </w:r>
      <w:r w:rsidRPr="006D7255">
        <w:rPr>
          <w:rFonts w:ascii="Times New Roman" w:hAnsi="Times New Roman"/>
          <w:sz w:val="24"/>
          <w:szCs w:val="24"/>
          <w:lang w:val="en-US"/>
        </w:rPr>
        <w:t xml:space="preserve">2 for the basic constraints linked to </w:t>
      </w:r>
      <w:proofErr w:type="spellStart"/>
      <w:r w:rsidRPr="006D7255">
        <w:rPr>
          <w:rFonts w:ascii="Times New Roman" w:hAnsi="Times New Roman"/>
          <w:sz w:val="24"/>
          <w:szCs w:val="24"/>
          <w:lang w:val="en-US"/>
        </w:rPr>
        <w:t>agroecosystems</w:t>
      </w:r>
      <w:proofErr w:type="spellEnd"/>
      <w:r w:rsidRPr="006D7255">
        <w:rPr>
          <w:rFonts w:ascii="Times New Roman" w:hAnsi="Times New Roman"/>
          <w:sz w:val="24"/>
          <w:szCs w:val="24"/>
          <w:lang w:val="en-US"/>
        </w:rPr>
        <w:t xml:space="preserve">). The aim was to minimize the rate of change in farmland cover in each SAR, according to the range of possibilities in each </w:t>
      </w:r>
      <w:proofErr w:type="spellStart"/>
      <w:r>
        <w:rPr>
          <w:rFonts w:ascii="Times New Roman" w:hAnsi="Times New Roman"/>
          <w:sz w:val="24"/>
          <w:szCs w:val="24"/>
          <w:lang w:val="en-US"/>
        </w:rPr>
        <w:t>agroecosystem</w:t>
      </w:r>
      <w:proofErr w:type="spellEnd"/>
      <w:r w:rsidRPr="006D7255">
        <w:rPr>
          <w:rFonts w:ascii="Times New Roman" w:hAnsi="Times New Roman"/>
          <w:sz w:val="24"/>
          <w:szCs w:val="24"/>
          <w:lang w:val="en-US"/>
        </w:rPr>
        <w:t xml:space="preserve"> (based on segmentation criteria of the </w:t>
      </w:r>
      <w:proofErr w:type="spellStart"/>
      <w:r w:rsidRPr="006D7255">
        <w:rPr>
          <w:rFonts w:ascii="Times New Roman" w:hAnsi="Times New Roman"/>
          <w:sz w:val="24"/>
          <w:szCs w:val="24"/>
          <w:lang w:val="en-US"/>
        </w:rPr>
        <w:t>agroecosystems</w:t>
      </w:r>
      <w:proofErr w:type="spellEnd"/>
      <w:r>
        <w:rPr>
          <w:rFonts w:ascii="Times New Roman" w:hAnsi="Times New Roman"/>
          <w:sz w:val="24"/>
          <w:szCs w:val="24"/>
          <w:lang w:val="en-US"/>
        </w:rPr>
        <w:t xml:space="preserve"> [1]</w:t>
      </w:r>
      <w:r w:rsidRPr="006D7255">
        <w:rPr>
          <w:rFonts w:ascii="Times New Roman" w:hAnsi="Times New Roman"/>
          <w:sz w:val="24"/>
          <w:szCs w:val="24"/>
          <w:lang w:val="en-US"/>
        </w:rPr>
        <w:t xml:space="preserve">) that we defined as another set of constraints (see </w:t>
      </w:r>
      <w:r>
        <w:rPr>
          <w:rFonts w:ascii="Times New Roman" w:hAnsi="Times New Roman"/>
          <w:sz w:val="24"/>
          <w:szCs w:val="24"/>
          <w:lang w:val="en-US"/>
        </w:rPr>
        <w:t>Table S</w:t>
      </w:r>
      <w:r w:rsidRPr="006D7255">
        <w:rPr>
          <w:rFonts w:ascii="Times New Roman" w:hAnsi="Times New Roman"/>
          <w:sz w:val="24"/>
          <w:szCs w:val="24"/>
          <w:lang w:val="en-US"/>
        </w:rPr>
        <w:t>3).</w:t>
      </w:r>
      <w:r>
        <w:rPr>
          <w:rFonts w:ascii="Times New Roman" w:hAnsi="Times New Roman"/>
          <w:sz w:val="24"/>
          <w:szCs w:val="24"/>
          <w:lang w:val="en-US"/>
        </w:rPr>
        <w:t xml:space="preserve"> </w:t>
      </w:r>
      <w:r w:rsidRPr="006D7255">
        <w:rPr>
          <w:rFonts w:ascii="Times New Roman" w:hAnsi="Times New Roman"/>
          <w:sz w:val="24"/>
          <w:szCs w:val="24"/>
          <w:lang w:val="en-US"/>
        </w:rPr>
        <w:t>Optimization calculations were performed with the GNU Linear Programming Kit (</w:t>
      </w:r>
      <w:r w:rsidRPr="006D7255">
        <w:rPr>
          <w:rFonts w:ascii="Times New Roman" w:hAnsi="Times New Roman"/>
          <w:sz w:val="24"/>
          <w:szCs w:val="24"/>
          <w:shd w:val="clear" w:color="auto" w:fill="FFFFFF"/>
          <w:lang w:val="en-US"/>
        </w:rPr>
        <w:t xml:space="preserve">GLPK) </w:t>
      </w:r>
      <w:r w:rsidRPr="006D7255">
        <w:rPr>
          <w:rFonts w:ascii="Times New Roman" w:hAnsi="Times New Roman"/>
          <w:sz w:val="24"/>
          <w:szCs w:val="24"/>
          <w:lang w:val="en-US"/>
        </w:rPr>
        <w:t xml:space="preserve">and </w:t>
      </w:r>
      <w:r w:rsidRPr="006D7255">
        <w:rPr>
          <w:rFonts w:ascii="Times New Roman" w:hAnsi="Times New Roman"/>
          <w:sz w:val="24"/>
          <w:szCs w:val="24"/>
          <w:shd w:val="clear" w:color="auto" w:fill="FFFFFF"/>
          <w:lang w:val="en-US"/>
        </w:rPr>
        <w:t xml:space="preserve">the associated command-line solver </w:t>
      </w:r>
      <w:r w:rsidRPr="006D7255">
        <w:rPr>
          <w:rFonts w:ascii="Times New Roman" w:hAnsi="Times New Roman"/>
          <w:sz w:val="24"/>
          <w:szCs w:val="24"/>
          <w:lang w:val="en-US"/>
        </w:rPr>
        <w:t>GLPSOL</w:t>
      </w:r>
      <w:r w:rsidRPr="006D7255">
        <w:rPr>
          <w:rFonts w:ascii="Times New Roman" w:hAnsi="Times New Roman"/>
          <w:sz w:val="24"/>
          <w:szCs w:val="24"/>
          <w:shd w:val="clear" w:color="auto" w:fill="FFFFFF"/>
          <w:lang w:val="en-US"/>
        </w:rPr>
        <w:t xml:space="preserve"> (</w:t>
      </w:r>
      <w:hyperlink r:id="rId6" w:history="1">
        <w:r w:rsidRPr="006D7255">
          <w:rPr>
            <w:rStyle w:val="Hyperlink"/>
            <w:rFonts w:ascii="Times New Roman" w:hAnsi="Times New Roman"/>
            <w:sz w:val="24"/>
            <w:szCs w:val="24"/>
            <w:lang w:val="en-US"/>
          </w:rPr>
          <w:t>http://www.gnu.org/software/glpk/</w:t>
        </w:r>
      </w:hyperlink>
      <w:r w:rsidRPr="006D7255">
        <w:rPr>
          <w:rFonts w:ascii="Times New Roman" w:hAnsi="Times New Roman"/>
          <w:sz w:val="24"/>
          <w:szCs w:val="24"/>
          <w:lang w:val="en-US"/>
        </w:rPr>
        <w:t xml:space="preserve">; </w:t>
      </w:r>
      <w:hyperlink r:id="rId7" w:history="1">
        <w:r w:rsidRPr="006D7255">
          <w:rPr>
            <w:rStyle w:val="Hyperlink"/>
            <w:rFonts w:ascii="Times New Roman" w:hAnsi="Times New Roman"/>
            <w:sz w:val="24"/>
            <w:szCs w:val="24"/>
            <w:lang w:val="en-US"/>
          </w:rPr>
          <w:t>http://en.wikibooks.org/wiki/GLPK</w:t>
        </w:r>
      </w:hyperlink>
      <w:r w:rsidRPr="006D7255">
        <w:rPr>
          <w:rFonts w:ascii="Times New Roman" w:hAnsi="Times New Roman"/>
          <w:sz w:val="24"/>
          <w:szCs w:val="24"/>
          <w:lang w:val="en-US"/>
        </w:rPr>
        <w:t>).</w:t>
      </w:r>
      <w:r w:rsidRPr="006D7255">
        <w:rPr>
          <w:rFonts w:ascii="Times New Roman" w:hAnsi="Times New Roman"/>
          <w:sz w:val="24"/>
          <w:szCs w:val="24"/>
          <w:lang w:val="en-US" w:eastAsia="fr-FR"/>
        </w:rPr>
        <w:t xml:space="preserve"> The objective function was defined as follows:</w:t>
      </w:r>
    </w:p>
    <w:p w:rsidR="00BA102F" w:rsidRPr="000D28A3" w:rsidRDefault="00BA102F" w:rsidP="00BA102F">
      <w:pPr>
        <w:autoSpaceDE w:val="0"/>
        <w:autoSpaceDN w:val="0"/>
        <w:adjustRightInd w:val="0"/>
        <w:spacing w:after="0" w:line="480" w:lineRule="auto"/>
        <w:jc w:val="center"/>
        <w:rPr>
          <w:lang w:val="en-US"/>
        </w:rPr>
      </w:pPr>
      <m:oMathPara>
        <m:oMath>
          <m:func>
            <m:funcPr>
              <m:ctrlPr>
                <w:rPr>
                  <w:rFonts w:ascii="Cambria Math" w:hAnsi="Cambria Math"/>
                  <w:i/>
                </w:rPr>
              </m:ctrlPr>
            </m:funcPr>
            <m:fName>
              <m:r>
                <m:rPr>
                  <m:sty m:val="p"/>
                </m:rPr>
                <w:rPr>
                  <w:rFonts w:ascii="Cambria Math" w:hAnsi="Cambria Math"/>
                </w:rPr>
                <m:t>min</m:t>
              </m:r>
            </m:fName>
            <m:e>
              <m:nary>
                <m:naryPr>
                  <m:chr m:val="∑"/>
                  <m:limLoc m:val="undOvr"/>
                  <m:supHide m:val="1"/>
                  <m:ctrlPr>
                    <w:rPr>
                      <w:rFonts w:ascii="Cambria Math" w:hAnsi="Cambria Math"/>
                      <w:i/>
                    </w:rPr>
                  </m:ctrlPr>
                </m:naryPr>
                <m:sub>
                  <m:r>
                    <w:rPr>
                      <w:rFonts w:ascii="Cambria Math" w:hAnsi="Cambria Math"/>
                    </w:rPr>
                    <m:t>i,j</m:t>
                  </m:r>
                </m:sub>
                <m:sup/>
                <m:e>
                  <m:d>
                    <m:dPr>
                      <m:begChr m:val="|"/>
                      <m:endChr m:val="|"/>
                      <m:ctrlPr>
                        <w:rPr>
                          <w:rFonts w:ascii="Cambria Math" w:hAnsi="Cambria Math"/>
                          <w:i/>
                        </w:rPr>
                      </m:ctrlPr>
                    </m:dPr>
                    <m:e>
                      <m:sSub>
                        <m:sSubPr>
                          <m:ctrlPr>
                            <w:rPr>
                              <w:rFonts w:ascii="Cambria Math" w:hAnsi="Cambria Math"/>
                              <w:i/>
                            </w:rPr>
                          </m:ctrlPr>
                        </m:sSubPr>
                        <m:e>
                          <m:r>
                            <m:rPr>
                              <m:scr m:val="script"/>
                            </m:rP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e>
                  </m:d>
                </m:e>
              </m:nary>
            </m:e>
          </m:func>
        </m:oMath>
      </m:oMathPara>
    </w:p>
    <w:p w:rsidR="00BA102F" w:rsidRPr="006D7255" w:rsidRDefault="00BA102F" w:rsidP="00BA102F">
      <w:pPr>
        <w:autoSpaceDE w:val="0"/>
        <w:autoSpaceDN w:val="0"/>
        <w:adjustRightInd w:val="0"/>
        <w:spacing w:after="0" w:line="480" w:lineRule="auto"/>
        <w:rPr>
          <w:rFonts w:ascii="Times New Roman" w:hAnsi="Times New Roman"/>
          <w:sz w:val="24"/>
          <w:szCs w:val="24"/>
          <w:lang w:val="en-US"/>
        </w:rPr>
      </w:pPr>
      <w:proofErr w:type="gramStart"/>
      <w:r w:rsidRPr="006D7255">
        <w:rPr>
          <w:rFonts w:ascii="Times New Roman" w:hAnsi="Times New Roman"/>
          <w:sz w:val="24"/>
          <w:szCs w:val="24"/>
          <w:lang w:val="en-US"/>
        </w:rPr>
        <w:t>where</w:t>
      </w:r>
      <w:proofErr w:type="gramEnd"/>
      <w:r w:rsidRPr="006D7255">
        <w:rPr>
          <w:lang w:val="en-US"/>
        </w:rPr>
        <w:t xml:space="preserve"> </w:t>
      </w:r>
      <m:oMath>
        <m:sSub>
          <m:sSubPr>
            <m:ctrlPr>
              <w:rPr>
                <w:rFonts w:ascii="Cambria Math" w:hAnsi="Cambria Math"/>
                <w:i/>
              </w:rPr>
            </m:ctrlPr>
          </m:sSubPr>
          <m:e>
            <m:r>
              <w:rPr>
                <w:rFonts w:ascii="Cambria Math" w:hAnsi="Cambria Math"/>
              </w:rPr>
              <m:t>p</m:t>
            </m:r>
          </m:e>
          <m:sub>
            <m:r>
              <w:rPr>
                <w:rFonts w:ascii="Cambria Math" w:hAnsi="Cambria Math"/>
              </w:rPr>
              <m:t>ij</m:t>
            </m:r>
          </m:sub>
        </m:sSub>
      </m:oMath>
      <w:r w:rsidRPr="006D7255">
        <w:rPr>
          <w:lang w:val="en-US"/>
        </w:rPr>
        <w:t xml:space="preserve"> and </w:t>
      </w:r>
      <m:oMath>
        <m:sSub>
          <m:sSubPr>
            <m:ctrlPr>
              <w:rPr>
                <w:rFonts w:ascii="Cambria Math" w:hAnsi="Cambria Math"/>
                <w:i/>
              </w:rPr>
            </m:ctrlPr>
          </m:sSubPr>
          <m:e>
            <m:r>
              <m:rPr>
                <m:scr m:val="script"/>
              </m:rPr>
              <w:rPr>
                <w:rFonts w:ascii="Cambria Math" w:hAnsi="Cambria Math"/>
              </w:rPr>
              <m:t>x</m:t>
            </m:r>
          </m:e>
          <m:sub>
            <m:r>
              <w:rPr>
                <w:rFonts w:ascii="Cambria Math" w:hAnsi="Cambria Math"/>
              </w:rPr>
              <m:t>ij</m:t>
            </m:r>
          </m:sub>
        </m:sSub>
      </m:oMath>
      <w:r w:rsidRPr="006D7255">
        <w:rPr>
          <w:lang w:val="en-US"/>
        </w:rPr>
        <w:t xml:space="preserve"> </w:t>
      </w:r>
      <w:r w:rsidRPr="006D7255">
        <w:rPr>
          <w:rFonts w:ascii="Times New Roman" w:hAnsi="Times New Roman"/>
          <w:sz w:val="24"/>
          <w:szCs w:val="24"/>
          <w:lang w:val="en-US"/>
        </w:rPr>
        <w:t xml:space="preserve">correspond respectively to the current and future proportions, in each SAR, of crop </w:t>
      </w:r>
      <w:proofErr w:type="spellStart"/>
      <w:r w:rsidRPr="006D7255">
        <w:rPr>
          <w:rFonts w:ascii="Times New Roman" w:hAnsi="Times New Roman"/>
          <w:i/>
          <w:sz w:val="24"/>
          <w:szCs w:val="24"/>
          <w:lang w:val="en-US"/>
        </w:rPr>
        <w:t>i</w:t>
      </w:r>
      <w:proofErr w:type="spellEnd"/>
      <w:r w:rsidRPr="006D7255">
        <w:rPr>
          <w:rFonts w:ascii="Times New Roman" w:hAnsi="Times New Roman"/>
          <w:sz w:val="24"/>
          <w:szCs w:val="24"/>
          <w:lang w:val="en-US"/>
        </w:rPr>
        <w:t xml:space="preserve">, in the </w:t>
      </w:r>
      <w:proofErr w:type="spellStart"/>
      <w:r>
        <w:rPr>
          <w:rFonts w:ascii="Times New Roman" w:hAnsi="Times New Roman"/>
          <w:sz w:val="24"/>
          <w:szCs w:val="24"/>
          <w:lang w:val="en-US"/>
        </w:rPr>
        <w:t>agroecosystem</w:t>
      </w:r>
      <w:proofErr w:type="spellEnd"/>
      <w:r w:rsidRPr="006D7255">
        <w:rPr>
          <w:rFonts w:ascii="Times New Roman" w:hAnsi="Times New Roman"/>
          <w:sz w:val="24"/>
          <w:szCs w:val="24"/>
          <w:lang w:val="en-US"/>
        </w:rPr>
        <w:t xml:space="preserve"> </w:t>
      </w:r>
      <w:r w:rsidRPr="006D7255">
        <w:rPr>
          <w:rFonts w:ascii="Times New Roman" w:hAnsi="Times New Roman"/>
          <w:i/>
          <w:sz w:val="24"/>
          <w:szCs w:val="24"/>
          <w:lang w:val="en-US"/>
        </w:rPr>
        <w:t>j</w:t>
      </w:r>
      <w:r w:rsidRPr="006D7255">
        <w:rPr>
          <w:rFonts w:ascii="Times New Roman" w:hAnsi="Times New Roman"/>
          <w:sz w:val="24"/>
          <w:szCs w:val="24"/>
          <w:lang w:val="en-US"/>
        </w:rPr>
        <w:t>. However, the problem was not linear, so we transformed as follows:</w:t>
      </w:r>
    </w:p>
    <w:p w:rsidR="00BA102F" w:rsidRPr="000D28A3" w:rsidRDefault="00BA102F" w:rsidP="00BA102F">
      <w:pPr>
        <w:spacing w:after="0" w:line="480" w:lineRule="auto"/>
        <w:jc w:val="center"/>
        <w:rPr>
          <w:lang w:val="en-US"/>
        </w:rPr>
      </w:pPr>
      <m:oMathPara>
        <m:oMath>
          <m:func>
            <m:funcPr>
              <m:ctrlPr>
                <w:rPr>
                  <w:rFonts w:ascii="Cambria Math" w:hAnsi="Cambria Math"/>
                  <w:i/>
                </w:rPr>
              </m:ctrlPr>
            </m:funcPr>
            <m:fName>
              <m:r>
                <m:rPr>
                  <m:sty m:val="p"/>
                </m:rPr>
                <w:rPr>
                  <w:rFonts w:ascii="Cambria Math" w:hAnsi="Cambria Math"/>
                </w:rPr>
                <m:t>min</m:t>
              </m:r>
            </m:fName>
            <m:e>
              <m:nary>
                <m:naryPr>
                  <m:chr m:val="∑"/>
                  <m:limLoc m:val="undOvr"/>
                  <m:supHide m:val="1"/>
                  <m:ctrlPr>
                    <w:rPr>
                      <w:rFonts w:ascii="Cambria Math" w:hAnsi="Cambria Math"/>
                      <w:i/>
                    </w:rPr>
                  </m:ctrlPr>
                </m:naryPr>
                <m:sub>
                  <m:r>
                    <w:rPr>
                      <w:rFonts w:ascii="Cambria Math" w:hAnsi="Cambria Math"/>
                    </w:rPr>
                    <m:t>i,j</m:t>
                  </m:r>
                </m:sub>
                <m:sup/>
                <m:e>
                  <m:sSub>
                    <m:sSubPr>
                      <m:ctrlPr>
                        <w:rPr>
                          <w:rFonts w:ascii="Cambria Math" w:hAnsi="Cambria Math"/>
                          <w:i/>
                        </w:rPr>
                      </m:ctrlPr>
                    </m:sSubPr>
                    <m:e>
                      <m:r>
                        <w:rPr>
                          <w:rFonts w:ascii="Cambria Math" w:hAnsi="Cambria Math"/>
                        </w:rPr>
                        <m:t>α</m:t>
                      </m:r>
                    </m:e>
                    <m:sub>
                      <m:r>
                        <w:rPr>
                          <w:rFonts w:ascii="Cambria Math" w:hAnsi="Cambria Math"/>
                        </w:rPr>
                        <m:t>ij</m:t>
                      </m:r>
                    </m:sub>
                  </m:sSub>
                </m:e>
              </m:nary>
            </m:e>
          </m:func>
        </m:oMath>
      </m:oMathPara>
    </w:p>
    <w:p w:rsidR="00BA102F" w:rsidRPr="006D7255" w:rsidRDefault="00BA102F" w:rsidP="00BA102F">
      <w:pPr>
        <w:spacing w:after="0" w:line="480" w:lineRule="auto"/>
        <w:rPr>
          <w:rFonts w:ascii="Times New Roman" w:hAnsi="Times New Roman"/>
          <w:sz w:val="24"/>
          <w:szCs w:val="24"/>
          <w:lang w:val="en-US"/>
        </w:rPr>
      </w:pPr>
      <w:proofErr w:type="gramStart"/>
      <w:r w:rsidRPr="006D7255">
        <w:rPr>
          <w:rFonts w:ascii="Times New Roman" w:hAnsi="Times New Roman"/>
          <w:sz w:val="24"/>
          <w:szCs w:val="24"/>
          <w:lang w:val="en-US"/>
        </w:rPr>
        <w:lastRenderedPageBreak/>
        <w:t>subject</w:t>
      </w:r>
      <w:proofErr w:type="gramEnd"/>
      <w:r w:rsidRPr="006D7255">
        <w:rPr>
          <w:rFonts w:ascii="Times New Roman" w:hAnsi="Times New Roman"/>
          <w:sz w:val="24"/>
          <w:szCs w:val="24"/>
          <w:lang w:val="en-US"/>
        </w:rPr>
        <w:t xml:space="preserve"> to the following linear constraints:</w:t>
      </w:r>
    </w:p>
    <w:p w:rsidR="00BA102F" w:rsidRPr="000D28A3" w:rsidRDefault="00BA102F" w:rsidP="00BA102F">
      <w:pPr>
        <w:spacing w:after="0" w:line="480" w:lineRule="auto"/>
        <w:ind w:firstLine="708"/>
        <w:jc w:val="center"/>
        <w:rPr>
          <w:lang w:val="en-US"/>
        </w:rPr>
      </w:pPr>
      <m:oMathPara>
        <m:oMath>
          <m:sSub>
            <m:sSubPr>
              <m:ctrlPr>
                <w:rPr>
                  <w:rFonts w:ascii="Cambria Math" w:hAnsi="Cambria Math"/>
                  <w:i/>
                </w:rPr>
              </m:ctrlPr>
            </m:sSubPr>
            <m:e>
              <m:r>
                <m:rPr>
                  <m:scr m:val="script"/>
                </m:rPr>
                <w:rPr>
                  <w:rFonts w:ascii="Cambria Math" w:hAnsi="Cambria Math"/>
                </w:rPr>
                <m:t xml:space="preserve">    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ij</m:t>
              </m:r>
            </m:sub>
          </m:sSub>
        </m:oMath>
      </m:oMathPara>
    </w:p>
    <w:p w:rsidR="00BA102F" w:rsidRPr="000D28A3" w:rsidRDefault="00BA102F" w:rsidP="00BA102F">
      <w:pPr>
        <w:spacing w:after="0" w:line="480" w:lineRule="auto"/>
        <w:ind w:firstLine="708"/>
        <w:jc w:val="center"/>
        <w:rPr>
          <w:lang w:val="en-US"/>
        </w:rPr>
      </w:pPr>
      <m:oMathPara>
        <m:oMath>
          <m:r>
            <w:rPr>
              <w:rFonts w:ascii="Cambria Math" w:hAnsi="Cambria Math"/>
            </w:rPr>
            <m:t>-</m:t>
          </m:r>
          <m:sSub>
            <m:sSubPr>
              <m:ctrlPr>
                <w:rPr>
                  <w:rFonts w:ascii="Cambria Math" w:hAnsi="Cambria Math"/>
                  <w:i/>
                </w:rPr>
              </m:ctrlPr>
            </m:sSubPr>
            <m:e>
              <m:r>
                <m:rPr>
                  <m:scr m:val="script"/>
                </m:rP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ij</m:t>
              </m:r>
            </m:sub>
          </m:sSub>
        </m:oMath>
      </m:oMathPara>
    </w:p>
    <w:p w:rsidR="00BA102F" w:rsidRPr="006D7255" w:rsidRDefault="00BA102F" w:rsidP="00BA102F">
      <w:pPr>
        <w:autoSpaceDE w:val="0"/>
        <w:autoSpaceDN w:val="0"/>
        <w:adjustRightInd w:val="0"/>
        <w:spacing w:after="0" w:line="480" w:lineRule="auto"/>
        <w:rPr>
          <w:rFonts w:ascii="Times New Roman" w:hAnsi="Times New Roman"/>
          <w:sz w:val="24"/>
          <w:szCs w:val="24"/>
          <w:lang w:val="en-US" w:eastAsia="fr-FR"/>
        </w:rPr>
      </w:pPr>
      <w:r w:rsidRPr="006D7255">
        <w:rPr>
          <w:rFonts w:ascii="Times New Roman" w:hAnsi="Times New Roman"/>
          <w:sz w:val="24"/>
          <w:szCs w:val="24"/>
          <w:lang w:val="en-US" w:eastAsia="fr-FR"/>
        </w:rPr>
        <w:t xml:space="preserve">In addition to the set of constraints related to the characteristics of agricultural systems, mentioned above, two other sets of constraints were applied to solve the linear program. A first set of constraints has been defined in terms of changes in agricultural dynamics: when in a SAR, an </w:t>
      </w:r>
      <w:proofErr w:type="spellStart"/>
      <w:r>
        <w:rPr>
          <w:rFonts w:ascii="Times New Roman" w:hAnsi="Times New Roman"/>
          <w:sz w:val="24"/>
          <w:szCs w:val="24"/>
          <w:lang w:val="en-US" w:eastAsia="fr-FR"/>
        </w:rPr>
        <w:t>agroecosystem</w:t>
      </w:r>
      <w:proofErr w:type="spellEnd"/>
      <w:r w:rsidRPr="006D7255">
        <w:rPr>
          <w:rFonts w:ascii="Times New Roman" w:hAnsi="Times New Roman"/>
          <w:sz w:val="24"/>
          <w:szCs w:val="24"/>
          <w:lang w:val="en-US" w:eastAsia="fr-FR"/>
        </w:rPr>
        <w:t xml:space="preserve"> </w:t>
      </w:r>
      <w:r w:rsidRPr="006D7255">
        <w:rPr>
          <w:rFonts w:ascii="Times New Roman" w:hAnsi="Times New Roman"/>
          <w:i/>
          <w:sz w:val="24"/>
          <w:szCs w:val="24"/>
          <w:lang w:val="en-US" w:eastAsia="fr-FR"/>
        </w:rPr>
        <w:t>j</w:t>
      </w:r>
      <w:r w:rsidRPr="006D7255">
        <w:rPr>
          <w:rFonts w:ascii="Times New Roman" w:hAnsi="Times New Roman"/>
          <w:i/>
          <w:sz w:val="24"/>
          <w:szCs w:val="24"/>
          <w:vertAlign w:val="subscript"/>
          <w:lang w:val="en-US" w:eastAsia="fr-FR"/>
        </w:rPr>
        <w:t>1</w:t>
      </w:r>
      <w:r w:rsidRPr="006D7255">
        <w:rPr>
          <w:rFonts w:ascii="Times New Roman" w:hAnsi="Times New Roman"/>
          <w:sz w:val="24"/>
          <w:szCs w:val="24"/>
          <w:lang w:val="en-US" w:eastAsia="fr-FR"/>
        </w:rPr>
        <w:t xml:space="preserve"> (current) evolves into an </w:t>
      </w:r>
      <w:proofErr w:type="spellStart"/>
      <w:r>
        <w:rPr>
          <w:rFonts w:ascii="Times New Roman" w:hAnsi="Times New Roman"/>
          <w:sz w:val="24"/>
          <w:szCs w:val="24"/>
          <w:lang w:val="en-US" w:eastAsia="fr-FR"/>
        </w:rPr>
        <w:t>agroecosystem</w:t>
      </w:r>
      <w:proofErr w:type="spellEnd"/>
      <w:r w:rsidRPr="006D7255">
        <w:rPr>
          <w:rFonts w:ascii="Times New Roman" w:hAnsi="Times New Roman"/>
          <w:sz w:val="24"/>
          <w:szCs w:val="24"/>
          <w:lang w:val="en-US" w:eastAsia="fr-FR"/>
        </w:rPr>
        <w:t xml:space="preserve"> </w:t>
      </w:r>
      <w:r w:rsidRPr="006D7255">
        <w:rPr>
          <w:rFonts w:ascii="Times New Roman" w:hAnsi="Times New Roman"/>
          <w:i/>
          <w:sz w:val="24"/>
          <w:szCs w:val="24"/>
          <w:lang w:val="en-US" w:eastAsia="fr-FR"/>
        </w:rPr>
        <w:t>j</w:t>
      </w:r>
      <w:r w:rsidRPr="006D7255">
        <w:rPr>
          <w:rFonts w:ascii="Times New Roman" w:hAnsi="Times New Roman"/>
          <w:i/>
          <w:sz w:val="24"/>
          <w:szCs w:val="24"/>
          <w:vertAlign w:val="subscript"/>
          <w:lang w:val="en-US" w:eastAsia="fr-FR"/>
        </w:rPr>
        <w:t>2</w:t>
      </w:r>
      <w:r w:rsidRPr="006D7255">
        <w:rPr>
          <w:rFonts w:ascii="Times New Roman" w:hAnsi="Times New Roman"/>
          <w:sz w:val="24"/>
          <w:szCs w:val="24"/>
          <w:lang w:val="en-US" w:eastAsia="fr-FR"/>
        </w:rPr>
        <w:t xml:space="preserve"> (future) (see </w:t>
      </w:r>
      <w:r>
        <w:rPr>
          <w:rFonts w:ascii="Times New Roman" w:hAnsi="Times New Roman"/>
          <w:sz w:val="24"/>
          <w:szCs w:val="24"/>
          <w:lang w:val="en-US" w:eastAsia="fr-FR"/>
        </w:rPr>
        <w:t>Table S2</w:t>
      </w:r>
      <w:r w:rsidRPr="006D7255">
        <w:rPr>
          <w:rFonts w:ascii="Times New Roman" w:hAnsi="Times New Roman"/>
          <w:sz w:val="24"/>
          <w:szCs w:val="24"/>
          <w:lang w:val="en-US" w:eastAsia="fr-FR"/>
        </w:rPr>
        <w:t xml:space="preserve">), the average future proportion of each crop in </w:t>
      </w:r>
      <w:r w:rsidRPr="006D7255">
        <w:rPr>
          <w:rFonts w:ascii="Times New Roman" w:hAnsi="Times New Roman"/>
          <w:i/>
          <w:sz w:val="24"/>
          <w:szCs w:val="24"/>
          <w:lang w:val="en-US" w:eastAsia="fr-FR"/>
        </w:rPr>
        <w:t>j</w:t>
      </w:r>
      <w:r w:rsidRPr="006D7255">
        <w:rPr>
          <w:rFonts w:ascii="Times New Roman" w:hAnsi="Times New Roman"/>
          <w:i/>
          <w:sz w:val="24"/>
          <w:szCs w:val="24"/>
          <w:vertAlign w:val="subscript"/>
          <w:lang w:val="en-US" w:eastAsia="fr-FR"/>
        </w:rPr>
        <w:t>1</w:t>
      </w:r>
      <w:r w:rsidRPr="006D7255">
        <w:rPr>
          <w:rFonts w:ascii="Times New Roman" w:hAnsi="Times New Roman"/>
          <w:sz w:val="24"/>
          <w:szCs w:val="24"/>
          <w:lang w:val="en-US" w:eastAsia="fr-FR"/>
        </w:rPr>
        <w:t xml:space="preserve"> tends towards the average current proportion of the corresponding crop in </w:t>
      </w:r>
      <w:r w:rsidRPr="006D7255">
        <w:rPr>
          <w:rFonts w:ascii="Times New Roman" w:hAnsi="Times New Roman"/>
          <w:i/>
          <w:sz w:val="24"/>
          <w:szCs w:val="24"/>
          <w:lang w:val="en-US" w:eastAsia="fr-FR"/>
        </w:rPr>
        <w:t>j</w:t>
      </w:r>
      <w:r w:rsidRPr="006D7255">
        <w:rPr>
          <w:rFonts w:ascii="Times New Roman" w:hAnsi="Times New Roman"/>
          <w:i/>
          <w:sz w:val="24"/>
          <w:szCs w:val="24"/>
          <w:vertAlign w:val="subscript"/>
          <w:lang w:val="en-US" w:eastAsia="fr-FR"/>
        </w:rPr>
        <w:t>2</w:t>
      </w:r>
      <w:r w:rsidRPr="006D7255">
        <w:rPr>
          <w:rFonts w:ascii="Times New Roman" w:hAnsi="Times New Roman"/>
          <w:sz w:val="24"/>
          <w:szCs w:val="24"/>
          <w:lang w:val="en-US" w:eastAsia="fr-FR"/>
        </w:rPr>
        <w:t>. However, depending on the evolution of the agro- ecosystem this constraint has not been applied to all 9 rotations (</w:t>
      </w:r>
      <w:r>
        <w:rPr>
          <w:rFonts w:ascii="Times New Roman" w:hAnsi="Times New Roman"/>
          <w:sz w:val="24"/>
          <w:szCs w:val="24"/>
          <w:lang w:val="en-US" w:eastAsia="fr-FR"/>
        </w:rPr>
        <w:t>Table S</w:t>
      </w:r>
      <w:r w:rsidRPr="006D7255">
        <w:rPr>
          <w:rFonts w:ascii="Times New Roman" w:hAnsi="Times New Roman"/>
          <w:sz w:val="24"/>
          <w:szCs w:val="24"/>
          <w:lang w:val="en-US" w:eastAsia="fr-FR"/>
        </w:rPr>
        <w:t xml:space="preserve">4), in order to meet the constraints linked to main </w:t>
      </w:r>
      <w:proofErr w:type="spellStart"/>
      <w:r>
        <w:rPr>
          <w:rFonts w:ascii="Times New Roman" w:hAnsi="Times New Roman"/>
          <w:sz w:val="24"/>
          <w:szCs w:val="24"/>
          <w:lang w:val="en-US" w:eastAsia="fr-FR"/>
        </w:rPr>
        <w:t>agroecosystem</w:t>
      </w:r>
      <w:proofErr w:type="spellEnd"/>
      <w:r w:rsidRPr="006D7255">
        <w:rPr>
          <w:rFonts w:ascii="Times New Roman" w:hAnsi="Times New Roman"/>
          <w:sz w:val="24"/>
          <w:szCs w:val="24"/>
          <w:lang w:val="en-US" w:eastAsia="fr-FR"/>
        </w:rPr>
        <w:t xml:space="preserve"> and find an optimal solution to the linear program. A</w:t>
      </w:r>
      <w:r w:rsidRPr="006D7255">
        <w:rPr>
          <w:rFonts w:ascii="Times New Roman" w:hAnsi="Times New Roman"/>
          <w:sz w:val="24"/>
          <w:szCs w:val="20"/>
          <w:lang w:val="en-US"/>
        </w:rPr>
        <w:t xml:space="preserve">verage proportions of each crop were calculated above all SAR of the same </w:t>
      </w:r>
      <w:proofErr w:type="spellStart"/>
      <w:r>
        <w:rPr>
          <w:rFonts w:ascii="Times New Roman" w:hAnsi="Times New Roman"/>
          <w:sz w:val="24"/>
          <w:szCs w:val="20"/>
          <w:lang w:val="en-US"/>
        </w:rPr>
        <w:t>agroecosystem</w:t>
      </w:r>
      <w:proofErr w:type="spellEnd"/>
      <w:r w:rsidRPr="006D7255">
        <w:rPr>
          <w:rFonts w:ascii="Times New Roman" w:hAnsi="Times New Roman"/>
          <w:sz w:val="24"/>
          <w:szCs w:val="20"/>
          <w:lang w:val="en-US"/>
        </w:rPr>
        <w:t xml:space="preserve">. </w:t>
      </w:r>
      <w:r w:rsidRPr="006D7255">
        <w:rPr>
          <w:rFonts w:ascii="Times New Roman" w:hAnsi="Times New Roman"/>
          <w:sz w:val="24"/>
          <w:szCs w:val="24"/>
          <w:lang w:val="en-US" w:eastAsia="fr-FR"/>
        </w:rPr>
        <w:t xml:space="preserve">A second set of constraints has been defined, based both on the characteristics of use of the UAA in each </w:t>
      </w:r>
      <w:proofErr w:type="spellStart"/>
      <w:r>
        <w:rPr>
          <w:rFonts w:ascii="Times New Roman" w:hAnsi="Times New Roman"/>
          <w:sz w:val="24"/>
          <w:szCs w:val="24"/>
          <w:lang w:val="en-US" w:eastAsia="fr-FR"/>
        </w:rPr>
        <w:t>agroecosystem</w:t>
      </w:r>
      <w:proofErr w:type="spellEnd"/>
      <w:r w:rsidRPr="006D7255">
        <w:rPr>
          <w:rFonts w:ascii="Times New Roman" w:hAnsi="Times New Roman"/>
          <w:sz w:val="24"/>
          <w:szCs w:val="24"/>
          <w:lang w:val="en-US" w:eastAsia="fr-FR"/>
        </w:rPr>
        <w:t xml:space="preserve"> and on the objectives of cropping patterns specific to the different public policies implemented in each scenario (we do not provide the table with those constraints as it is hard to understand for a non-specialized reader). An example of constraint related to </w:t>
      </w:r>
      <w:proofErr w:type="spellStart"/>
      <w:r>
        <w:rPr>
          <w:rFonts w:ascii="Times New Roman" w:hAnsi="Times New Roman"/>
          <w:sz w:val="24"/>
          <w:szCs w:val="24"/>
          <w:lang w:val="en-US" w:eastAsia="fr-FR"/>
        </w:rPr>
        <w:t>agroecosystem</w:t>
      </w:r>
      <w:proofErr w:type="spellEnd"/>
      <w:r w:rsidRPr="006D7255">
        <w:rPr>
          <w:rFonts w:ascii="Times New Roman" w:hAnsi="Times New Roman"/>
          <w:sz w:val="24"/>
          <w:szCs w:val="24"/>
          <w:lang w:val="en-US" w:eastAsia="fr-FR"/>
        </w:rPr>
        <w:t xml:space="preserve"> characteristics is the proportion of rapeseed, sunflower and </w:t>
      </w:r>
      <w:proofErr w:type="spellStart"/>
      <w:r w:rsidRPr="006D7255">
        <w:rPr>
          <w:rFonts w:ascii="Times New Roman" w:hAnsi="Times New Roman"/>
          <w:sz w:val="24"/>
          <w:szCs w:val="24"/>
          <w:lang w:val="en-US" w:eastAsia="fr-FR"/>
        </w:rPr>
        <w:t>proteaginous</w:t>
      </w:r>
      <w:proofErr w:type="spellEnd"/>
      <w:r w:rsidRPr="006D7255">
        <w:rPr>
          <w:rFonts w:ascii="Times New Roman" w:hAnsi="Times New Roman"/>
          <w:sz w:val="24"/>
          <w:szCs w:val="24"/>
          <w:lang w:val="en-US" w:eastAsia="fr-FR"/>
        </w:rPr>
        <w:t xml:space="preserve"> which cannot exceed respectively 40, 30 and 15% in the arable land surface. A last constraint was applied to all SAR: the sum of the surfaces in each SAR should be less than the agricultural land available. With regard to crop proportions, this was evidenced by the following constraint</w:t>
      </w:r>
      <w:proofErr w:type="gramStart"/>
      <w:r w:rsidRPr="006D7255">
        <w:rPr>
          <w:rFonts w:ascii="Times New Roman" w:hAnsi="Times New Roman"/>
          <w:sz w:val="24"/>
          <w:szCs w:val="24"/>
          <w:lang w:val="en-US" w:eastAsia="fr-FR"/>
        </w:rPr>
        <w:t xml:space="preserve">: </w:t>
      </w:r>
      <w:proofErr w:type="gramEnd"/>
      <m:oMath>
        <m:nary>
          <m:naryPr>
            <m:chr m:val="∑"/>
            <m:limLoc m:val="undOvr"/>
            <m:supHide m:val="1"/>
            <m:ctrlPr>
              <w:rPr>
                <w:rFonts w:ascii="Cambria Math" w:hAnsi="Cambria Math"/>
                <w:i/>
              </w:rPr>
            </m:ctrlPr>
          </m:naryPr>
          <m:sub>
            <m:r>
              <w:rPr>
                <w:rFonts w:ascii="Cambria Math" w:hAnsi="Cambria Math"/>
              </w:rPr>
              <m:t>i</m:t>
            </m:r>
            <m:r>
              <w:rPr>
                <w:rFonts w:ascii="Cambria Math" w:hAnsi="Cambria Math"/>
                <w:lang w:val="en-US"/>
              </w:rPr>
              <m:t>,</m:t>
            </m:r>
            <m:r>
              <w:rPr>
                <w:rFonts w:ascii="Cambria Math" w:hAnsi="Cambria Math"/>
              </w:rPr>
              <m:t>j</m:t>
            </m:r>
          </m:sub>
          <m:sup/>
          <m:e>
            <m:r>
              <w:rPr>
                <w:rFonts w:ascii="Cambria Math" w:hAnsi="Cambria Math"/>
                <w:lang w:val="en-US"/>
              </w:rPr>
              <m:t>(</m:t>
            </m:r>
            <m:sSub>
              <m:sSubPr>
                <m:ctrlPr>
                  <w:rPr>
                    <w:rFonts w:ascii="Cambria Math" w:hAnsi="Cambria Math"/>
                    <w:i/>
                  </w:rPr>
                </m:ctrlPr>
              </m:sSubPr>
              <m:e>
                <m:r>
                  <m:rPr>
                    <m:scr m:val="script"/>
                  </m:rPr>
                  <w:rPr>
                    <w:rFonts w:ascii="Cambria Math" w:hAnsi="Cambria Math"/>
                  </w:rPr>
                  <m:t>x</m:t>
                </m:r>
              </m:e>
              <m:sub>
                <m:r>
                  <w:rPr>
                    <w:rFonts w:ascii="Cambria Math" w:hAnsi="Cambria Math"/>
                  </w:rPr>
                  <m:t>ij</m:t>
                </m:r>
              </m:sub>
            </m:sSub>
            <m:r>
              <w:rPr>
                <w:rFonts w:ascii="Cambria Math" w:hAnsi="Cambria Math"/>
                <w:lang w:val="en-US"/>
              </w:rPr>
              <m:t>)</m:t>
            </m:r>
          </m:e>
        </m:nary>
        <m:r>
          <w:rPr>
            <w:rFonts w:ascii="Cambria Math" w:hAnsi="Cambria Math"/>
            <w:lang w:val="en-US"/>
          </w:rPr>
          <m:t xml:space="preserve">≤100 </m:t>
        </m:r>
      </m:oMath>
      <w:r w:rsidRPr="006D7255">
        <w:rPr>
          <w:rFonts w:ascii="Times New Roman" w:hAnsi="Times New Roman"/>
          <w:sz w:val="24"/>
          <w:szCs w:val="24"/>
          <w:lang w:val="en-US" w:eastAsia="fr-FR"/>
        </w:rPr>
        <w:t xml:space="preserve">. The six farmland cover scenarios resulting from this method are summarized in the manuscript. The </w:t>
      </w:r>
      <w:r>
        <w:rPr>
          <w:rFonts w:ascii="Times New Roman" w:hAnsi="Times New Roman"/>
          <w:sz w:val="24"/>
          <w:szCs w:val="24"/>
          <w:lang w:val="en-US" w:eastAsia="fr-FR"/>
        </w:rPr>
        <w:t>Table S</w:t>
      </w:r>
      <w:r w:rsidRPr="006D7255">
        <w:rPr>
          <w:rFonts w:ascii="Times New Roman" w:hAnsi="Times New Roman"/>
          <w:sz w:val="24"/>
          <w:szCs w:val="24"/>
          <w:lang w:val="en-US" w:eastAsia="fr-FR"/>
        </w:rPr>
        <w:t>5 illustrates the national changes in crop proportions according to each farmland cover scenarios.</w:t>
      </w:r>
    </w:p>
    <w:p w:rsidR="00BA102F" w:rsidRPr="006D7255" w:rsidRDefault="00BA102F" w:rsidP="00BA102F">
      <w:pPr>
        <w:spacing w:after="0" w:line="480" w:lineRule="auto"/>
        <w:rPr>
          <w:rFonts w:ascii="Times New Roman" w:hAnsi="Times New Roman"/>
          <w:sz w:val="24"/>
          <w:szCs w:val="24"/>
          <w:lang w:val="en-US"/>
        </w:rPr>
      </w:pPr>
    </w:p>
    <w:p w:rsidR="00BA102F" w:rsidRPr="006D7255" w:rsidRDefault="00BA102F" w:rsidP="00BA102F">
      <w:pPr>
        <w:pStyle w:val="HTMLPreformatted"/>
        <w:tabs>
          <w:tab w:val="left" w:pos="0"/>
        </w:tabs>
        <w:spacing w:line="480" w:lineRule="auto"/>
        <w:jc w:val="both"/>
        <w:rPr>
          <w:rFonts w:ascii="Times New Roman" w:eastAsia="Calibri" w:hAnsi="Times New Roman"/>
          <w:sz w:val="24"/>
          <w:lang w:val="en-US" w:eastAsia="en-US"/>
        </w:rPr>
      </w:pPr>
      <w:r w:rsidRPr="00BA102F">
        <w:rPr>
          <w:rFonts w:ascii="Times New Roman" w:hAnsi="Times New Roman"/>
          <w:sz w:val="24"/>
          <w:szCs w:val="24"/>
        </w:rPr>
        <w:t xml:space="preserve">1.  </w:t>
      </w:r>
      <w:r w:rsidRPr="00F41583">
        <w:rPr>
          <w:rFonts w:ascii="Times New Roman" w:eastAsia="Calibri" w:hAnsi="Times New Roman"/>
          <w:sz w:val="24"/>
          <w:lang w:eastAsia="en-US"/>
        </w:rPr>
        <w:t>AND International 2008. Evaluation ex-post du Plan de Développement Rural National 2000-2006; soutiens à l'</w:t>
      </w:r>
      <w:proofErr w:type="spellStart"/>
      <w:r w:rsidRPr="00F41583">
        <w:rPr>
          <w:rFonts w:ascii="Times New Roman" w:eastAsia="Calibri" w:hAnsi="Times New Roman"/>
          <w:sz w:val="24"/>
          <w:lang w:eastAsia="en-US"/>
        </w:rPr>
        <w:t>agro-environnement</w:t>
      </w:r>
      <w:proofErr w:type="spellEnd"/>
      <w:r w:rsidRPr="00F41583">
        <w:rPr>
          <w:rFonts w:ascii="Times New Roman" w:eastAsia="Calibri" w:hAnsi="Times New Roman"/>
          <w:sz w:val="24"/>
          <w:lang w:eastAsia="en-US"/>
        </w:rPr>
        <w:t xml:space="preserve">. </w:t>
      </w:r>
      <w:proofErr w:type="spellStart"/>
      <w:r w:rsidRPr="006D7255">
        <w:rPr>
          <w:rFonts w:ascii="Times New Roman" w:eastAsia="Calibri" w:hAnsi="Times New Roman"/>
          <w:sz w:val="24"/>
          <w:lang w:val="en-US" w:eastAsia="en-US"/>
        </w:rPr>
        <w:t>Ministère</w:t>
      </w:r>
      <w:proofErr w:type="spellEnd"/>
      <w:r w:rsidRPr="006D7255">
        <w:rPr>
          <w:rFonts w:ascii="Times New Roman" w:eastAsia="Calibri" w:hAnsi="Times New Roman"/>
          <w:sz w:val="24"/>
          <w:lang w:val="en-US" w:eastAsia="en-US"/>
        </w:rPr>
        <w:t xml:space="preserve"> de </w:t>
      </w:r>
      <w:proofErr w:type="spellStart"/>
      <w:r w:rsidRPr="006D7255">
        <w:rPr>
          <w:rFonts w:ascii="Times New Roman" w:eastAsia="Calibri" w:hAnsi="Times New Roman"/>
          <w:sz w:val="24"/>
          <w:lang w:val="en-US" w:eastAsia="en-US"/>
        </w:rPr>
        <w:t>l'Agriculture</w:t>
      </w:r>
      <w:proofErr w:type="spellEnd"/>
      <w:r w:rsidRPr="006D7255">
        <w:rPr>
          <w:rFonts w:ascii="Times New Roman" w:eastAsia="Calibri" w:hAnsi="Times New Roman"/>
          <w:sz w:val="24"/>
          <w:lang w:val="en-US" w:eastAsia="en-US"/>
        </w:rPr>
        <w:t xml:space="preserve"> </w:t>
      </w:r>
      <w:proofErr w:type="gramStart"/>
      <w:r w:rsidRPr="006D7255">
        <w:rPr>
          <w:rFonts w:ascii="Times New Roman" w:eastAsia="Calibri" w:hAnsi="Times New Roman"/>
          <w:sz w:val="24"/>
          <w:lang w:val="en-US" w:eastAsia="en-US"/>
        </w:rPr>
        <w:t>et</w:t>
      </w:r>
      <w:proofErr w:type="gramEnd"/>
      <w:r w:rsidRPr="006D7255">
        <w:rPr>
          <w:rFonts w:ascii="Times New Roman" w:eastAsia="Calibri" w:hAnsi="Times New Roman"/>
          <w:sz w:val="24"/>
          <w:lang w:val="en-US" w:eastAsia="en-US"/>
        </w:rPr>
        <w:t xml:space="preserve"> de la </w:t>
      </w:r>
      <w:proofErr w:type="spellStart"/>
      <w:r w:rsidRPr="006D7255">
        <w:rPr>
          <w:rFonts w:ascii="Times New Roman" w:eastAsia="Calibri" w:hAnsi="Times New Roman"/>
          <w:sz w:val="24"/>
          <w:lang w:val="en-US" w:eastAsia="en-US"/>
        </w:rPr>
        <w:t>Pêche</w:t>
      </w:r>
      <w:proofErr w:type="spellEnd"/>
      <w:r w:rsidRPr="006D7255">
        <w:rPr>
          <w:rFonts w:ascii="Times New Roman" w:eastAsia="Calibri" w:hAnsi="Times New Roman"/>
          <w:sz w:val="24"/>
          <w:lang w:val="en-US" w:eastAsia="en-US"/>
        </w:rPr>
        <w:t>.</w:t>
      </w:r>
    </w:p>
    <w:p w:rsidR="007705E2" w:rsidRDefault="007705E2" w:rsidP="00BA102F">
      <w:bookmarkStart w:id="0" w:name="_GoBack"/>
      <w:bookmarkEnd w:id="0"/>
    </w:p>
    <w:sectPr w:rsidR="00770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02F"/>
    <w:rsid w:val="007705E2"/>
    <w:rsid w:val="00BA1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2F"/>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102F"/>
    <w:rPr>
      <w:color w:val="0000FF"/>
      <w:u w:val="single"/>
    </w:rPr>
  </w:style>
  <w:style w:type="paragraph" w:styleId="HTMLPreformatted">
    <w:name w:val="HTML Preformatted"/>
    <w:basedOn w:val="Normal"/>
    <w:link w:val="HTMLPreformattedChar"/>
    <w:rsid w:val="00BA1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MS Mincho" w:hAnsi="Courier New"/>
      <w:sz w:val="20"/>
      <w:szCs w:val="20"/>
      <w:lang w:eastAsia="ja-JP"/>
    </w:rPr>
  </w:style>
  <w:style w:type="character" w:customStyle="1" w:styleId="HTMLPreformattedChar">
    <w:name w:val="HTML Preformatted Char"/>
    <w:basedOn w:val="DefaultParagraphFont"/>
    <w:link w:val="HTMLPreformatted"/>
    <w:rsid w:val="00BA102F"/>
    <w:rPr>
      <w:rFonts w:ascii="Courier New" w:eastAsia="MS Mincho" w:hAnsi="Courier New" w:cs="Times New Roman"/>
      <w:sz w:val="20"/>
      <w:szCs w:val="20"/>
      <w:lang w:val="fr-FR" w:eastAsia="ja-JP"/>
    </w:rPr>
  </w:style>
  <w:style w:type="paragraph" w:styleId="BalloonText">
    <w:name w:val="Balloon Text"/>
    <w:basedOn w:val="Normal"/>
    <w:link w:val="BalloonTextChar"/>
    <w:uiPriority w:val="99"/>
    <w:semiHidden/>
    <w:unhideWhenUsed/>
    <w:rsid w:val="00BA1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02F"/>
    <w:rPr>
      <w:rFonts w:ascii="Tahoma" w:eastAsia="Calibri"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02F"/>
    <w:pPr>
      <w:spacing w:after="200" w:line="276" w:lineRule="auto"/>
    </w:pPr>
    <w:rPr>
      <w:rFonts w:ascii="Verdana" w:eastAsia="Calibri" w:hAnsi="Verdana"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102F"/>
    <w:rPr>
      <w:color w:val="0000FF"/>
      <w:u w:val="single"/>
    </w:rPr>
  </w:style>
  <w:style w:type="paragraph" w:styleId="HTMLPreformatted">
    <w:name w:val="HTML Preformatted"/>
    <w:basedOn w:val="Normal"/>
    <w:link w:val="HTMLPreformattedChar"/>
    <w:rsid w:val="00BA1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MS Mincho" w:hAnsi="Courier New"/>
      <w:sz w:val="20"/>
      <w:szCs w:val="20"/>
      <w:lang w:eastAsia="ja-JP"/>
    </w:rPr>
  </w:style>
  <w:style w:type="character" w:customStyle="1" w:styleId="HTMLPreformattedChar">
    <w:name w:val="HTML Preformatted Char"/>
    <w:basedOn w:val="DefaultParagraphFont"/>
    <w:link w:val="HTMLPreformatted"/>
    <w:rsid w:val="00BA102F"/>
    <w:rPr>
      <w:rFonts w:ascii="Courier New" w:eastAsia="MS Mincho" w:hAnsi="Courier New" w:cs="Times New Roman"/>
      <w:sz w:val="20"/>
      <w:szCs w:val="20"/>
      <w:lang w:val="fr-FR" w:eastAsia="ja-JP"/>
    </w:rPr>
  </w:style>
  <w:style w:type="paragraph" w:styleId="BalloonText">
    <w:name w:val="Balloon Text"/>
    <w:basedOn w:val="Normal"/>
    <w:link w:val="BalloonTextChar"/>
    <w:uiPriority w:val="99"/>
    <w:semiHidden/>
    <w:unhideWhenUsed/>
    <w:rsid w:val="00BA10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02F"/>
    <w:rPr>
      <w:rFonts w:ascii="Tahoma" w:eastAsia="Calibri"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books.org/wiki/GLP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nu.org/software/glpk/" TargetMode="External"/><Relationship Id="rId5" Type="http://schemas.openxmlformats.org/officeDocument/2006/relationships/hyperlink" Target="http://ec.europa.eu/agriculture/rurdev/lf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2014-12-03T21:12:00Z</dcterms:created>
  <dcterms:modified xsi:type="dcterms:W3CDTF">2014-12-03T21:13:00Z</dcterms:modified>
</cp:coreProperties>
</file>