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6A2D7" w14:textId="7E32D9D6" w:rsidR="00A307E6" w:rsidRPr="00A307E6" w:rsidRDefault="00A307E6" w:rsidP="00A307E6">
      <w:pPr>
        <w:jc w:val="center"/>
        <w:rPr>
          <w:rFonts w:ascii="Times New Roman" w:hAnsi="Times New Roman" w:cs="Times New Roman"/>
          <w:b/>
          <w:sz w:val="24"/>
          <w:szCs w:val="24"/>
          <w:lang w:eastAsia="ko-KR"/>
        </w:rPr>
      </w:pPr>
      <w:r w:rsidRPr="00A307E6">
        <w:rPr>
          <w:rFonts w:ascii="Times New Roman" w:hAnsi="Times New Roman" w:cs="Times New Roman"/>
          <w:b/>
          <w:sz w:val="24"/>
          <w:szCs w:val="24"/>
          <w:lang w:eastAsia="ko-KR"/>
        </w:rPr>
        <w:t>Object based supervised classification parameters used</w:t>
      </w:r>
    </w:p>
    <w:p w14:paraId="7CABC394" w14:textId="33D488BB" w:rsidR="00A307E6" w:rsidRDefault="00A307E6" w:rsidP="00A307E6">
      <w:pPr>
        <w:rPr>
          <w:rFonts w:ascii="Times New Roman" w:hAnsi="Times New Roman" w:cs="Times New Roman"/>
          <w:bCs/>
          <w:sz w:val="24"/>
          <w:szCs w:val="24"/>
          <w:lang w:eastAsia="ko-KR"/>
        </w:rPr>
      </w:pPr>
      <w:r>
        <w:rPr>
          <w:rFonts w:ascii="Times New Roman" w:hAnsi="Times New Roman" w:cs="Times New Roman"/>
          <w:bCs/>
          <w:sz w:val="24"/>
          <w:szCs w:val="24"/>
          <w:lang w:eastAsia="ko-KR"/>
        </w:rPr>
        <w:t>T</w:t>
      </w:r>
      <w:r>
        <w:rPr>
          <w:rFonts w:ascii="Times New Roman" w:hAnsi="Times New Roman" w:cs="Times New Roman"/>
          <w:bCs/>
          <w:sz w:val="24"/>
          <w:szCs w:val="24"/>
          <w:lang w:eastAsia="ko-KR"/>
        </w:rPr>
        <w:t xml:space="preserve">he three images from different sensors are expected to have differences due to sensor positions, scanner modes, number of spectral bands, signal to noise ratios and spatial resolution of the images (USGS; </w:t>
      </w:r>
      <w:r>
        <w:rPr>
          <w:rFonts w:ascii="Times New Roman" w:hAnsi="Times New Roman" w:cs="Times New Roman"/>
          <w:bCs/>
          <w:sz w:val="24"/>
          <w:szCs w:val="24"/>
          <w:lang w:eastAsia="ko-KR"/>
        </w:rPr>
        <w:fldChar w:fldCharType="begin" w:fldLock="1"/>
      </w:r>
      <w:r>
        <w:rPr>
          <w:rFonts w:ascii="Times New Roman" w:hAnsi="Times New Roman" w:cs="Times New Roman"/>
          <w:bCs/>
          <w:sz w:val="24"/>
          <w:szCs w:val="24"/>
          <w:lang w:eastAsia="ko-KR"/>
        </w:rPr>
        <w:instrText>ADDIN CSL_CITATION {"citationItems":[{"id":"ITEM-1","itemData":{"DOI":"10.3390/rs12020291","ISSN":"2072-4292","abstract":"Landsat 8 is the most recent generation of Landsat satellite missions that provides remote sensing imagery for earth observation. The Landsat 7 Enhanced Thematic Mapper Plus (ETM+) images, together with Landsat-8 Operational Land Imager (OLI) and Thermal Infrared sensor (TIRS) represent fundamental tools for earth observation due to the optimal combination of the radiometric and geometric images resolution provided by these sensors. However, there are substantial differences between the information provided by Landsat 7 and Landsat 8. In order to perform a multi-temporal analysis, a cross-comparison between image from different Landsat satellites is required. The present study is based on the evaluation of specific intercalibration functions for the standardization of main vegetation indices calculated from the two Landsat generation images, with respect to main land use types. The NDVI (Normalized Difference Vegetation Index), NDWI (Normalized Difference Water Index), LSWI (Land Surface Water Index), NBR (Normalized Burn Ratio), VIgreen (Green Vegetation Index), SAVI (Soil Adjusted Vegetation Index), and EVI (Enhanced Vegetation Index) have been derived from August 2017 ETM+ and OLI images (path: 188; row: 32) for the study area (Basilicata Region, located in the southern part of Italy) selected as a highly representative of Mediterranean environment. Main results show slight differences in the values of average reflectance for each band: OLI shows higher values in the near-infrared (NIR) wavelength for all the land use types, while in the short-wave infrared (SWIR) the ETM+ shows higher reflectance values. High correlation coefficients between different indices (in particular NDVI and NDWI) show that ETM+ and OLI can be used as complementary data. The best correlation in terms of cross-comparison was found for NDVI, NDWI, SAVI, and EVI indices; while according to land use classes, statistically significant differences were found for almost all the considered indices calculated with the two sensors.","author":[{"dropping-particle":"","family":"Mancino","given":"Giuseppe","non-dropping-particle":"","parse-names":false,"suffix":""},{"dropping-particle":"","family":"Ferrara","given":"Agostino","non-dropping-particle":"","parse-names":false,"suffix":""},{"dropping-particle":"","family":"Padula","given":"Antonietta","non-dropping-particle":"","parse-names":false,"suffix":""},{"dropping-particle":"","family":"Nolè","given":"Angelo","non-dropping-particle":"","parse-names":false,"suffix":""}],"container-title":"Remote Sensing","id":"ITEM-1","issue":"2","issued":{"date-parts":[["2020","1","16"]]},"page":"291","title":"Cross-Comparison between Landsat 8 (OLI) and Landsat 7 (ETM+) Derived Vegetation Indices in a Mediterranean Environment","type":"article-journal","volume":"12"},"uris":["http://www.mendeley.com/documents/?uuid=dcf1f470-f692-4d67-b2e8-928c3ca71093"]}],"mendeley":{"formattedCitation":"(Mancino et al. 2020)","manualFormatting":"Mancino et al., 2020)","plainTextFormattedCitation":"(Mancino et al. 2020)"},"properties":{"noteIndex":0},"schema":"https://github.com/citation-style-language/schema/raw/master/csl-citation.json"}</w:instrText>
      </w:r>
      <w:r>
        <w:rPr>
          <w:rFonts w:ascii="Times New Roman" w:hAnsi="Times New Roman" w:cs="Times New Roman"/>
          <w:bCs/>
          <w:sz w:val="24"/>
          <w:szCs w:val="24"/>
          <w:lang w:eastAsia="ko-KR"/>
        </w:rPr>
        <w:fldChar w:fldCharType="separate"/>
      </w:r>
      <w:r w:rsidRPr="005D3C6D">
        <w:rPr>
          <w:rFonts w:ascii="Times New Roman" w:hAnsi="Times New Roman" w:cs="Times New Roman"/>
          <w:bCs/>
          <w:noProof/>
          <w:sz w:val="24"/>
          <w:szCs w:val="24"/>
          <w:lang w:eastAsia="ko-KR"/>
        </w:rPr>
        <w:t>Mancino et al.</w:t>
      </w:r>
      <w:r>
        <w:rPr>
          <w:rFonts w:ascii="Times New Roman" w:hAnsi="Times New Roman" w:cs="Times New Roman"/>
          <w:bCs/>
          <w:noProof/>
          <w:sz w:val="24"/>
          <w:szCs w:val="24"/>
          <w:lang w:eastAsia="ko-KR"/>
        </w:rPr>
        <w:t xml:space="preserve">, </w:t>
      </w:r>
      <w:r w:rsidRPr="005D3C6D">
        <w:rPr>
          <w:rFonts w:ascii="Times New Roman" w:hAnsi="Times New Roman" w:cs="Times New Roman"/>
          <w:bCs/>
          <w:noProof/>
          <w:sz w:val="24"/>
          <w:szCs w:val="24"/>
          <w:lang w:eastAsia="ko-KR"/>
        </w:rPr>
        <w:t>2020)</w:t>
      </w:r>
      <w:r>
        <w:rPr>
          <w:rFonts w:ascii="Times New Roman" w:hAnsi="Times New Roman" w:cs="Times New Roman"/>
          <w:bCs/>
          <w:sz w:val="24"/>
          <w:szCs w:val="24"/>
          <w:lang w:eastAsia="ko-KR"/>
        </w:rPr>
        <w:fldChar w:fldCharType="end"/>
      </w:r>
      <w:r>
        <w:rPr>
          <w:rFonts w:ascii="Times New Roman" w:hAnsi="Times New Roman" w:cs="Times New Roman"/>
          <w:bCs/>
          <w:sz w:val="24"/>
          <w:szCs w:val="24"/>
          <w:lang w:eastAsia="ko-KR"/>
        </w:rPr>
        <w:t>. Consequently, this has required us to use different parameters for image segmentation and attribute calculation under the object based supervised classification workflow as shown in the table below.</w:t>
      </w:r>
    </w:p>
    <w:tbl>
      <w:tblPr>
        <w:tblStyle w:val="TableGrid"/>
        <w:tblW w:w="9355" w:type="dxa"/>
        <w:tblLayout w:type="fixed"/>
        <w:tblLook w:val="04A0" w:firstRow="1" w:lastRow="0" w:firstColumn="1" w:lastColumn="0" w:noHBand="0" w:noVBand="1"/>
      </w:tblPr>
      <w:tblGrid>
        <w:gridCol w:w="1885"/>
        <w:gridCol w:w="856"/>
        <w:gridCol w:w="989"/>
        <w:gridCol w:w="1616"/>
        <w:gridCol w:w="1219"/>
        <w:gridCol w:w="1440"/>
        <w:gridCol w:w="1350"/>
      </w:tblGrid>
      <w:tr w:rsidR="00A307E6" w14:paraId="41666C96" w14:textId="77777777" w:rsidTr="00B3641E">
        <w:tc>
          <w:tcPr>
            <w:tcW w:w="1885" w:type="dxa"/>
            <w:vMerge w:val="restart"/>
            <w:vAlign w:val="center"/>
          </w:tcPr>
          <w:p w14:paraId="647AF75E" w14:textId="77777777" w:rsidR="00A307E6" w:rsidRPr="00A307E6" w:rsidRDefault="00A307E6" w:rsidP="00B3641E">
            <w:pPr>
              <w:jc w:val="center"/>
              <w:rPr>
                <w:rFonts w:ascii="Times New Roman" w:hAnsi="Times New Roman" w:cs="Times New Roman"/>
                <w:b/>
                <w:sz w:val="24"/>
                <w:szCs w:val="24"/>
                <w:lang w:eastAsia="ko-KR"/>
              </w:rPr>
            </w:pPr>
            <w:r w:rsidRPr="00A307E6">
              <w:rPr>
                <w:rFonts w:ascii="Times New Roman" w:hAnsi="Times New Roman" w:cs="Times New Roman"/>
                <w:b/>
                <w:sz w:val="24"/>
                <w:szCs w:val="24"/>
                <w:lang w:eastAsia="ko-KR"/>
              </w:rPr>
              <w:t>Sensor</w:t>
            </w:r>
          </w:p>
        </w:tc>
        <w:tc>
          <w:tcPr>
            <w:tcW w:w="3461" w:type="dxa"/>
            <w:gridSpan w:val="3"/>
          </w:tcPr>
          <w:p w14:paraId="5C70B746" w14:textId="77777777" w:rsidR="00A307E6" w:rsidRPr="00A307E6" w:rsidRDefault="00A307E6" w:rsidP="00B3641E">
            <w:pPr>
              <w:jc w:val="center"/>
              <w:rPr>
                <w:rFonts w:ascii="Times New Roman" w:hAnsi="Times New Roman" w:cs="Times New Roman"/>
                <w:b/>
                <w:sz w:val="24"/>
                <w:szCs w:val="24"/>
                <w:lang w:eastAsia="ko-KR"/>
              </w:rPr>
            </w:pPr>
            <w:r w:rsidRPr="00A307E6">
              <w:rPr>
                <w:rFonts w:ascii="Times New Roman" w:hAnsi="Times New Roman" w:cs="Times New Roman"/>
                <w:b/>
                <w:sz w:val="24"/>
                <w:szCs w:val="24"/>
                <w:lang w:eastAsia="ko-KR"/>
              </w:rPr>
              <w:t>Segmentation parameters</w:t>
            </w:r>
          </w:p>
        </w:tc>
        <w:tc>
          <w:tcPr>
            <w:tcW w:w="4009" w:type="dxa"/>
            <w:gridSpan w:val="3"/>
          </w:tcPr>
          <w:p w14:paraId="6B33E85F" w14:textId="77777777" w:rsidR="00A307E6" w:rsidRPr="00A307E6" w:rsidRDefault="00A307E6" w:rsidP="00B3641E">
            <w:pPr>
              <w:jc w:val="center"/>
              <w:rPr>
                <w:rFonts w:ascii="Times New Roman" w:hAnsi="Times New Roman" w:cs="Times New Roman"/>
                <w:b/>
                <w:sz w:val="24"/>
                <w:szCs w:val="24"/>
                <w:lang w:eastAsia="ko-KR"/>
              </w:rPr>
            </w:pPr>
            <w:r w:rsidRPr="00A307E6">
              <w:rPr>
                <w:rFonts w:ascii="Times New Roman" w:hAnsi="Times New Roman" w:cs="Times New Roman"/>
                <w:b/>
                <w:sz w:val="24"/>
                <w:szCs w:val="24"/>
                <w:lang w:eastAsia="ko-KR"/>
              </w:rPr>
              <w:t>Attribute calculation</w:t>
            </w:r>
          </w:p>
        </w:tc>
      </w:tr>
      <w:tr w:rsidR="00A307E6" w14:paraId="08ECE5F2" w14:textId="77777777" w:rsidTr="00B3641E">
        <w:tc>
          <w:tcPr>
            <w:tcW w:w="1885" w:type="dxa"/>
            <w:vMerge/>
          </w:tcPr>
          <w:p w14:paraId="11609BE0" w14:textId="77777777" w:rsidR="00A307E6" w:rsidRPr="00A307E6" w:rsidRDefault="00A307E6" w:rsidP="00B3641E">
            <w:pPr>
              <w:jc w:val="center"/>
              <w:rPr>
                <w:rFonts w:ascii="Times New Roman" w:hAnsi="Times New Roman" w:cs="Times New Roman"/>
                <w:b/>
                <w:sz w:val="24"/>
                <w:szCs w:val="24"/>
                <w:lang w:eastAsia="ko-KR"/>
              </w:rPr>
            </w:pPr>
          </w:p>
        </w:tc>
        <w:tc>
          <w:tcPr>
            <w:tcW w:w="856" w:type="dxa"/>
          </w:tcPr>
          <w:p w14:paraId="42488AA2" w14:textId="77777777" w:rsidR="00A307E6" w:rsidRPr="00A307E6" w:rsidRDefault="00A307E6" w:rsidP="00B3641E">
            <w:pPr>
              <w:jc w:val="center"/>
              <w:rPr>
                <w:rFonts w:ascii="Times New Roman" w:hAnsi="Times New Roman" w:cs="Times New Roman"/>
                <w:b/>
                <w:lang w:eastAsia="ko-KR"/>
              </w:rPr>
            </w:pPr>
            <w:r w:rsidRPr="00A307E6">
              <w:rPr>
                <w:rFonts w:ascii="Times New Roman" w:hAnsi="Times New Roman" w:cs="Times New Roman"/>
                <w:b/>
                <w:lang w:eastAsia="ko-KR"/>
              </w:rPr>
              <w:t>Scale</w:t>
            </w:r>
          </w:p>
        </w:tc>
        <w:tc>
          <w:tcPr>
            <w:tcW w:w="989" w:type="dxa"/>
          </w:tcPr>
          <w:p w14:paraId="73FB53C5" w14:textId="77777777" w:rsidR="00A307E6" w:rsidRPr="00A307E6" w:rsidRDefault="00A307E6" w:rsidP="00B3641E">
            <w:pPr>
              <w:jc w:val="center"/>
              <w:rPr>
                <w:rFonts w:ascii="Times New Roman" w:hAnsi="Times New Roman" w:cs="Times New Roman"/>
                <w:b/>
                <w:lang w:eastAsia="ko-KR"/>
              </w:rPr>
            </w:pPr>
            <w:r w:rsidRPr="00A307E6">
              <w:rPr>
                <w:rFonts w:ascii="Times New Roman" w:hAnsi="Times New Roman" w:cs="Times New Roman"/>
                <w:b/>
                <w:lang w:eastAsia="ko-KR"/>
              </w:rPr>
              <w:t>Shape</w:t>
            </w:r>
          </w:p>
        </w:tc>
        <w:tc>
          <w:tcPr>
            <w:tcW w:w="1616" w:type="dxa"/>
          </w:tcPr>
          <w:p w14:paraId="0BC9B47D" w14:textId="77777777" w:rsidR="00A307E6" w:rsidRPr="00A307E6" w:rsidRDefault="00A307E6" w:rsidP="00B3641E">
            <w:pPr>
              <w:jc w:val="center"/>
              <w:rPr>
                <w:rFonts w:ascii="Times New Roman" w:hAnsi="Times New Roman" w:cs="Times New Roman"/>
                <w:b/>
                <w:lang w:eastAsia="ko-KR"/>
              </w:rPr>
            </w:pPr>
            <w:r w:rsidRPr="00A307E6">
              <w:rPr>
                <w:rFonts w:ascii="Times New Roman" w:hAnsi="Times New Roman" w:cs="Times New Roman"/>
                <w:b/>
                <w:lang w:eastAsia="ko-KR"/>
              </w:rPr>
              <w:t>Compactness</w:t>
            </w:r>
          </w:p>
        </w:tc>
        <w:tc>
          <w:tcPr>
            <w:tcW w:w="1219" w:type="dxa"/>
          </w:tcPr>
          <w:p w14:paraId="541DE611" w14:textId="77777777" w:rsidR="00A307E6" w:rsidRPr="00A307E6" w:rsidRDefault="00A307E6" w:rsidP="00B3641E">
            <w:pPr>
              <w:jc w:val="center"/>
              <w:rPr>
                <w:rFonts w:ascii="Times New Roman" w:hAnsi="Times New Roman" w:cs="Times New Roman"/>
                <w:b/>
                <w:lang w:eastAsia="ko-KR"/>
              </w:rPr>
            </w:pPr>
            <w:r w:rsidRPr="00A307E6">
              <w:rPr>
                <w:rFonts w:ascii="Times New Roman" w:hAnsi="Times New Roman" w:cs="Times New Roman"/>
                <w:b/>
                <w:lang w:eastAsia="ko-KR"/>
              </w:rPr>
              <w:t>Statistical</w:t>
            </w:r>
          </w:p>
        </w:tc>
        <w:tc>
          <w:tcPr>
            <w:tcW w:w="1440" w:type="dxa"/>
          </w:tcPr>
          <w:p w14:paraId="1A0FFF08" w14:textId="77777777" w:rsidR="00A307E6" w:rsidRPr="00A307E6" w:rsidRDefault="00A307E6" w:rsidP="00B3641E">
            <w:pPr>
              <w:jc w:val="center"/>
              <w:rPr>
                <w:rFonts w:ascii="Times New Roman" w:hAnsi="Times New Roman" w:cs="Times New Roman"/>
                <w:b/>
                <w:lang w:eastAsia="ko-KR"/>
              </w:rPr>
            </w:pPr>
            <w:r w:rsidRPr="00A307E6">
              <w:rPr>
                <w:rFonts w:ascii="Times New Roman" w:hAnsi="Times New Roman" w:cs="Times New Roman"/>
                <w:b/>
                <w:lang w:eastAsia="ko-KR"/>
              </w:rPr>
              <w:t>Geometrical</w:t>
            </w:r>
          </w:p>
        </w:tc>
        <w:tc>
          <w:tcPr>
            <w:tcW w:w="1350" w:type="dxa"/>
          </w:tcPr>
          <w:p w14:paraId="72B79C1C" w14:textId="77777777" w:rsidR="00A307E6" w:rsidRPr="00A307E6" w:rsidRDefault="00A307E6" w:rsidP="00B3641E">
            <w:pPr>
              <w:jc w:val="center"/>
              <w:rPr>
                <w:rFonts w:ascii="Times New Roman" w:hAnsi="Times New Roman" w:cs="Times New Roman"/>
                <w:b/>
                <w:lang w:eastAsia="ko-KR"/>
              </w:rPr>
            </w:pPr>
            <w:r w:rsidRPr="00A307E6">
              <w:rPr>
                <w:rFonts w:ascii="Times New Roman" w:hAnsi="Times New Roman" w:cs="Times New Roman"/>
                <w:b/>
                <w:lang w:eastAsia="ko-KR"/>
              </w:rPr>
              <w:t>Vegetation indices</w:t>
            </w:r>
          </w:p>
        </w:tc>
      </w:tr>
      <w:tr w:rsidR="00A307E6" w14:paraId="0C4532B7" w14:textId="77777777" w:rsidTr="00A307E6">
        <w:tc>
          <w:tcPr>
            <w:tcW w:w="1885" w:type="dxa"/>
            <w:vAlign w:val="center"/>
          </w:tcPr>
          <w:p w14:paraId="033E2D7D" w14:textId="77777777" w:rsidR="00A307E6" w:rsidRDefault="00A307E6" w:rsidP="00A307E6">
            <w:pPr>
              <w:rPr>
                <w:rFonts w:ascii="Times New Roman" w:hAnsi="Times New Roman" w:cs="Times New Roman"/>
                <w:bCs/>
                <w:sz w:val="24"/>
                <w:szCs w:val="24"/>
                <w:lang w:eastAsia="ko-KR"/>
              </w:rPr>
            </w:pPr>
            <w:r>
              <w:rPr>
                <w:rFonts w:ascii="Times New Roman" w:hAnsi="Times New Roman" w:cs="Times New Roman"/>
                <w:bCs/>
                <w:sz w:val="24"/>
                <w:szCs w:val="24"/>
                <w:lang w:eastAsia="ko-KR"/>
              </w:rPr>
              <w:t>Landsat 4-5</w:t>
            </w:r>
          </w:p>
        </w:tc>
        <w:tc>
          <w:tcPr>
            <w:tcW w:w="856" w:type="dxa"/>
            <w:vAlign w:val="center"/>
          </w:tcPr>
          <w:p w14:paraId="0363CD36"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10</w:t>
            </w:r>
          </w:p>
        </w:tc>
        <w:tc>
          <w:tcPr>
            <w:tcW w:w="989" w:type="dxa"/>
            <w:vAlign w:val="center"/>
          </w:tcPr>
          <w:p w14:paraId="26C437F5"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0.5</w:t>
            </w:r>
          </w:p>
        </w:tc>
        <w:tc>
          <w:tcPr>
            <w:tcW w:w="1616" w:type="dxa"/>
            <w:vAlign w:val="center"/>
          </w:tcPr>
          <w:p w14:paraId="50A38A56"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0.5</w:t>
            </w:r>
          </w:p>
        </w:tc>
        <w:tc>
          <w:tcPr>
            <w:tcW w:w="1219" w:type="dxa"/>
            <w:vAlign w:val="center"/>
          </w:tcPr>
          <w:p w14:paraId="2CFED5C1"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Mean &amp; Std Dev</w:t>
            </w:r>
          </w:p>
        </w:tc>
        <w:tc>
          <w:tcPr>
            <w:tcW w:w="1440" w:type="dxa"/>
            <w:vAlign w:val="center"/>
          </w:tcPr>
          <w:p w14:paraId="475B1A70"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 xml:space="preserve">Compactness, elongation, </w:t>
            </w:r>
            <w:proofErr w:type="gramStart"/>
            <w:r w:rsidRPr="007515C1">
              <w:rPr>
                <w:rFonts w:ascii="Times New Roman" w:hAnsi="Times New Roman" w:cs="Times New Roman"/>
                <w:bCs/>
                <w:sz w:val="20"/>
                <w:szCs w:val="20"/>
                <w:lang w:eastAsia="ko-KR"/>
              </w:rPr>
              <w:t>circularity</w:t>
            </w:r>
            <w:proofErr w:type="gramEnd"/>
            <w:r w:rsidRPr="007515C1">
              <w:rPr>
                <w:rFonts w:ascii="Times New Roman" w:hAnsi="Times New Roman" w:cs="Times New Roman"/>
                <w:bCs/>
                <w:sz w:val="20"/>
                <w:szCs w:val="20"/>
                <w:lang w:eastAsia="ko-KR"/>
              </w:rPr>
              <w:t xml:space="preserve"> and rectangularity</w:t>
            </w:r>
          </w:p>
        </w:tc>
        <w:tc>
          <w:tcPr>
            <w:tcW w:w="1350" w:type="dxa"/>
            <w:vAlign w:val="center"/>
          </w:tcPr>
          <w:p w14:paraId="0D1225EA"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NDVI</w:t>
            </w:r>
          </w:p>
        </w:tc>
      </w:tr>
      <w:tr w:rsidR="00A307E6" w14:paraId="28048821" w14:textId="77777777" w:rsidTr="00A307E6">
        <w:tc>
          <w:tcPr>
            <w:tcW w:w="1885" w:type="dxa"/>
            <w:vAlign w:val="center"/>
          </w:tcPr>
          <w:p w14:paraId="55B74C81" w14:textId="77777777" w:rsidR="00A307E6" w:rsidRDefault="00A307E6" w:rsidP="00A307E6">
            <w:pPr>
              <w:rPr>
                <w:rFonts w:ascii="Times New Roman" w:hAnsi="Times New Roman" w:cs="Times New Roman"/>
                <w:bCs/>
                <w:sz w:val="24"/>
                <w:szCs w:val="24"/>
                <w:lang w:eastAsia="ko-KR"/>
              </w:rPr>
            </w:pPr>
            <w:r>
              <w:rPr>
                <w:rFonts w:ascii="Times New Roman" w:hAnsi="Times New Roman" w:cs="Times New Roman"/>
                <w:bCs/>
                <w:sz w:val="24"/>
                <w:szCs w:val="24"/>
                <w:lang w:eastAsia="ko-KR"/>
              </w:rPr>
              <w:t>Landsat 7 ETM+</w:t>
            </w:r>
          </w:p>
        </w:tc>
        <w:tc>
          <w:tcPr>
            <w:tcW w:w="856" w:type="dxa"/>
            <w:vAlign w:val="center"/>
          </w:tcPr>
          <w:p w14:paraId="73FEC947"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8</w:t>
            </w:r>
          </w:p>
        </w:tc>
        <w:tc>
          <w:tcPr>
            <w:tcW w:w="989" w:type="dxa"/>
            <w:vAlign w:val="center"/>
          </w:tcPr>
          <w:p w14:paraId="107C8F86"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0.25</w:t>
            </w:r>
          </w:p>
        </w:tc>
        <w:tc>
          <w:tcPr>
            <w:tcW w:w="1616" w:type="dxa"/>
            <w:vAlign w:val="center"/>
          </w:tcPr>
          <w:p w14:paraId="159ABC5B"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0.25</w:t>
            </w:r>
          </w:p>
        </w:tc>
        <w:tc>
          <w:tcPr>
            <w:tcW w:w="1219" w:type="dxa"/>
            <w:vAlign w:val="center"/>
          </w:tcPr>
          <w:p w14:paraId="6C38BD22"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Mean &amp; Std Dev</w:t>
            </w:r>
          </w:p>
        </w:tc>
        <w:tc>
          <w:tcPr>
            <w:tcW w:w="1440" w:type="dxa"/>
            <w:vAlign w:val="center"/>
          </w:tcPr>
          <w:p w14:paraId="57BCA588"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 xml:space="preserve">Compactness, elongation, </w:t>
            </w:r>
            <w:proofErr w:type="gramStart"/>
            <w:r w:rsidRPr="007515C1">
              <w:rPr>
                <w:rFonts w:ascii="Times New Roman" w:hAnsi="Times New Roman" w:cs="Times New Roman"/>
                <w:bCs/>
                <w:sz w:val="20"/>
                <w:szCs w:val="20"/>
                <w:lang w:eastAsia="ko-KR"/>
              </w:rPr>
              <w:t>circularity</w:t>
            </w:r>
            <w:proofErr w:type="gramEnd"/>
            <w:r w:rsidRPr="007515C1">
              <w:rPr>
                <w:rFonts w:ascii="Times New Roman" w:hAnsi="Times New Roman" w:cs="Times New Roman"/>
                <w:bCs/>
                <w:sz w:val="20"/>
                <w:szCs w:val="20"/>
                <w:lang w:eastAsia="ko-KR"/>
              </w:rPr>
              <w:t xml:space="preserve"> and rectangularity</w:t>
            </w:r>
          </w:p>
        </w:tc>
        <w:tc>
          <w:tcPr>
            <w:tcW w:w="1350" w:type="dxa"/>
            <w:vAlign w:val="center"/>
          </w:tcPr>
          <w:p w14:paraId="7B2726B3"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NDVI</w:t>
            </w:r>
          </w:p>
        </w:tc>
      </w:tr>
      <w:tr w:rsidR="00A307E6" w14:paraId="51F03C42" w14:textId="77777777" w:rsidTr="00A307E6">
        <w:tc>
          <w:tcPr>
            <w:tcW w:w="1885" w:type="dxa"/>
            <w:vAlign w:val="center"/>
          </w:tcPr>
          <w:p w14:paraId="50E7316E" w14:textId="77777777" w:rsidR="00A307E6" w:rsidRDefault="00A307E6" w:rsidP="00A307E6">
            <w:pPr>
              <w:rPr>
                <w:rFonts w:ascii="Times New Roman" w:hAnsi="Times New Roman" w:cs="Times New Roman"/>
                <w:bCs/>
                <w:sz w:val="24"/>
                <w:szCs w:val="24"/>
                <w:lang w:eastAsia="ko-KR"/>
              </w:rPr>
            </w:pPr>
            <w:r>
              <w:rPr>
                <w:rFonts w:ascii="Times New Roman" w:hAnsi="Times New Roman" w:cs="Times New Roman"/>
                <w:bCs/>
                <w:sz w:val="24"/>
                <w:szCs w:val="24"/>
                <w:lang w:eastAsia="ko-KR"/>
              </w:rPr>
              <w:t>Landsat 8 OLI</w:t>
            </w:r>
          </w:p>
        </w:tc>
        <w:tc>
          <w:tcPr>
            <w:tcW w:w="856" w:type="dxa"/>
            <w:vAlign w:val="center"/>
          </w:tcPr>
          <w:p w14:paraId="506021D3"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5</w:t>
            </w:r>
          </w:p>
        </w:tc>
        <w:tc>
          <w:tcPr>
            <w:tcW w:w="989" w:type="dxa"/>
            <w:vAlign w:val="center"/>
          </w:tcPr>
          <w:p w14:paraId="12FE85D4"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0.20</w:t>
            </w:r>
          </w:p>
        </w:tc>
        <w:tc>
          <w:tcPr>
            <w:tcW w:w="1616" w:type="dxa"/>
            <w:vAlign w:val="center"/>
          </w:tcPr>
          <w:p w14:paraId="4960D841"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0.20</w:t>
            </w:r>
          </w:p>
        </w:tc>
        <w:tc>
          <w:tcPr>
            <w:tcW w:w="1219" w:type="dxa"/>
            <w:vAlign w:val="center"/>
          </w:tcPr>
          <w:p w14:paraId="2354FEF8"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Mean &amp; Std Dev</w:t>
            </w:r>
          </w:p>
        </w:tc>
        <w:tc>
          <w:tcPr>
            <w:tcW w:w="1440" w:type="dxa"/>
            <w:vAlign w:val="center"/>
          </w:tcPr>
          <w:p w14:paraId="0EC64344"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 xml:space="preserve">Solidity, Form factor, Compactness, elongation, </w:t>
            </w:r>
            <w:proofErr w:type="gramStart"/>
            <w:r w:rsidRPr="007515C1">
              <w:rPr>
                <w:rFonts w:ascii="Times New Roman" w:hAnsi="Times New Roman" w:cs="Times New Roman"/>
                <w:bCs/>
                <w:sz w:val="20"/>
                <w:szCs w:val="20"/>
                <w:lang w:eastAsia="ko-KR"/>
              </w:rPr>
              <w:t>circularity</w:t>
            </w:r>
            <w:proofErr w:type="gramEnd"/>
            <w:r w:rsidRPr="007515C1">
              <w:rPr>
                <w:rFonts w:ascii="Times New Roman" w:hAnsi="Times New Roman" w:cs="Times New Roman"/>
                <w:bCs/>
                <w:sz w:val="20"/>
                <w:szCs w:val="20"/>
                <w:lang w:eastAsia="ko-KR"/>
              </w:rPr>
              <w:t xml:space="preserve"> and rectangularity</w:t>
            </w:r>
          </w:p>
        </w:tc>
        <w:tc>
          <w:tcPr>
            <w:tcW w:w="1350" w:type="dxa"/>
            <w:vAlign w:val="center"/>
          </w:tcPr>
          <w:p w14:paraId="670F5301" w14:textId="77777777" w:rsidR="00A307E6" w:rsidRPr="007515C1" w:rsidRDefault="00A307E6" w:rsidP="00B3641E">
            <w:pPr>
              <w:jc w:val="center"/>
              <w:rPr>
                <w:rFonts w:ascii="Times New Roman" w:hAnsi="Times New Roman" w:cs="Times New Roman"/>
                <w:bCs/>
                <w:sz w:val="20"/>
                <w:szCs w:val="20"/>
                <w:lang w:eastAsia="ko-KR"/>
              </w:rPr>
            </w:pPr>
            <w:r w:rsidRPr="007515C1">
              <w:rPr>
                <w:rFonts w:ascii="Times New Roman" w:hAnsi="Times New Roman" w:cs="Times New Roman"/>
                <w:bCs/>
                <w:sz w:val="20"/>
                <w:szCs w:val="20"/>
                <w:lang w:eastAsia="ko-KR"/>
              </w:rPr>
              <w:t>NDVI</w:t>
            </w:r>
          </w:p>
        </w:tc>
      </w:tr>
    </w:tbl>
    <w:p w14:paraId="0844833A" w14:textId="77777777" w:rsidR="00A307E6" w:rsidRDefault="00A307E6" w:rsidP="00A307E6">
      <w:pPr>
        <w:rPr>
          <w:rFonts w:ascii="Times New Roman" w:hAnsi="Times New Roman" w:cs="Times New Roman"/>
          <w:bCs/>
          <w:sz w:val="24"/>
          <w:szCs w:val="24"/>
          <w:lang w:eastAsia="ko-KR"/>
        </w:rPr>
      </w:pPr>
      <w:r>
        <w:rPr>
          <w:rFonts w:ascii="Times New Roman" w:hAnsi="Times New Roman" w:cs="Times New Roman"/>
          <w:bCs/>
          <w:sz w:val="24"/>
          <w:szCs w:val="24"/>
          <w:lang w:eastAsia="ko-KR"/>
        </w:rPr>
        <w:t xml:space="preserve">   </w:t>
      </w:r>
    </w:p>
    <w:p w14:paraId="476AF3FA" w14:textId="44459A4F" w:rsidR="00A307E6" w:rsidRDefault="00A307E6" w:rsidP="00A307E6">
      <w:pPr>
        <w:rPr>
          <w:rFonts w:ascii="Times New Roman" w:hAnsi="Times New Roman" w:cs="Times New Roman"/>
          <w:bCs/>
          <w:sz w:val="24"/>
          <w:szCs w:val="24"/>
          <w:lang w:eastAsia="ko-KR"/>
        </w:rPr>
      </w:pPr>
      <w:r>
        <w:rPr>
          <w:rFonts w:ascii="Times New Roman" w:hAnsi="Times New Roman" w:cs="Times New Roman"/>
          <w:bCs/>
          <w:sz w:val="24"/>
          <w:szCs w:val="24"/>
          <w:lang w:eastAsia="ko-KR"/>
        </w:rPr>
        <w:t xml:space="preserve">Hence there is no universal standard for the values and types of calculations, the researchers used trial and error method to find best values that bring better segmentation results. The trial-and-error method is a method recommended by the PCI </w:t>
      </w:r>
      <w:proofErr w:type="spellStart"/>
      <w:r>
        <w:rPr>
          <w:rFonts w:ascii="Times New Roman" w:hAnsi="Times New Roman" w:cs="Times New Roman"/>
          <w:bCs/>
          <w:sz w:val="24"/>
          <w:szCs w:val="24"/>
          <w:lang w:eastAsia="ko-KR"/>
        </w:rPr>
        <w:t>Geomatica</w:t>
      </w:r>
      <w:proofErr w:type="spellEnd"/>
      <w:r>
        <w:rPr>
          <w:rFonts w:ascii="Times New Roman" w:hAnsi="Times New Roman" w:cs="Times New Roman"/>
          <w:bCs/>
          <w:sz w:val="24"/>
          <w:szCs w:val="24"/>
          <w:lang w:eastAsia="ko-KR"/>
        </w:rPr>
        <w:t xml:space="preserve"> to attain better results that corresponds to images collected from different sources under different scenarios. </w:t>
      </w:r>
    </w:p>
    <w:p w14:paraId="1965C11C" w14:textId="77777777" w:rsidR="00A307E6" w:rsidRDefault="00A307E6"/>
    <w:sectPr w:rsidR="00A307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3MDUxMTI2MzcyNDZR0lEKTi0uzszPAykwrAUAZwb1uCwAAAA="/>
  </w:docVars>
  <w:rsids>
    <w:rsidRoot w:val="00A307E6"/>
    <w:rsid w:val="00A307E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4935A"/>
  <w15:chartTrackingRefBased/>
  <w15:docId w15:val="{9CC344A4-99A4-488A-B8CF-3DA6A99B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7E6"/>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07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688</Words>
  <Characters>3928</Characters>
  <Application>Microsoft Office Word</Application>
  <DocSecurity>0</DocSecurity>
  <Lines>32</Lines>
  <Paragraphs>9</Paragraphs>
  <ScaleCrop>false</ScaleCrop>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Agraw Ali</dc:creator>
  <cp:keywords/>
  <dc:description/>
  <cp:lastModifiedBy>Agraw Ali</cp:lastModifiedBy>
  <cp:revision>1</cp:revision>
  <dcterms:created xsi:type="dcterms:W3CDTF">2021-04-25T00:50:00Z</dcterms:created>
  <dcterms:modified xsi:type="dcterms:W3CDTF">2021-04-25T00:54:00Z</dcterms:modified>
</cp:coreProperties>
</file>