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75BE7" w14:textId="368488AC" w:rsidR="000B12E9" w:rsidRPr="00363AFA" w:rsidRDefault="00BF4C16" w:rsidP="003C38E6">
      <w:pPr>
        <w:spacing w:line="480" w:lineRule="auto"/>
        <w:jc w:val="both"/>
        <w:rPr>
          <w:b/>
          <w:kern w:val="0"/>
        </w:rPr>
      </w:pPr>
      <w:r>
        <w:rPr>
          <w:b/>
          <w:kern w:val="0"/>
        </w:rPr>
        <w:t>M</w:t>
      </w:r>
      <w:r w:rsidR="003E2A10" w:rsidRPr="003E2A10">
        <w:rPr>
          <w:b/>
          <w:kern w:val="0"/>
        </w:rPr>
        <w:t>aterials and methods</w:t>
      </w:r>
      <w:r>
        <w:rPr>
          <w:b/>
          <w:kern w:val="0"/>
        </w:rPr>
        <w:t xml:space="preserve"> S1</w:t>
      </w:r>
      <w:bookmarkStart w:id="0" w:name="_GoBack"/>
      <w:bookmarkEnd w:id="0"/>
    </w:p>
    <w:p w14:paraId="6AED7705" w14:textId="6633DE54" w:rsidR="000B12E9" w:rsidRPr="005E2819" w:rsidRDefault="000B12E9" w:rsidP="003C38E6">
      <w:pPr>
        <w:spacing w:line="480" w:lineRule="auto"/>
        <w:jc w:val="both"/>
      </w:pPr>
      <w:r w:rsidRPr="005E2819">
        <w:t>Chemicals and reagents</w:t>
      </w:r>
    </w:p>
    <w:p w14:paraId="32FBED4F" w14:textId="77777777" w:rsidR="000B12E9" w:rsidRPr="00363AFA" w:rsidRDefault="000B12E9" w:rsidP="005E2819">
      <w:pPr>
        <w:spacing w:line="480" w:lineRule="auto"/>
        <w:ind w:firstLine="480"/>
        <w:jc w:val="both"/>
      </w:pPr>
      <w:r w:rsidRPr="00363AFA">
        <w:t xml:space="preserve">Quantitative reagents for protein contents were purchased from Bio-Rad (Hercules, CA). </w:t>
      </w:r>
      <w:proofErr w:type="spellStart"/>
      <w:r w:rsidRPr="00363AFA">
        <w:t>Trichloroacetic</w:t>
      </w:r>
      <w:proofErr w:type="spellEnd"/>
      <w:r w:rsidRPr="00363AFA">
        <w:t xml:space="preserve"> acid (TCA), </w:t>
      </w:r>
      <w:proofErr w:type="spellStart"/>
      <w:r w:rsidRPr="00363AFA">
        <w:t>triﬂuoroacetic</w:t>
      </w:r>
      <w:proofErr w:type="spellEnd"/>
      <w:r w:rsidRPr="00363AFA">
        <w:t xml:space="preserve"> acid (TFA), </w:t>
      </w:r>
      <w:proofErr w:type="spellStart"/>
      <w:r w:rsidRPr="00363AFA">
        <w:t>dithiothreitol</w:t>
      </w:r>
      <w:proofErr w:type="spellEnd"/>
      <w:r w:rsidRPr="00363AFA">
        <w:t xml:space="preserve"> (DTT), </w:t>
      </w:r>
      <w:proofErr w:type="spellStart"/>
      <w:r w:rsidRPr="00363AFA">
        <w:t>iodoacetamide</w:t>
      </w:r>
      <w:proofErr w:type="spellEnd"/>
      <w:r w:rsidRPr="00363AFA">
        <w:t xml:space="preserve"> (IAM), </w:t>
      </w:r>
      <w:proofErr w:type="spellStart"/>
      <w:r w:rsidRPr="00363AFA">
        <w:t>ethylenediaminetetraacetic</w:t>
      </w:r>
      <w:proofErr w:type="spellEnd"/>
      <w:r w:rsidRPr="00363AFA">
        <w:t xml:space="preserve"> acid (EDTA), sodium </w:t>
      </w:r>
      <w:proofErr w:type="spellStart"/>
      <w:r w:rsidRPr="00363AFA">
        <w:t>deoxycholate</w:t>
      </w:r>
      <w:proofErr w:type="spellEnd"/>
      <w:r w:rsidRPr="00363AFA">
        <w:t>, sodium fluoride (</w:t>
      </w:r>
      <w:proofErr w:type="spellStart"/>
      <w:r w:rsidRPr="00363AFA">
        <w:t>NaF</w:t>
      </w:r>
      <w:proofErr w:type="spellEnd"/>
      <w:r w:rsidRPr="00363AFA">
        <w:t>), formaldehyde-</w:t>
      </w:r>
      <w:r w:rsidRPr="00363AFA">
        <w:rPr>
          <w:i/>
        </w:rPr>
        <w:t>H</w:t>
      </w:r>
      <w:r w:rsidRPr="00363AFA">
        <w:rPr>
          <w:i/>
          <w:vertAlign w:val="subscript"/>
        </w:rPr>
        <w:t>2</w:t>
      </w:r>
      <w:r w:rsidRPr="00363AFA">
        <w:rPr>
          <w:vertAlign w:val="subscript"/>
        </w:rPr>
        <w:t>,</w:t>
      </w:r>
      <w:r w:rsidRPr="00363AFA">
        <w:t xml:space="preserve"> formaldehyde-</w:t>
      </w:r>
      <w:r w:rsidRPr="00363AFA">
        <w:rPr>
          <w:i/>
        </w:rPr>
        <w:t>D</w:t>
      </w:r>
      <w:r w:rsidRPr="00363AFA">
        <w:rPr>
          <w:i/>
          <w:vertAlign w:val="subscript"/>
        </w:rPr>
        <w:t>2</w:t>
      </w:r>
      <w:r w:rsidRPr="00363AFA">
        <w:t xml:space="preserve"> and ammonium bicarbonate (NH</w:t>
      </w:r>
      <w:r w:rsidRPr="00363AFA">
        <w:rPr>
          <w:vertAlign w:val="subscript"/>
        </w:rPr>
        <w:t>4</w:t>
      </w:r>
      <w:r w:rsidRPr="00363AFA">
        <w:t>HCO</w:t>
      </w:r>
      <w:r w:rsidRPr="00363AFA">
        <w:rPr>
          <w:vertAlign w:val="subscript"/>
        </w:rPr>
        <w:t>3</w:t>
      </w:r>
      <w:r w:rsidRPr="00363AFA">
        <w:t xml:space="preserve">), Triton X-100 were purchased from Sigma Aldrich (St. Louis, MO). Acetonitrile (ACN) and sodium phosphate was obtained from Merck (Darmstadt, Germany). Formic acid (FA), sodium acetate, sodium </w:t>
      </w:r>
      <w:proofErr w:type="spellStart"/>
      <w:r w:rsidRPr="00363AFA">
        <w:t>cyanoborohydride</w:t>
      </w:r>
      <w:proofErr w:type="spellEnd"/>
      <w:r w:rsidRPr="00363AFA">
        <w:t xml:space="preserve"> and sodium chloride (</w:t>
      </w:r>
      <w:proofErr w:type="spellStart"/>
      <w:r w:rsidRPr="00363AFA">
        <w:t>NaCl</w:t>
      </w:r>
      <w:proofErr w:type="spellEnd"/>
      <w:r w:rsidRPr="00363AFA">
        <w:t>) were purchased from Riedel-de Haven (</w:t>
      </w:r>
      <w:proofErr w:type="spellStart"/>
      <w:r w:rsidRPr="00363AFA">
        <w:t>Seelze</w:t>
      </w:r>
      <w:proofErr w:type="spellEnd"/>
      <w:r w:rsidRPr="00363AFA">
        <w:t xml:space="preserve">, Germany). Proteinase inhibitors (Complete™ Mini) were purchased from Roche (Mannheim, Germany). Sodium dodecyl sulfate (SDS) and urea were purchased from </w:t>
      </w:r>
      <w:proofErr w:type="spellStart"/>
      <w:r w:rsidRPr="00363AFA">
        <w:t>Amresco</w:t>
      </w:r>
      <w:proofErr w:type="spellEnd"/>
      <w:r w:rsidRPr="00363AFA">
        <w:t xml:space="preserve"> (Solon, OH). Modiﬁed sequencing-grade trypsin for in-gel digestion was purchased from </w:t>
      </w:r>
      <w:proofErr w:type="spellStart"/>
      <w:r w:rsidRPr="00363AFA">
        <w:t>Promega</w:t>
      </w:r>
      <w:proofErr w:type="spellEnd"/>
      <w:r w:rsidRPr="00363AFA">
        <w:t xml:space="preserve"> (Madison, WI). Water was deionized to 18 MΩ by a </w:t>
      </w:r>
      <w:proofErr w:type="spellStart"/>
      <w:r w:rsidRPr="00363AFA">
        <w:t>Milli</w:t>
      </w:r>
      <w:proofErr w:type="spellEnd"/>
      <w:r w:rsidRPr="00363AFA">
        <w:t>-Q system (Millipore, Bedford, MA).</w:t>
      </w:r>
    </w:p>
    <w:p w14:paraId="05CBB829" w14:textId="77777777" w:rsidR="00363AFA" w:rsidRDefault="00363AFA" w:rsidP="003C38E6">
      <w:pPr>
        <w:spacing w:line="480" w:lineRule="auto"/>
        <w:jc w:val="both"/>
        <w:rPr>
          <w:b/>
        </w:rPr>
      </w:pPr>
    </w:p>
    <w:p w14:paraId="7364A2CE" w14:textId="6EE537FF" w:rsidR="000B12E9" w:rsidRPr="005E2819" w:rsidRDefault="000B12E9" w:rsidP="003C38E6">
      <w:pPr>
        <w:spacing w:line="480" w:lineRule="auto"/>
        <w:jc w:val="both"/>
      </w:pPr>
      <w:r w:rsidRPr="005E2819">
        <w:t xml:space="preserve">Sample collection </w:t>
      </w:r>
    </w:p>
    <w:p w14:paraId="76C6B597" w14:textId="77777777" w:rsidR="000B12E9" w:rsidRPr="00363AFA" w:rsidRDefault="000B12E9" w:rsidP="005E2819">
      <w:pPr>
        <w:spacing w:line="480" w:lineRule="auto"/>
        <w:ind w:firstLine="480"/>
        <w:jc w:val="both"/>
      </w:pPr>
      <w:proofErr w:type="gramStart"/>
      <w:r w:rsidRPr="00363AFA">
        <w:t>All the procedures used in this study were approved by the ethical committee of clinical research at Kaohsiung Medical University Hospital</w:t>
      </w:r>
      <w:proofErr w:type="gramEnd"/>
      <w:r w:rsidRPr="00363AFA">
        <w:t xml:space="preserve">. Urines from normal or </w:t>
      </w:r>
      <w:r w:rsidRPr="00363AFA">
        <w:lastRenderedPageBreak/>
        <w:t xml:space="preserve">CAD patients were lyophilized and subject to 1.5 mL extraction buffer (containing 10 </w:t>
      </w:r>
      <w:proofErr w:type="spellStart"/>
      <w:r w:rsidRPr="00363AFA">
        <w:t>mM</w:t>
      </w:r>
      <w:proofErr w:type="spellEnd"/>
      <w:r w:rsidRPr="00363AFA">
        <w:t xml:space="preserve"> </w:t>
      </w:r>
      <w:proofErr w:type="spellStart"/>
      <w:r w:rsidRPr="00363AFA">
        <w:t>Tris-HCl</w:t>
      </w:r>
      <w:proofErr w:type="spellEnd"/>
      <w:r w:rsidRPr="00363AFA">
        <w:t xml:space="preserve"> pH 7.4, 10 </w:t>
      </w:r>
      <w:proofErr w:type="spellStart"/>
      <w:r w:rsidRPr="00363AFA">
        <w:t>mM</w:t>
      </w:r>
      <w:proofErr w:type="spellEnd"/>
      <w:r w:rsidRPr="00363AFA">
        <w:t xml:space="preserve"> sodium phosphate, 150 </w:t>
      </w:r>
      <w:proofErr w:type="spellStart"/>
      <w:r w:rsidRPr="00363AFA">
        <w:t>mM</w:t>
      </w:r>
      <w:proofErr w:type="spellEnd"/>
      <w:r w:rsidRPr="00363AFA">
        <w:t xml:space="preserve"> </w:t>
      </w:r>
      <w:proofErr w:type="spellStart"/>
      <w:r w:rsidRPr="00363AFA">
        <w:t>NaCl</w:t>
      </w:r>
      <w:proofErr w:type="spellEnd"/>
      <w:r w:rsidRPr="00363AFA">
        <w:t xml:space="preserve">, 0.1% SDS, 2 </w:t>
      </w:r>
      <w:proofErr w:type="spellStart"/>
      <w:r w:rsidRPr="00363AFA">
        <w:t>mM</w:t>
      </w:r>
      <w:proofErr w:type="spellEnd"/>
      <w:r w:rsidRPr="00363AFA">
        <w:t xml:space="preserve"> EDTA, 1% sodium </w:t>
      </w:r>
      <w:proofErr w:type="spellStart"/>
      <w:r w:rsidRPr="00363AFA">
        <w:t>deoxycholate</w:t>
      </w:r>
      <w:proofErr w:type="spellEnd"/>
      <w:r w:rsidRPr="00363AFA">
        <w:t xml:space="preserve">, 100 </w:t>
      </w:r>
      <w:proofErr w:type="spellStart"/>
      <w:r w:rsidRPr="00363AFA">
        <w:t>mM</w:t>
      </w:r>
      <w:proofErr w:type="spellEnd"/>
      <w:r w:rsidRPr="00363AFA">
        <w:t xml:space="preserve"> </w:t>
      </w:r>
      <w:proofErr w:type="spellStart"/>
      <w:r w:rsidRPr="00363AFA">
        <w:t>NaF</w:t>
      </w:r>
      <w:proofErr w:type="spellEnd"/>
      <w:r w:rsidRPr="00363AFA">
        <w:t xml:space="preserve">, 1% Triton X-100 and protease-inhibitor cocktail). The homogenates were transferred to 1.5 mL </w:t>
      </w:r>
      <w:proofErr w:type="spellStart"/>
      <w:r w:rsidRPr="00363AFA">
        <w:t>Eppendorf</w:t>
      </w:r>
      <w:proofErr w:type="spellEnd"/>
      <w:r w:rsidRPr="00363AFA">
        <w:t xml:space="preserve"> tubes and centrifuged at 13,000 x g for 20 min at 4°C to remove debris and insoluble material. Aliquots of the supernatants were assayed for determination of total protein concentration using </w:t>
      </w:r>
      <w:proofErr w:type="spellStart"/>
      <w:r w:rsidRPr="00363AFA">
        <w:t>Coomassie</w:t>
      </w:r>
      <w:proofErr w:type="spellEnd"/>
      <w:r w:rsidRPr="00363AFA">
        <w:t xml:space="preserve"> protein assay reagent, and subsequently were stored at -80°C until analyzed.  </w:t>
      </w:r>
    </w:p>
    <w:p w14:paraId="40314C54" w14:textId="77777777" w:rsidR="00363AFA" w:rsidRDefault="00363AFA" w:rsidP="003C38E6">
      <w:pPr>
        <w:spacing w:line="480" w:lineRule="auto"/>
        <w:jc w:val="both"/>
        <w:rPr>
          <w:b/>
        </w:rPr>
      </w:pPr>
    </w:p>
    <w:p w14:paraId="3E4A10B3" w14:textId="6AA218A9" w:rsidR="000B12E9" w:rsidRPr="005E2819" w:rsidRDefault="000B12E9" w:rsidP="003C38E6">
      <w:pPr>
        <w:spacing w:line="480" w:lineRule="auto"/>
        <w:jc w:val="both"/>
      </w:pPr>
      <w:r w:rsidRPr="005E2819">
        <w:t>Dimethyl labeling and peptide preparation</w:t>
      </w:r>
    </w:p>
    <w:p w14:paraId="3A6F893B" w14:textId="77777777" w:rsidR="000B12E9" w:rsidRPr="00363AFA" w:rsidRDefault="000B12E9" w:rsidP="005E2819">
      <w:pPr>
        <w:spacing w:line="480" w:lineRule="auto"/>
        <w:ind w:firstLine="480"/>
        <w:jc w:val="both"/>
      </w:pPr>
      <w:r w:rsidRPr="00363AFA">
        <w:t xml:space="preserve">100 μg of total urinal proteins from normal or CAD patients was adjusted to 60 </w:t>
      </w:r>
      <w:proofErr w:type="spellStart"/>
      <w:r w:rsidRPr="00363AFA">
        <w:t>μL</w:t>
      </w:r>
      <w:proofErr w:type="spellEnd"/>
      <w:r w:rsidRPr="00363AFA">
        <w:t xml:space="preserve"> and treated with 0.7 </w:t>
      </w:r>
      <w:proofErr w:type="spellStart"/>
      <w:r w:rsidRPr="00363AFA">
        <w:t>μL</w:t>
      </w:r>
      <w:proofErr w:type="spellEnd"/>
      <w:r w:rsidRPr="00363AFA">
        <w:t xml:space="preserve"> of 1 M DTT and 9.3 </w:t>
      </w:r>
      <w:proofErr w:type="spellStart"/>
      <w:r w:rsidRPr="00363AFA">
        <w:t>μL</w:t>
      </w:r>
      <w:proofErr w:type="spellEnd"/>
      <w:r w:rsidRPr="00363AFA">
        <w:t xml:space="preserve"> of 7.5% SDS at 95°C for 5 min before reduction. After the reaction, lysates were further treated with 8 </w:t>
      </w:r>
      <w:proofErr w:type="spellStart"/>
      <w:r w:rsidRPr="00363AFA">
        <w:t>μL</w:t>
      </w:r>
      <w:proofErr w:type="spellEnd"/>
      <w:r w:rsidRPr="00363AFA">
        <w:t xml:space="preserve"> of 50 </w:t>
      </w:r>
      <w:proofErr w:type="spellStart"/>
      <w:r w:rsidRPr="00363AFA">
        <w:t>mM</w:t>
      </w:r>
      <w:proofErr w:type="spellEnd"/>
      <w:r w:rsidRPr="00363AFA">
        <w:t xml:space="preserve"> IAM at room temperature for 30 min alkylation in the dark; subsequently proteins were precipitated by adding 52 </w:t>
      </w:r>
      <w:proofErr w:type="spellStart"/>
      <w:r w:rsidRPr="00363AFA">
        <w:t>μL</w:t>
      </w:r>
      <w:proofErr w:type="spellEnd"/>
      <w:r w:rsidRPr="00363AFA">
        <w:t xml:space="preserve"> of 50% TCA and incubated on ice for 15 min. After removing the supernatant by centrifugation at 13,000 x g for 5 min, the collected proteins were washed with 150 </w:t>
      </w:r>
      <w:proofErr w:type="spellStart"/>
      <w:r w:rsidRPr="00363AFA">
        <w:t>μL</w:t>
      </w:r>
      <w:proofErr w:type="spellEnd"/>
      <w:r w:rsidRPr="00363AFA">
        <w:t xml:space="preserve"> of 10% TCA, </w:t>
      </w:r>
      <w:proofErr w:type="spellStart"/>
      <w:r w:rsidRPr="00363AFA">
        <w:t>vortexed</w:t>
      </w:r>
      <w:proofErr w:type="spellEnd"/>
      <w:r w:rsidRPr="00363AFA">
        <w:t xml:space="preserve"> and centrifuged at 13,000 x g for 10 min. The precipitated proteins were washed again with 250 </w:t>
      </w:r>
      <w:proofErr w:type="spellStart"/>
      <w:r w:rsidRPr="00363AFA">
        <w:t>μL</w:t>
      </w:r>
      <w:proofErr w:type="spellEnd"/>
      <w:r w:rsidRPr="00363AFA">
        <w:t xml:space="preserve"> distilled H</w:t>
      </w:r>
      <w:r w:rsidRPr="00363AFA">
        <w:rPr>
          <w:vertAlign w:val="subscript"/>
        </w:rPr>
        <w:t>2</w:t>
      </w:r>
      <w:r w:rsidRPr="00363AFA">
        <w:t xml:space="preserve">O, </w:t>
      </w:r>
      <w:proofErr w:type="spellStart"/>
      <w:r w:rsidRPr="00363AFA">
        <w:t>vortexed</w:t>
      </w:r>
      <w:proofErr w:type="spellEnd"/>
      <w:r w:rsidRPr="00363AFA">
        <w:t xml:space="preserve"> and centrifuged under the same condition for 3 times. The </w:t>
      </w:r>
      <w:r w:rsidRPr="00363AFA">
        <w:lastRenderedPageBreak/>
        <w:t xml:space="preserve">resultant pellets were </w:t>
      </w:r>
      <w:proofErr w:type="spellStart"/>
      <w:r w:rsidRPr="00363AFA">
        <w:t>resuspended</w:t>
      </w:r>
      <w:proofErr w:type="spellEnd"/>
      <w:r w:rsidRPr="00363AFA">
        <w:t xml:space="preserve"> with 50 </w:t>
      </w:r>
      <w:proofErr w:type="spellStart"/>
      <w:r w:rsidRPr="00363AFA">
        <w:t>mM</w:t>
      </w:r>
      <w:proofErr w:type="spellEnd"/>
      <w:r w:rsidRPr="00363AFA">
        <w:t xml:space="preserve"> NH</w:t>
      </w:r>
      <w:r w:rsidRPr="00363AFA">
        <w:rPr>
          <w:vertAlign w:val="subscript"/>
        </w:rPr>
        <w:t>4</w:t>
      </w:r>
      <w:r w:rsidRPr="00363AFA">
        <w:t>HCO</w:t>
      </w:r>
      <w:r w:rsidRPr="00363AFA">
        <w:rPr>
          <w:vertAlign w:val="subscript"/>
        </w:rPr>
        <w:t>3</w:t>
      </w:r>
      <w:r w:rsidRPr="00363AFA">
        <w:t xml:space="preserve"> (pH 8.5), then digested with 4 μg of trypsin for 8 h at 37°C and further dried in a vacuum centrifuge to remove NH</w:t>
      </w:r>
      <w:r w:rsidRPr="00363AFA">
        <w:rPr>
          <w:vertAlign w:val="subscript"/>
        </w:rPr>
        <w:t>4</w:t>
      </w:r>
      <w:r w:rsidRPr="00363AFA">
        <w:t>HCO</w:t>
      </w:r>
      <w:r w:rsidRPr="00363AFA">
        <w:rPr>
          <w:vertAlign w:val="subscript"/>
        </w:rPr>
        <w:t>3</w:t>
      </w:r>
      <w:r w:rsidRPr="00363AFA">
        <w:t xml:space="preserve">. The lyophilized peptides for normal and CAD urine samples re-dissolved in 180 </w:t>
      </w:r>
      <w:proofErr w:type="spellStart"/>
      <w:r w:rsidRPr="00363AFA">
        <w:t>μL</w:t>
      </w:r>
      <w:proofErr w:type="spellEnd"/>
      <w:r w:rsidRPr="00363AFA">
        <w:t xml:space="preserve"> of 100 </w:t>
      </w:r>
      <w:proofErr w:type="spellStart"/>
      <w:r w:rsidRPr="00363AFA">
        <w:t>mM</w:t>
      </w:r>
      <w:proofErr w:type="spellEnd"/>
      <w:r w:rsidRPr="00363AFA">
        <w:t xml:space="preserve"> sodium acetate at pH 5.5 were treated with 20 </w:t>
      </w:r>
      <w:proofErr w:type="spellStart"/>
      <w:r w:rsidRPr="00363AFA">
        <w:t>μL</w:t>
      </w:r>
      <w:proofErr w:type="spellEnd"/>
      <w:r w:rsidRPr="00363AFA">
        <w:t xml:space="preserve"> of 4% formaldehyde-</w:t>
      </w:r>
      <w:r w:rsidRPr="00363AFA">
        <w:rPr>
          <w:i/>
        </w:rPr>
        <w:t>H</w:t>
      </w:r>
      <w:r w:rsidRPr="00363AFA">
        <w:rPr>
          <w:i/>
          <w:vertAlign w:val="subscript"/>
        </w:rPr>
        <w:t>2</w:t>
      </w:r>
      <w:r w:rsidRPr="00363AFA">
        <w:t xml:space="preserve"> and 20 </w:t>
      </w:r>
      <w:proofErr w:type="spellStart"/>
      <w:r w:rsidRPr="00363AFA">
        <w:t>μL</w:t>
      </w:r>
      <w:proofErr w:type="spellEnd"/>
      <w:r w:rsidRPr="00363AFA">
        <w:t xml:space="preserve"> 4% formaldehyde-</w:t>
      </w:r>
      <w:r w:rsidRPr="00363AFA">
        <w:rPr>
          <w:i/>
        </w:rPr>
        <w:t>D</w:t>
      </w:r>
      <w:r w:rsidRPr="00363AFA">
        <w:rPr>
          <w:i/>
          <w:vertAlign w:val="subscript"/>
        </w:rPr>
        <w:t>2</w:t>
      </w:r>
      <w:r w:rsidRPr="00363AFA">
        <w:t>, respectively and mixed thoroughly.</w:t>
      </w:r>
      <w:r w:rsidR="00EA2707" w:rsidRPr="00363AFA">
        <w:rPr>
          <w:vertAlign w:val="superscript"/>
        </w:rPr>
        <w:t>1</w:t>
      </w:r>
      <w:proofErr w:type="gramStart"/>
      <w:r w:rsidRPr="00363AFA">
        <w:rPr>
          <w:vertAlign w:val="superscript"/>
        </w:rPr>
        <w:t>,</w:t>
      </w:r>
      <w:r w:rsidR="00EA2707" w:rsidRPr="00363AFA">
        <w:rPr>
          <w:vertAlign w:val="superscript"/>
        </w:rPr>
        <w:t>2</w:t>
      </w:r>
      <w:proofErr w:type="gramEnd"/>
      <w:r w:rsidRPr="00363AFA">
        <w:t xml:space="preserve"> The mixtures were </w:t>
      </w:r>
      <w:proofErr w:type="spellStart"/>
      <w:r w:rsidRPr="00363AFA">
        <w:t>vortexed</w:t>
      </w:r>
      <w:proofErr w:type="spellEnd"/>
      <w:r w:rsidRPr="00363AFA">
        <w:t xml:space="preserve"> for 5 min, immediately followed by the addition of 20 </w:t>
      </w:r>
      <w:proofErr w:type="spellStart"/>
      <w:r w:rsidRPr="00363AFA">
        <w:t>μL</w:t>
      </w:r>
      <w:proofErr w:type="spellEnd"/>
      <w:r w:rsidRPr="00363AFA">
        <w:t xml:space="preserve"> of 3 M sodium </w:t>
      </w:r>
      <w:proofErr w:type="spellStart"/>
      <w:r w:rsidRPr="00363AFA">
        <w:t>cyanoborohydride</w:t>
      </w:r>
      <w:proofErr w:type="spellEnd"/>
      <w:r w:rsidRPr="00363AFA">
        <w:t xml:space="preserve"> and </w:t>
      </w:r>
      <w:proofErr w:type="spellStart"/>
      <w:r w:rsidRPr="00363AFA">
        <w:t>vortexed</w:t>
      </w:r>
      <w:proofErr w:type="spellEnd"/>
      <w:r w:rsidRPr="00363AFA">
        <w:t xml:space="preserve"> for 1 h at room temperature. The resultant liquids were acidified by 10% TFA/ H</w:t>
      </w:r>
      <w:r w:rsidRPr="00363AFA">
        <w:rPr>
          <w:vertAlign w:val="subscript"/>
        </w:rPr>
        <w:t>2</w:t>
      </w:r>
      <w:r w:rsidRPr="00363AFA">
        <w:t xml:space="preserve">O to pH 2.0~3.0 and applied onto the reverse phase C18 column pre-equilibrated with 200 </w:t>
      </w:r>
      <w:proofErr w:type="spellStart"/>
      <w:r w:rsidRPr="00363AFA">
        <w:t>μL</w:t>
      </w:r>
      <w:proofErr w:type="spellEnd"/>
      <w:r w:rsidRPr="00363AFA">
        <w:t xml:space="preserve"> of 0.1% TFA/H</w:t>
      </w:r>
      <w:r w:rsidRPr="00363AFA">
        <w:rPr>
          <w:vertAlign w:val="subscript"/>
        </w:rPr>
        <w:t>2</w:t>
      </w:r>
      <w:r w:rsidRPr="00363AFA">
        <w:t xml:space="preserve">O (pH 2.0~3.0). The column was also washed with 200 </w:t>
      </w:r>
      <w:proofErr w:type="spellStart"/>
      <w:r w:rsidRPr="00363AFA">
        <w:t>μL</w:t>
      </w:r>
      <w:proofErr w:type="spellEnd"/>
      <w:r w:rsidRPr="00363AFA">
        <w:t xml:space="preserve"> of 0.1% TFA/H</w:t>
      </w:r>
      <w:r w:rsidRPr="00363AFA">
        <w:rPr>
          <w:vertAlign w:val="subscript"/>
        </w:rPr>
        <w:t>2</w:t>
      </w:r>
      <w:r w:rsidRPr="00363AFA">
        <w:t>O (pH 3.0) and then eluted with a stepwise ACN gradient from 50% to 100% in 0.1% TFA at room temperature.</w:t>
      </w:r>
    </w:p>
    <w:p w14:paraId="63F06CFB" w14:textId="77777777" w:rsidR="00363AFA" w:rsidRDefault="00363AFA" w:rsidP="003C38E6">
      <w:pPr>
        <w:spacing w:line="480" w:lineRule="auto"/>
        <w:jc w:val="both"/>
        <w:rPr>
          <w:b/>
        </w:rPr>
      </w:pPr>
    </w:p>
    <w:p w14:paraId="1991BD24" w14:textId="6799024E" w:rsidR="000B12E9" w:rsidRPr="005E2819" w:rsidRDefault="000B12E9" w:rsidP="003C38E6">
      <w:pPr>
        <w:spacing w:line="480" w:lineRule="auto"/>
        <w:jc w:val="both"/>
        <w:rPr>
          <w:u w:val="single"/>
        </w:rPr>
      </w:pPr>
      <w:r w:rsidRPr="005E2819">
        <w:t>Hydrophilic interaction chromatography (HILIC) for peptide separation</w:t>
      </w:r>
    </w:p>
    <w:p w14:paraId="0711CD65" w14:textId="77777777" w:rsidR="000B12E9" w:rsidRPr="00363AFA" w:rsidRDefault="000B12E9" w:rsidP="005E2819">
      <w:pPr>
        <w:spacing w:line="480" w:lineRule="auto"/>
        <w:ind w:firstLine="480"/>
        <w:jc w:val="both"/>
      </w:pPr>
      <w:r w:rsidRPr="00363AFA">
        <w:t xml:space="preserve">HILIC was performed on an L-7100 pump system with quaternary gradient capability (Hitachi, Tokyo, Japan) using a TSK gel Amide-80 HILIC column (2.0 x 150 mm, 3 </w:t>
      </w:r>
      <w:proofErr w:type="spellStart"/>
      <w:r w:rsidRPr="00363AFA">
        <w:t>μm</w:t>
      </w:r>
      <w:proofErr w:type="spellEnd"/>
      <w:r w:rsidRPr="00363AFA">
        <w:t xml:space="preserve">; Tosoh Biosciences, Tokyo, Japan) with a ﬂow rate of 200 </w:t>
      </w:r>
      <w:proofErr w:type="spellStart"/>
      <w:r w:rsidRPr="00363AFA">
        <w:t>μL</w:t>
      </w:r>
      <w:proofErr w:type="spellEnd"/>
      <w:r w:rsidRPr="00363AFA">
        <w:t>/min.</w:t>
      </w:r>
      <w:r w:rsidR="00EA2707" w:rsidRPr="00363AFA">
        <w:rPr>
          <w:vertAlign w:val="superscript"/>
        </w:rPr>
        <w:t>3-5</w:t>
      </w:r>
      <w:r w:rsidRPr="00363AFA">
        <w:t xml:space="preserve"> Two bu</w:t>
      </w:r>
      <w:r w:rsidRPr="00363AFA">
        <w:rPr>
          <w:rFonts w:ascii="Adobe Caslon Pro SmBd" w:hAnsi="Adobe Caslon Pro SmBd" w:cs="Adobe Caslon Pro SmBd"/>
        </w:rPr>
        <w:t>ﬀ</w:t>
      </w:r>
      <w:r w:rsidRPr="00363AFA">
        <w:t xml:space="preserve">ers were used for gradient elution: solvent (A), 0.1% TFA in 100% ACN, and solvent (B), 0.1% TFA in water. The eluted fractions from the reverse-phase C18 </w:t>
      </w:r>
      <w:r w:rsidRPr="00363AFA">
        <w:lastRenderedPageBreak/>
        <w:t xml:space="preserve">column were each dissolved in 50 </w:t>
      </w:r>
      <w:proofErr w:type="spellStart"/>
      <w:r w:rsidRPr="00363AFA">
        <w:t>μL</w:t>
      </w:r>
      <w:proofErr w:type="spellEnd"/>
      <w:r w:rsidRPr="00363AFA">
        <w:t xml:space="preserve"> of solution containing 85% ACN and 0.1% TFA and then injected into the 100 </w:t>
      </w:r>
      <w:proofErr w:type="spellStart"/>
      <w:r w:rsidRPr="00363AFA">
        <w:t>μL</w:t>
      </w:r>
      <w:proofErr w:type="spellEnd"/>
      <w:r w:rsidRPr="00363AFA">
        <w:t xml:space="preserve"> sample loop. The gradient was processed as follows: 0-2% (B) in 4 min, 2-8% (B) in 4 min, 8-12% (B) in 4 min, 12-35% (B) in 54 min, 35-100% (B) in 12 min and 100% (B) for 2 min. A total of 10 fractions were collected (1 mL for each fraction) and dried in a vacuum centrifuge.</w:t>
      </w:r>
    </w:p>
    <w:p w14:paraId="510161D3" w14:textId="77777777" w:rsidR="00363AFA" w:rsidRDefault="00363AFA" w:rsidP="003C38E6">
      <w:pPr>
        <w:spacing w:line="480" w:lineRule="auto"/>
        <w:jc w:val="both"/>
        <w:rPr>
          <w:b/>
        </w:rPr>
      </w:pPr>
    </w:p>
    <w:p w14:paraId="3D12B617" w14:textId="73FA4E4A" w:rsidR="000B12E9" w:rsidRPr="005E2819" w:rsidRDefault="000B12E9" w:rsidP="003C38E6">
      <w:pPr>
        <w:spacing w:line="480" w:lineRule="auto"/>
        <w:jc w:val="both"/>
      </w:pPr>
      <w:r w:rsidRPr="005E2819">
        <w:t>Nano LC-MS/MS analysis</w:t>
      </w:r>
    </w:p>
    <w:p w14:paraId="11E0736A" w14:textId="77777777" w:rsidR="000B12E9" w:rsidRPr="00363AFA" w:rsidRDefault="000B12E9" w:rsidP="005E2819">
      <w:pPr>
        <w:spacing w:line="480" w:lineRule="auto"/>
        <w:ind w:firstLine="480"/>
        <w:jc w:val="both"/>
      </w:pPr>
      <w:r w:rsidRPr="00363AFA">
        <w:t xml:space="preserve">The lyophilized powders were reconstituted in 10 </w:t>
      </w:r>
      <w:proofErr w:type="spellStart"/>
      <w:r w:rsidRPr="00363AFA">
        <w:t>μL</w:t>
      </w:r>
      <w:proofErr w:type="spellEnd"/>
      <w:r w:rsidRPr="00363AFA">
        <w:t xml:space="preserve"> of 0.1% FA in H</w:t>
      </w:r>
      <w:r w:rsidRPr="00363AFA">
        <w:rPr>
          <w:vertAlign w:val="subscript"/>
        </w:rPr>
        <w:t>2</w:t>
      </w:r>
      <w:r w:rsidRPr="00363AFA">
        <w:t xml:space="preserve">O and analyzed by LTQ </w:t>
      </w:r>
      <w:proofErr w:type="spellStart"/>
      <w:r w:rsidRPr="00363AFA">
        <w:t>Orbitrap</w:t>
      </w:r>
      <w:proofErr w:type="spellEnd"/>
      <w:r w:rsidRPr="00363AFA">
        <w:t xml:space="preserve"> XL (Thermo Fisher Scientiﬁc, San Jose, CA). Reverse phase </w:t>
      </w:r>
      <w:proofErr w:type="spellStart"/>
      <w:r w:rsidRPr="00363AFA">
        <w:t>nano</w:t>
      </w:r>
      <w:proofErr w:type="spellEnd"/>
      <w:r w:rsidRPr="00363AFA">
        <w:t xml:space="preserve"> LC separation was performed on an Agilent 1200 series </w:t>
      </w:r>
      <w:proofErr w:type="spellStart"/>
      <w:r w:rsidRPr="00363AFA">
        <w:t>nanoﬂow</w:t>
      </w:r>
      <w:proofErr w:type="spellEnd"/>
      <w:r w:rsidRPr="00363AFA">
        <w:t xml:space="preserve"> system (Agilent Technologies, Santa Clara, CA). A total of </w:t>
      </w:r>
      <w:proofErr w:type="gramStart"/>
      <w:r w:rsidRPr="00363AFA">
        <w:t xml:space="preserve">10 </w:t>
      </w:r>
      <w:proofErr w:type="spellStart"/>
      <w:r w:rsidRPr="00363AFA">
        <w:t>μL</w:t>
      </w:r>
      <w:proofErr w:type="spellEnd"/>
      <w:proofErr w:type="gramEnd"/>
      <w:r w:rsidRPr="00363AFA">
        <w:t xml:space="preserve"> sample from collected fractions was loaded onto an Agilent </w:t>
      </w:r>
      <w:proofErr w:type="spellStart"/>
      <w:r w:rsidRPr="00363AFA">
        <w:t>Zorbax</w:t>
      </w:r>
      <w:proofErr w:type="spellEnd"/>
      <w:r w:rsidRPr="00363AFA">
        <w:t xml:space="preserve"> XDB C18 </w:t>
      </w:r>
      <w:proofErr w:type="spellStart"/>
      <w:r w:rsidRPr="00363AFA">
        <w:t>precolumn</w:t>
      </w:r>
      <w:proofErr w:type="spellEnd"/>
      <w:r w:rsidRPr="00363AFA">
        <w:t xml:space="preserve"> (0.35 mm, 5 </w:t>
      </w:r>
      <w:proofErr w:type="spellStart"/>
      <w:r w:rsidRPr="00363AFA">
        <w:t>μm</w:t>
      </w:r>
      <w:proofErr w:type="spellEnd"/>
      <w:r w:rsidRPr="00363AFA">
        <w:t>), followed by separation using in-house handmade C18 column (</w:t>
      </w:r>
      <w:proofErr w:type="spellStart"/>
      <w:r w:rsidRPr="00363AFA">
        <w:t>i.d.</w:t>
      </w:r>
      <w:proofErr w:type="spellEnd"/>
      <w:r w:rsidRPr="00363AFA">
        <w:t xml:space="preserve"> 75 </w:t>
      </w:r>
      <w:proofErr w:type="spellStart"/>
      <w:r w:rsidRPr="00363AFA">
        <w:t>μm</w:t>
      </w:r>
      <w:proofErr w:type="spellEnd"/>
      <w:r w:rsidRPr="00363AFA">
        <w:t xml:space="preserve"> x 15-cm, 3 </w:t>
      </w:r>
      <w:proofErr w:type="spellStart"/>
      <w:r w:rsidRPr="00363AFA">
        <w:t>μm</w:t>
      </w:r>
      <w:proofErr w:type="spellEnd"/>
      <w:r w:rsidRPr="00363AFA">
        <w:t xml:space="preserve">). The mobile phases used were (A) 0.1% FA and (B) 0.1% FA in 100% ACN. A linear gradient from 5% to 95% of (B) over a 70-min period at a ﬂow rate of 300 </w:t>
      </w:r>
      <w:proofErr w:type="spellStart"/>
      <w:r w:rsidRPr="00363AFA">
        <w:t>nL</w:t>
      </w:r>
      <w:proofErr w:type="spellEnd"/>
      <w:r w:rsidRPr="00363AFA">
        <w:t xml:space="preserve">/min was applied. The peptides were analyzed in the positive ion mode by applying a voltage of 1.8 kV to the injection needle. The MS was operated in a data-dependent mode, in which one full </w:t>
      </w:r>
      <w:proofErr w:type="gramStart"/>
      <w:r w:rsidRPr="00363AFA">
        <w:t>scan</w:t>
      </w:r>
      <w:proofErr w:type="gramEnd"/>
      <w:r w:rsidRPr="00363AFA">
        <w:t xml:space="preserve"> with m/z 400-1600 in the </w:t>
      </w:r>
      <w:proofErr w:type="spellStart"/>
      <w:r w:rsidRPr="00363AFA">
        <w:t>Orbitrap</w:t>
      </w:r>
      <w:proofErr w:type="spellEnd"/>
      <w:r w:rsidRPr="00363AFA">
        <w:t xml:space="preserve"> using a scan rate of 30 </w:t>
      </w:r>
      <w:proofErr w:type="spellStart"/>
      <w:r w:rsidRPr="00363AFA">
        <w:t>ms</w:t>
      </w:r>
      <w:proofErr w:type="spellEnd"/>
      <w:r w:rsidRPr="00363AFA">
        <w:t xml:space="preserve">/scan. The fragmentation was performed using the CID mode with </w:t>
      </w:r>
      <w:proofErr w:type="gramStart"/>
      <w:r w:rsidRPr="00363AFA">
        <w:t>a normalized</w:t>
      </w:r>
      <w:proofErr w:type="gramEnd"/>
      <w:r w:rsidRPr="00363AFA">
        <w:t xml:space="preserve"> </w:t>
      </w:r>
      <w:r w:rsidRPr="00363AFA">
        <w:lastRenderedPageBreak/>
        <w:t xml:space="preserve">collision energy of 35 V. A repeat duration of 30 s was applied to exclude the same m/z ions from the reselection for fragmentation. </w:t>
      </w:r>
      <w:proofErr w:type="gramStart"/>
      <w:r w:rsidRPr="00363AFA">
        <w:t xml:space="preserve">An in-house </w:t>
      </w:r>
      <w:proofErr w:type="spellStart"/>
      <w:r w:rsidRPr="00363AFA">
        <w:t>Xcalibur</w:t>
      </w:r>
      <w:proofErr w:type="spellEnd"/>
      <w:r w:rsidRPr="00363AFA">
        <w:t xml:space="preserve"> software</w:t>
      </w:r>
      <w:proofErr w:type="gramEnd"/>
      <w:r w:rsidRPr="00363AFA">
        <w:t xml:space="preserve"> (version 2.0.7, Thermo-</w:t>
      </w:r>
      <w:proofErr w:type="spellStart"/>
      <w:r w:rsidRPr="00363AFA">
        <w:t>Finnigan</w:t>
      </w:r>
      <w:proofErr w:type="spellEnd"/>
      <w:r w:rsidRPr="00363AFA">
        <w:t xml:space="preserve"> Inc., San Jose, CA) was used for the management of instrument control, data acquisition, and data processing.</w:t>
      </w:r>
    </w:p>
    <w:p w14:paraId="6AB861ED" w14:textId="77777777" w:rsidR="00363AFA" w:rsidRDefault="00363AFA" w:rsidP="003C38E6">
      <w:pPr>
        <w:spacing w:line="480" w:lineRule="auto"/>
        <w:jc w:val="both"/>
        <w:rPr>
          <w:b/>
        </w:rPr>
      </w:pPr>
    </w:p>
    <w:p w14:paraId="3E91B8AF" w14:textId="649A528F" w:rsidR="000B12E9" w:rsidRPr="005E2819" w:rsidRDefault="000B12E9" w:rsidP="003C38E6">
      <w:pPr>
        <w:spacing w:line="480" w:lineRule="auto"/>
        <w:jc w:val="both"/>
      </w:pPr>
      <w:r w:rsidRPr="005E2819">
        <w:t>Protein database search and characterization</w:t>
      </w:r>
    </w:p>
    <w:p w14:paraId="7766E784" w14:textId="77777777" w:rsidR="000B12E9" w:rsidRPr="00363AFA" w:rsidRDefault="000B12E9" w:rsidP="005E2819">
      <w:pPr>
        <w:spacing w:line="480" w:lineRule="auto"/>
        <w:ind w:firstLine="480"/>
        <w:jc w:val="both"/>
      </w:pPr>
      <w:r w:rsidRPr="00363AFA">
        <w:t xml:space="preserve">Peptides were identiﬁed by peak lists converted from the </w:t>
      </w:r>
      <w:proofErr w:type="spellStart"/>
      <w:r w:rsidRPr="00363AFA">
        <w:t>nano</w:t>
      </w:r>
      <w:proofErr w:type="spellEnd"/>
      <w:r w:rsidRPr="00363AFA">
        <w:t xml:space="preserve"> LC-MS/MS spectra by bioinformatics searching against </w:t>
      </w:r>
      <w:r w:rsidRPr="00363AFA">
        <w:rPr>
          <w:i/>
        </w:rPr>
        <w:t>Homo sapiens</w:t>
      </w:r>
      <w:r w:rsidRPr="00363AFA">
        <w:t xml:space="preserve"> taxonomy in the Swiss-</w:t>
      </w:r>
      <w:proofErr w:type="spellStart"/>
      <w:r w:rsidRPr="00363AFA">
        <w:t>Prot</w:t>
      </w:r>
      <w:proofErr w:type="spellEnd"/>
      <w:r w:rsidRPr="00363AFA">
        <w:t xml:space="preserve"> databases for exact matches using the Mascot search program (</w:t>
      </w:r>
      <w:hyperlink w:history="1">
        <w:r w:rsidR="00EA2707" w:rsidRPr="00363AFA">
          <w:rPr>
            <w:rStyle w:val="Hyperlink"/>
            <w:color w:val="auto"/>
            <w:u w:val="none"/>
          </w:rPr>
          <w:t>http://www.matrixscience. com).</w:t>
        </w:r>
        <w:r w:rsidR="00EA2707" w:rsidRPr="00363AFA">
          <w:rPr>
            <w:rStyle w:val="Hyperlink"/>
            <w:color w:val="auto"/>
            <w:u w:val="none"/>
            <w:vertAlign w:val="superscript"/>
          </w:rPr>
          <w:t>6</w:t>
        </w:r>
      </w:hyperlink>
      <w:r w:rsidRPr="00363AFA">
        <w:t xml:space="preserve"> Parameters were set as follows: a mass tolerance of 10 ppm for precursor ions and 0.8 Da for fragment ions; no missed cleavage site allowed for trypsin; </w:t>
      </w:r>
      <w:proofErr w:type="spellStart"/>
      <w:r w:rsidRPr="00363AFA">
        <w:t>carbamidomethyl</w:t>
      </w:r>
      <w:proofErr w:type="spellEnd"/>
      <w:r w:rsidRPr="00363AFA">
        <w:t xml:space="preserve"> cysteine as fixed modification; </w:t>
      </w:r>
      <w:proofErr w:type="spellStart"/>
      <w:r w:rsidRPr="00363AFA">
        <w:t>dimethylation</w:t>
      </w:r>
      <w:proofErr w:type="spellEnd"/>
      <w:r w:rsidRPr="00363AFA">
        <w:t xml:space="preserve"> speciﬁed as the quantiﬁcation; oxidized methionine and </w:t>
      </w:r>
      <w:proofErr w:type="spellStart"/>
      <w:r w:rsidRPr="00363AFA">
        <w:t>amidated</w:t>
      </w:r>
      <w:proofErr w:type="spellEnd"/>
      <w:r w:rsidRPr="00363AFA">
        <w:t xml:space="preserve"> asparagine/glutamine as optional modification. Peptides were considered positively identiﬁed if their Mascot individual ion score was higher than 20 (p &lt; 0.05). Subsequently, the analysis of peptide quantification ratio (D/H) for normal (hydrogen labeling) and CAD (deuterium labeling) was carried out by Mascot Distiller program (version 2.3, Matrix Science Ltd., London, U.K.) using the average area of the first 3 isotopic peaks across the elution profile. The Mascot search data as well as </w:t>
      </w:r>
      <w:r w:rsidRPr="00363AFA">
        <w:lastRenderedPageBreak/>
        <w:t>quantiﬁcation results from each fraction were also merged by this program that combined the peptide ratios matching the same sequence obtained from different fractions or at different retention time and charge state.</w:t>
      </w:r>
    </w:p>
    <w:p w14:paraId="41CC99E8" w14:textId="77777777" w:rsidR="00363AFA" w:rsidRDefault="00363AFA" w:rsidP="003C38E6">
      <w:pPr>
        <w:spacing w:line="480" w:lineRule="auto"/>
        <w:jc w:val="both"/>
        <w:rPr>
          <w:b/>
        </w:rPr>
      </w:pPr>
    </w:p>
    <w:p w14:paraId="613922EF" w14:textId="0F5E2486" w:rsidR="000B12E9" w:rsidRPr="005E2819" w:rsidRDefault="000B12E9" w:rsidP="003C38E6">
      <w:pPr>
        <w:spacing w:line="480" w:lineRule="auto"/>
        <w:jc w:val="both"/>
      </w:pPr>
      <w:r w:rsidRPr="005E2819">
        <w:t>Construction of signaling pathways and network analysis of protein interaction</w:t>
      </w:r>
    </w:p>
    <w:p w14:paraId="1A333AD5" w14:textId="0CDC9024" w:rsidR="00363AFA" w:rsidRPr="003C38E6" w:rsidRDefault="000B12E9" w:rsidP="005E2819">
      <w:pPr>
        <w:spacing w:line="480" w:lineRule="auto"/>
        <w:ind w:firstLine="480"/>
        <w:jc w:val="both"/>
      </w:pPr>
      <w:r w:rsidRPr="00363AFA">
        <w:t xml:space="preserve">The software program (www.ingenuity.com) from Ingenuity Pathways Analysis (IPA, Ingenuity Systems, Redwood City, CA) was used for deriving the pathways and networks of protein interaction, and the involved prospective mechanism. Protein factors characterized by proteomic analysis were analyzed for their association with mapping related to canonical pathways deposited in the IPA library. </w:t>
      </w:r>
    </w:p>
    <w:p w14:paraId="4E8B2E97" w14:textId="77777777" w:rsidR="00EA2707" w:rsidRPr="00363AFA" w:rsidRDefault="00EA2707" w:rsidP="003C38E6">
      <w:pPr>
        <w:spacing w:line="480" w:lineRule="auto"/>
        <w:jc w:val="both"/>
      </w:pPr>
    </w:p>
    <w:p w14:paraId="4C872C20" w14:textId="08C98A81" w:rsidR="003E2A10" w:rsidRPr="00363AFA" w:rsidRDefault="003E2A10" w:rsidP="003C38E6">
      <w:pPr>
        <w:spacing w:line="480" w:lineRule="auto"/>
        <w:jc w:val="both"/>
        <w:rPr>
          <w:b/>
          <w:kern w:val="0"/>
        </w:rPr>
      </w:pPr>
      <w:r w:rsidRPr="003E2A10">
        <w:rPr>
          <w:b/>
          <w:kern w:val="0"/>
        </w:rPr>
        <w:t>Supplemental References</w:t>
      </w:r>
    </w:p>
    <w:p w14:paraId="78B49639" w14:textId="502EAE38" w:rsidR="003E17B7" w:rsidRPr="00763559" w:rsidRDefault="005E2819" w:rsidP="003C38E6">
      <w:pPr>
        <w:autoSpaceDE w:val="0"/>
        <w:autoSpaceDN w:val="0"/>
        <w:adjustRightInd w:val="0"/>
        <w:spacing w:line="480" w:lineRule="auto"/>
        <w:jc w:val="both"/>
        <w:rPr>
          <w:rFonts w:eastAsia="TimesNewRomanPSMT"/>
          <w:kern w:val="0"/>
        </w:rPr>
      </w:pPr>
      <w:r>
        <w:rPr>
          <w:noProof/>
        </w:rPr>
        <w:t>1.</w:t>
      </w:r>
      <w:r w:rsidR="003C38E6">
        <w:rPr>
          <w:noProof/>
        </w:rPr>
        <w:t xml:space="preserve"> </w:t>
      </w:r>
      <w:r w:rsidR="003E17B7" w:rsidRPr="00763559">
        <w:rPr>
          <w:noProof/>
        </w:rPr>
        <w:t>Boersema</w:t>
      </w:r>
      <w:r>
        <w:rPr>
          <w:noProof/>
        </w:rPr>
        <w:t xml:space="preserve"> PJ</w:t>
      </w:r>
      <w:r w:rsidR="00763559" w:rsidRPr="00763559">
        <w:rPr>
          <w:noProof/>
        </w:rPr>
        <w:t>,</w:t>
      </w:r>
      <w:r w:rsidR="003E17B7" w:rsidRPr="00763559">
        <w:rPr>
          <w:noProof/>
        </w:rPr>
        <w:t xml:space="preserve"> Aye</w:t>
      </w:r>
      <w:r>
        <w:rPr>
          <w:noProof/>
        </w:rPr>
        <w:t xml:space="preserve"> TT</w:t>
      </w:r>
      <w:r w:rsidR="003E17B7" w:rsidRPr="00763559">
        <w:rPr>
          <w:noProof/>
        </w:rPr>
        <w:t>, van Veen</w:t>
      </w:r>
      <w:r>
        <w:rPr>
          <w:noProof/>
        </w:rPr>
        <w:t xml:space="preserve"> TA</w:t>
      </w:r>
      <w:r w:rsidR="003E17B7" w:rsidRPr="00763559">
        <w:rPr>
          <w:noProof/>
        </w:rPr>
        <w:t>, Heck</w:t>
      </w:r>
      <w:r>
        <w:rPr>
          <w:noProof/>
        </w:rPr>
        <w:t xml:space="preserve"> AJ</w:t>
      </w:r>
      <w:r w:rsidR="00763559" w:rsidRPr="00763559">
        <w:rPr>
          <w:noProof/>
        </w:rPr>
        <w:t>,</w:t>
      </w:r>
      <w:r w:rsidR="003E17B7" w:rsidRPr="00763559">
        <w:rPr>
          <w:noProof/>
        </w:rPr>
        <w:t xml:space="preserve"> Mohammed</w:t>
      </w:r>
      <w:r>
        <w:rPr>
          <w:noProof/>
        </w:rPr>
        <w:t xml:space="preserve"> S (2008)</w:t>
      </w:r>
      <w:r w:rsidR="003E17B7" w:rsidRPr="00763559">
        <w:rPr>
          <w:noProof/>
        </w:rPr>
        <w:t xml:space="preserve"> Triplex protein quantification based on stable isotope labeling by peptide dimethylation app</w:t>
      </w:r>
      <w:r>
        <w:rPr>
          <w:noProof/>
        </w:rPr>
        <w:t>lied to cell and tissue lysates.</w:t>
      </w:r>
      <w:r w:rsidR="003E17B7" w:rsidRPr="00763559">
        <w:rPr>
          <w:noProof/>
        </w:rPr>
        <w:t xml:space="preserve"> </w:t>
      </w:r>
      <w:proofErr w:type="gramStart"/>
      <w:r w:rsidR="003E17B7" w:rsidRPr="00763559">
        <w:rPr>
          <w:noProof/>
        </w:rPr>
        <w:t xml:space="preserve">Proteomics </w:t>
      </w:r>
      <w:r w:rsidR="003E17B7" w:rsidRPr="003C38E6">
        <w:rPr>
          <w:noProof/>
        </w:rPr>
        <w:t>8</w:t>
      </w:r>
      <w:r>
        <w:rPr>
          <w:noProof/>
        </w:rPr>
        <w:t>:</w:t>
      </w:r>
      <w:r w:rsidR="00763559" w:rsidRPr="00763559">
        <w:rPr>
          <w:noProof/>
        </w:rPr>
        <w:t xml:space="preserve"> </w:t>
      </w:r>
      <w:r w:rsidR="003E17B7" w:rsidRPr="00763559">
        <w:rPr>
          <w:noProof/>
        </w:rPr>
        <w:t>4624</w:t>
      </w:r>
      <w:r w:rsidR="003E17B7" w:rsidRPr="00763559">
        <w:rPr>
          <w:kern w:val="0"/>
        </w:rPr>
        <w:t>-</w:t>
      </w:r>
      <w:r w:rsidR="00763559" w:rsidRPr="00763559">
        <w:rPr>
          <w:noProof/>
        </w:rPr>
        <w:t>4632</w:t>
      </w:r>
      <w:r w:rsidR="003C38E6">
        <w:rPr>
          <w:noProof/>
        </w:rPr>
        <w:t>.</w:t>
      </w:r>
      <w:proofErr w:type="gramEnd"/>
    </w:p>
    <w:p w14:paraId="42F3F74D" w14:textId="6B9CD584" w:rsidR="003E17B7" w:rsidRPr="00763559" w:rsidRDefault="005E2819" w:rsidP="003C38E6">
      <w:pPr>
        <w:autoSpaceDE w:val="0"/>
        <w:autoSpaceDN w:val="0"/>
        <w:adjustRightInd w:val="0"/>
        <w:spacing w:line="480" w:lineRule="auto"/>
        <w:jc w:val="both"/>
        <w:rPr>
          <w:rFonts w:eastAsia="TimesNewRomanPSMT"/>
          <w:kern w:val="0"/>
        </w:rPr>
      </w:pPr>
      <w:r>
        <w:rPr>
          <w:noProof/>
        </w:rPr>
        <w:t>2.</w:t>
      </w:r>
      <w:r w:rsidR="003C38E6">
        <w:rPr>
          <w:noProof/>
        </w:rPr>
        <w:t xml:space="preserve"> </w:t>
      </w:r>
      <w:r w:rsidR="003E17B7" w:rsidRPr="00763559">
        <w:rPr>
          <w:noProof/>
        </w:rPr>
        <w:t>Yoshida</w:t>
      </w:r>
      <w:r>
        <w:rPr>
          <w:noProof/>
        </w:rPr>
        <w:t xml:space="preserve"> T (1997)</w:t>
      </w:r>
      <w:r w:rsidR="003E17B7" w:rsidRPr="00763559">
        <w:rPr>
          <w:noProof/>
        </w:rPr>
        <w:t xml:space="preserve"> Peptide separation in nor</w:t>
      </w:r>
      <w:r>
        <w:rPr>
          <w:noProof/>
        </w:rPr>
        <w:t>mal phase liquid chromatography.</w:t>
      </w:r>
      <w:r w:rsidR="003E17B7" w:rsidRPr="00763559">
        <w:rPr>
          <w:noProof/>
        </w:rPr>
        <w:t xml:space="preserve"> Anal Chem </w:t>
      </w:r>
      <w:r w:rsidR="003E17B7" w:rsidRPr="003C38E6">
        <w:rPr>
          <w:noProof/>
        </w:rPr>
        <w:t>69</w:t>
      </w:r>
      <w:r>
        <w:rPr>
          <w:noProof/>
        </w:rPr>
        <w:t xml:space="preserve">: </w:t>
      </w:r>
      <w:r w:rsidR="003E17B7" w:rsidRPr="00763559">
        <w:rPr>
          <w:noProof/>
        </w:rPr>
        <w:t>3038</w:t>
      </w:r>
      <w:r w:rsidR="003E17B7" w:rsidRPr="00763559">
        <w:rPr>
          <w:kern w:val="0"/>
        </w:rPr>
        <w:t>-</w:t>
      </w:r>
      <w:r w:rsidR="00763559">
        <w:rPr>
          <w:noProof/>
        </w:rPr>
        <w:t>3043</w:t>
      </w:r>
      <w:r w:rsidR="003C38E6">
        <w:rPr>
          <w:noProof/>
        </w:rPr>
        <w:t>.</w:t>
      </w:r>
    </w:p>
    <w:p w14:paraId="246322B6" w14:textId="60B9E01B" w:rsidR="003E17B7" w:rsidRPr="00763559" w:rsidRDefault="005E2819" w:rsidP="003C38E6">
      <w:pPr>
        <w:autoSpaceDE w:val="0"/>
        <w:autoSpaceDN w:val="0"/>
        <w:adjustRightInd w:val="0"/>
        <w:spacing w:line="480" w:lineRule="auto"/>
        <w:jc w:val="both"/>
        <w:rPr>
          <w:rFonts w:eastAsia="TimesNewRomanPSMT"/>
          <w:kern w:val="0"/>
        </w:rPr>
      </w:pPr>
      <w:r>
        <w:rPr>
          <w:noProof/>
        </w:rPr>
        <w:t xml:space="preserve">3. </w:t>
      </w:r>
      <w:r w:rsidR="003C38E6" w:rsidRPr="00763559">
        <w:rPr>
          <w:noProof/>
        </w:rPr>
        <w:t>Yoshida</w:t>
      </w:r>
      <w:r>
        <w:rPr>
          <w:noProof/>
        </w:rPr>
        <w:t xml:space="preserve"> T (1998)</w:t>
      </w:r>
      <w:r w:rsidR="003C38E6" w:rsidRPr="00763559">
        <w:rPr>
          <w:noProof/>
        </w:rPr>
        <w:t xml:space="preserve"> </w:t>
      </w:r>
      <w:r w:rsidR="003E17B7" w:rsidRPr="00763559">
        <w:rPr>
          <w:noProof/>
        </w:rPr>
        <w:t>Calculation of peptide retention coefficients in nor</w:t>
      </w:r>
      <w:r w:rsidR="003C38E6">
        <w:rPr>
          <w:noProof/>
        </w:rPr>
        <w:t>mal-phase liquid ch</w:t>
      </w:r>
      <w:r>
        <w:rPr>
          <w:noProof/>
        </w:rPr>
        <w:t>romatography.</w:t>
      </w:r>
      <w:r w:rsidR="003E17B7" w:rsidRPr="00763559">
        <w:rPr>
          <w:noProof/>
        </w:rPr>
        <w:t xml:space="preserve"> J Chromatogr A </w:t>
      </w:r>
      <w:r w:rsidR="003E17B7" w:rsidRPr="003C38E6">
        <w:rPr>
          <w:noProof/>
        </w:rPr>
        <w:t>808</w:t>
      </w:r>
      <w:r>
        <w:rPr>
          <w:noProof/>
        </w:rPr>
        <w:t>:</w:t>
      </w:r>
      <w:r w:rsidR="003C38E6">
        <w:rPr>
          <w:noProof/>
        </w:rPr>
        <w:t xml:space="preserve"> </w:t>
      </w:r>
      <w:r w:rsidR="003E17B7" w:rsidRPr="00763559">
        <w:rPr>
          <w:noProof/>
        </w:rPr>
        <w:t>105</w:t>
      </w:r>
      <w:r w:rsidR="003E17B7" w:rsidRPr="00763559">
        <w:rPr>
          <w:kern w:val="0"/>
        </w:rPr>
        <w:t>-1</w:t>
      </w:r>
      <w:r w:rsidR="00763559">
        <w:rPr>
          <w:noProof/>
        </w:rPr>
        <w:t>12</w:t>
      </w:r>
      <w:r w:rsidR="003C38E6">
        <w:rPr>
          <w:noProof/>
        </w:rPr>
        <w:t>.</w:t>
      </w:r>
    </w:p>
    <w:p w14:paraId="0A375C83" w14:textId="7D79AE46" w:rsidR="003E17B7" w:rsidRPr="00763559" w:rsidRDefault="005E2819" w:rsidP="003C38E6">
      <w:pPr>
        <w:autoSpaceDE w:val="0"/>
        <w:autoSpaceDN w:val="0"/>
        <w:adjustRightInd w:val="0"/>
        <w:spacing w:line="480" w:lineRule="auto"/>
        <w:jc w:val="both"/>
        <w:rPr>
          <w:rFonts w:eastAsia="TimesNewRomanPSMT"/>
          <w:kern w:val="0"/>
        </w:rPr>
      </w:pPr>
      <w:r>
        <w:rPr>
          <w:noProof/>
        </w:rPr>
        <w:lastRenderedPageBreak/>
        <w:t>4.</w:t>
      </w:r>
      <w:r w:rsidR="003C38E6">
        <w:rPr>
          <w:noProof/>
        </w:rPr>
        <w:t xml:space="preserve"> </w:t>
      </w:r>
      <w:r w:rsidR="003E17B7" w:rsidRPr="00763559">
        <w:rPr>
          <w:noProof/>
        </w:rPr>
        <w:t>Alpert</w:t>
      </w:r>
      <w:r>
        <w:rPr>
          <w:noProof/>
        </w:rPr>
        <w:t xml:space="preserve"> AJ (1990)</w:t>
      </w:r>
      <w:r w:rsidR="003E17B7" w:rsidRPr="00763559">
        <w:rPr>
          <w:noProof/>
        </w:rPr>
        <w:t xml:space="preserve"> Hydrophilic-interaction chromatography for the separation of peptides, nucleic </w:t>
      </w:r>
      <w:r>
        <w:rPr>
          <w:noProof/>
        </w:rPr>
        <w:t>acids and other polar compounds.</w:t>
      </w:r>
      <w:r w:rsidR="003E17B7" w:rsidRPr="00763559">
        <w:rPr>
          <w:noProof/>
        </w:rPr>
        <w:t xml:space="preserve"> J Chromatogr</w:t>
      </w:r>
      <w:r w:rsidR="00763559">
        <w:rPr>
          <w:noProof/>
        </w:rPr>
        <w:t xml:space="preserve"> </w:t>
      </w:r>
      <w:r w:rsidR="003E17B7" w:rsidRPr="003C38E6">
        <w:rPr>
          <w:noProof/>
        </w:rPr>
        <w:t>499</w:t>
      </w:r>
      <w:r>
        <w:rPr>
          <w:noProof/>
        </w:rPr>
        <w:t>:</w:t>
      </w:r>
      <w:r w:rsidR="00763559">
        <w:rPr>
          <w:noProof/>
        </w:rPr>
        <w:t xml:space="preserve"> </w:t>
      </w:r>
      <w:r w:rsidR="003E17B7" w:rsidRPr="00763559">
        <w:rPr>
          <w:noProof/>
        </w:rPr>
        <w:t>177-196.</w:t>
      </w:r>
    </w:p>
    <w:p w14:paraId="08E4D081" w14:textId="01BDD77B" w:rsidR="003E17B7" w:rsidRPr="00763559" w:rsidRDefault="005E2819" w:rsidP="003C38E6">
      <w:pPr>
        <w:autoSpaceDE w:val="0"/>
        <w:autoSpaceDN w:val="0"/>
        <w:adjustRightInd w:val="0"/>
        <w:spacing w:line="480" w:lineRule="auto"/>
        <w:jc w:val="both"/>
        <w:rPr>
          <w:rFonts w:eastAsia="TimesNewRomanPSMT"/>
          <w:kern w:val="0"/>
        </w:rPr>
      </w:pPr>
      <w:r>
        <w:rPr>
          <w:noProof/>
        </w:rPr>
        <w:t>5.</w:t>
      </w:r>
      <w:r w:rsidR="003C38E6">
        <w:rPr>
          <w:noProof/>
        </w:rPr>
        <w:t xml:space="preserve"> </w:t>
      </w:r>
      <w:r w:rsidR="003E17B7" w:rsidRPr="00763559">
        <w:rPr>
          <w:noProof/>
        </w:rPr>
        <w:t>Perkins</w:t>
      </w:r>
      <w:r>
        <w:rPr>
          <w:noProof/>
        </w:rPr>
        <w:t xml:space="preserve"> DN</w:t>
      </w:r>
      <w:r w:rsidR="003E17B7" w:rsidRPr="00763559">
        <w:rPr>
          <w:noProof/>
        </w:rPr>
        <w:t>, Pappin</w:t>
      </w:r>
      <w:r>
        <w:rPr>
          <w:noProof/>
        </w:rPr>
        <w:t xml:space="preserve"> DJ</w:t>
      </w:r>
      <w:r w:rsidR="003E17B7" w:rsidRPr="00763559">
        <w:rPr>
          <w:noProof/>
        </w:rPr>
        <w:t>, Creasy</w:t>
      </w:r>
      <w:r>
        <w:rPr>
          <w:noProof/>
        </w:rPr>
        <w:t xml:space="preserve"> DM</w:t>
      </w:r>
      <w:r w:rsidR="00763559">
        <w:rPr>
          <w:noProof/>
        </w:rPr>
        <w:t>,</w:t>
      </w:r>
      <w:r w:rsidR="003E17B7" w:rsidRPr="00763559">
        <w:rPr>
          <w:noProof/>
        </w:rPr>
        <w:t xml:space="preserve"> Cottrell</w:t>
      </w:r>
      <w:r>
        <w:rPr>
          <w:noProof/>
        </w:rPr>
        <w:t xml:space="preserve"> JS (1999)</w:t>
      </w:r>
      <w:r w:rsidR="003E17B7" w:rsidRPr="00763559">
        <w:rPr>
          <w:noProof/>
        </w:rPr>
        <w:t xml:space="preserve"> Probability-based protein identification by searching sequence databas</w:t>
      </w:r>
      <w:r>
        <w:rPr>
          <w:noProof/>
        </w:rPr>
        <w:t>es using mass spectrometry data.</w:t>
      </w:r>
      <w:r w:rsidR="003E17B7" w:rsidRPr="00763559">
        <w:rPr>
          <w:noProof/>
        </w:rPr>
        <w:t xml:space="preserve"> Electrophoresis</w:t>
      </w:r>
      <w:r w:rsidR="00763559" w:rsidRPr="00A57264">
        <w:rPr>
          <w:noProof/>
        </w:rPr>
        <w:t xml:space="preserve"> </w:t>
      </w:r>
      <w:r w:rsidR="003E17B7" w:rsidRPr="00A57264">
        <w:rPr>
          <w:noProof/>
        </w:rPr>
        <w:t>20</w:t>
      </w:r>
      <w:r>
        <w:rPr>
          <w:noProof/>
        </w:rPr>
        <w:t>:</w:t>
      </w:r>
      <w:r w:rsidR="00763559">
        <w:rPr>
          <w:noProof/>
        </w:rPr>
        <w:t xml:space="preserve"> </w:t>
      </w:r>
      <w:r w:rsidR="003E17B7" w:rsidRPr="00763559">
        <w:rPr>
          <w:noProof/>
        </w:rPr>
        <w:t>3551-35</w:t>
      </w:r>
      <w:r w:rsidR="00763559">
        <w:rPr>
          <w:noProof/>
        </w:rPr>
        <w:t>67</w:t>
      </w:r>
      <w:r w:rsidR="003C38E6">
        <w:rPr>
          <w:noProof/>
        </w:rPr>
        <w:t>.</w:t>
      </w:r>
    </w:p>
    <w:p w14:paraId="4D1FA035" w14:textId="7192DF0D" w:rsidR="003E17B7" w:rsidRPr="00763559" w:rsidRDefault="005E2819" w:rsidP="003C38E6">
      <w:pPr>
        <w:autoSpaceDE w:val="0"/>
        <w:autoSpaceDN w:val="0"/>
        <w:adjustRightInd w:val="0"/>
        <w:spacing w:line="480" w:lineRule="auto"/>
        <w:jc w:val="both"/>
        <w:rPr>
          <w:rFonts w:eastAsia="TimesNewRomanPSMT"/>
          <w:kern w:val="0"/>
        </w:rPr>
      </w:pPr>
      <w:r>
        <w:rPr>
          <w:noProof/>
        </w:rPr>
        <w:t>6.</w:t>
      </w:r>
      <w:r w:rsidR="003C38E6">
        <w:rPr>
          <w:noProof/>
        </w:rPr>
        <w:t xml:space="preserve"> </w:t>
      </w:r>
      <w:r w:rsidR="003E17B7" w:rsidRPr="00763559">
        <w:rPr>
          <w:noProof/>
        </w:rPr>
        <w:t>Hirosawa</w:t>
      </w:r>
      <w:r>
        <w:rPr>
          <w:noProof/>
        </w:rPr>
        <w:t xml:space="preserve"> M</w:t>
      </w:r>
      <w:r w:rsidR="003E17B7" w:rsidRPr="00763559">
        <w:rPr>
          <w:noProof/>
        </w:rPr>
        <w:t>, Hoshida</w:t>
      </w:r>
      <w:r>
        <w:rPr>
          <w:noProof/>
        </w:rPr>
        <w:t xml:space="preserve"> M</w:t>
      </w:r>
      <w:r w:rsidR="003E17B7" w:rsidRPr="00763559">
        <w:rPr>
          <w:noProof/>
        </w:rPr>
        <w:t>, Ishikawa</w:t>
      </w:r>
      <w:r>
        <w:rPr>
          <w:noProof/>
        </w:rPr>
        <w:t xml:space="preserve"> M</w:t>
      </w:r>
      <w:r w:rsidR="00763559">
        <w:rPr>
          <w:noProof/>
        </w:rPr>
        <w:t>,</w:t>
      </w:r>
      <w:r w:rsidR="003E17B7" w:rsidRPr="00763559">
        <w:rPr>
          <w:noProof/>
        </w:rPr>
        <w:t xml:space="preserve"> Toya</w:t>
      </w:r>
      <w:r>
        <w:rPr>
          <w:noProof/>
        </w:rPr>
        <w:t xml:space="preserve"> T (1993)</w:t>
      </w:r>
      <w:r w:rsidR="003E17B7" w:rsidRPr="00763559">
        <w:rPr>
          <w:noProof/>
        </w:rPr>
        <w:t xml:space="preserve"> MASCOT: multiple alignment system for protein sequences based o</w:t>
      </w:r>
      <w:r>
        <w:rPr>
          <w:noProof/>
        </w:rPr>
        <w:t>n three-way dynamic programming.</w:t>
      </w:r>
      <w:r w:rsidR="003E17B7" w:rsidRPr="00763559">
        <w:rPr>
          <w:noProof/>
        </w:rPr>
        <w:t xml:space="preserve"> Comput Appl Biosci</w:t>
      </w:r>
      <w:r w:rsidR="00763559">
        <w:rPr>
          <w:noProof/>
        </w:rPr>
        <w:t xml:space="preserve"> </w:t>
      </w:r>
      <w:r w:rsidR="003E17B7" w:rsidRPr="003C38E6">
        <w:rPr>
          <w:noProof/>
        </w:rPr>
        <w:t>9</w:t>
      </w:r>
      <w:r>
        <w:rPr>
          <w:noProof/>
        </w:rPr>
        <w:t>:</w:t>
      </w:r>
      <w:r w:rsidR="00763559">
        <w:rPr>
          <w:noProof/>
        </w:rPr>
        <w:t xml:space="preserve"> </w:t>
      </w:r>
      <w:r w:rsidR="003E17B7" w:rsidRPr="00763559">
        <w:rPr>
          <w:noProof/>
        </w:rPr>
        <w:t>161-16</w:t>
      </w:r>
      <w:r w:rsidR="00763559">
        <w:rPr>
          <w:noProof/>
        </w:rPr>
        <w:t>7</w:t>
      </w:r>
      <w:r w:rsidR="003C38E6">
        <w:rPr>
          <w:noProof/>
        </w:rPr>
        <w:t>.</w:t>
      </w:r>
    </w:p>
    <w:p w14:paraId="5151E5B3" w14:textId="77777777" w:rsidR="003E17B7" w:rsidRPr="00763559" w:rsidRDefault="003E17B7" w:rsidP="003C38E6">
      <w:pPr>
        <w:spacing w:line="480" w:lineRule="auto"/>
      </w:pPr>
    </w:p>
    <w:sectPr w:rsidR="003E17B7" w:rsidRPr="00763559" w:rsidSect="00D83C6E">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568F5" w14:textId="77777777" w:rsidR="005E2819" w:rsidRDefault="005E2819" w:rsidP="007574C4">
      <w:r>
        <w:separator/>
      </w:r>
    </w:p>
  </w:endnote>
  <w:endnote w:type="continuationSeparator" w:id="0">
    <w:p w14:paraId="14CC3BEA" w14:textId="77777777" w:rsidR="005E2819" w:rsidRDefault="005E2819" w:rsidP="00757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00000001" w:usb1="08080000" w:usb2="00000010" w:usb3="00000000" w:csb0="00100000" w:csb1="00000000"/>
  </w:font>
  <w:font w:name="Times New Roman">
    <w:panose1 w:val="02020603050405020304"/>
    <w:charset w:val="00"/>
    <w:family w:val="auto"/>
    <w:pitch w:val="variable"/>
    <w:sig w:usb0="E0002AFF" w:usb1="C0007841" w:usb2="00000009" w:usb3="00000000" w:csb0="000001FF" w:csb1="00000000"/>
  </w:font>
  <w:font w:name="Adobe Caslon Pro SmBd">
    <w:panose1 w:val="0205060205050A020403"/>
    <w:charset w:val="00"/>
    <w:family w:val="auto"/>
    <w:pitch w:val="variable"/>
    <w:sig w:usb0="00000007" w:usb1="00000001" w:usb2="00000000" w:usb3="00000000" w:csb0="00000093" w:csb1="00000000"/>
  </w:font>
  <w:font w:name="TimesNewRomanPSMT">
    <w:altName w:val="Times New Roman"/>
    <w:panose1 w:val="00000000000000000000"/>
    <w:charset w:val="88"/>
    <w:family w:val="auto"/>
    <w:notTrueType/>
    <w:pitch w:val="default"/>
    <w:sig w:usb0="00000003" w:usb1="080F0000" w:usb2="00000010" w:usb3="00000000" w:csb0="0012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2854"/>
      <w:docPartObj>
        <w:docPartGallery w:val="Page Numbers (Bottom of Page)"/>
        <w:docPartUnique/>
      </w:docPartObj>
    </w:sdtPr>
    <w:sdtEndPr/>
    <w:sdtContent>
      <w:p w14:paraId="34EADD2B" w14:textId="77777777" w:rsidR="005E2819" w:rsidRDefault="005E2819">
        <w:pPr>
          <w:pStyle w:val="Footer"/>
          <w:jc w:val="right"/>
        </w:pPr>
        <w:r>
          <w:fldChar w:fldCharType="begin"/>
        </w:r>
        <w:r>
          <w:instrText xml:space="preserve"> PAGE   \* MERGEFORMAT </w:instrText>
        </w:r>
        <w:r>
          <w:fldChar w:fldCharType="separate"/>
        </w:r>
        <w:r w:rsidR="00BF4C16" w:rsidRPr="00BF4C16">
          <w:rPr>
            <w:noProof/>
            <w:lang w:val="zh-TW"/>
          </w:rPr>
          <w:t>1</w:t>
        </w:r>
        <w:r>
          <w:rPr>
            <w:noProof/>
            <w:lang w:val="zh-TW"/>
          </w:rPr>
          <w:fldChar w:fldCharType="end"/>
        </w:r>
      </w:p>
    </w:sdtContent>
  </w:sdt>
  <w:p w14:paraId="31337764" w14:textId="77777777" w:rsidR="005E2819" w:rsidRDefault="005E281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5D2B4" w14:textId="77777777" w:rsidR="005E2819" w:rsidRDefault="005E2819" w:rsidP="007574C4">
      <w:r>
        <w:separator/>
      </w:r>
    </w:p>
  </w:footnote>
  <w:footnote w:type="continuationSeparator" w:id="0">
    <w:p w14:paraId="63C30478" w14:textId="77777777" w:rsidR="005E2819" w:rsidRDefault="005E2819" w:rsidP="007574C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894E9F"/>
    <w:multiLevelType w:val="hybridMultilevel"/>
    <w:tmpl w:val="A2D092E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E9"/>
    <w:rsid w:val="000B12E9"/>
    <w:rsid w:val="001B732A"/>
    <w:rsid w:val="00355CCD"/>
    <w:rsid w:val="00363AFA"/>
    <w:rsid w:val="00392CCB"/>
    <w:rsid w:val="003C38E6"/>
    <w:rsid w:val="003E17B7"/>
    <w:rsid w:val="003E2A10"/>
    <w:rsid w:val="00424E40"/>
    <w:rsid w:val="00464438"/>
    <w:rsid w:val="00464DA1"/>
    <w:rsid w:val="005C18E6"/>
    <w:rsid w:val="005E2819"/>
    <w:rsid w:val="00607A51"/>
    <w:rsid w:val="007518A6"/>
    <w:rsid w:val="007574C4"/>
    <w:rsid w:val="00763559"/>
    <w:rsid w:val="00832405"/>
    <w:rsid w:val="0091751F"/>
    <w:rsid w:val="00A57264"/>
    <w:rsid w:val="00B02C6F"/>
    <w:rsid w:val="00B60BAE"/>
    <w:rsid w:val="00B85D80"/>
    <w:rsid w:val="00BF4C16"/>
    <w:rsid w:val="00CB30D1"/>
    <w:rsid w:val="00CE63E9"/>
    <w:rsid w:val="00D83C6E"/>
    <w:rsid w:val="00EA2707"/>
    <w:rsid w:val="00F768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A259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2E9"/>
    <w:pPr>
      <w:widowControl w:val="0"/>
    </w:pPr>
    <w:rPr>
      <w:rFonts w:ascii="Times New Roman" w:eastAsia="新細明體"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B12E9"/>
    <w:rPr>
      <w:color w:val="0000FF"/>
      <w:u w:val="single"/>
    </w:rPr>
  </w:style>
  <w:style w:type="paragraph" w:styleId="Header">
    <w:name w:val="header"/>
    <w:basedOn w:val="Normal"/>
    <w:link w:val="HeaderChar"/>
    <w:uiPriority w:val="99"/>
    <w:semiHidden/>
    <w:unhideWhenUsed/>
    <w:rsid w:val="007574C4"/>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7574C4"/>
    <w:rPr>
      <w:rFonts w:ascii="Times New Roman" w:eastAsia="新細明體" w:hAnsi="Times New Roman" w:cs="Times New Roman"/>
      <w:sz w:val="20"/>
      <w:szCs w:val="20"/>
    </w:rPr>
  </w:style>
  <w:style w:type="paragraph" w:styleId="Footer">
    <w:name w:val="footer"/>
    <w:basedOn w:val="Normal"/>
    <w:link w:val="FooterChar"/>
    <w:uiPriority w:val="99"/>
    <w:unhideWhenUsed/>
    <w:rsid w:val="007574C4"/>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7574C4"/>
    <w:rPr>
      <w:rFonts w:ascii="Times New Roman" w:eastAsia="新細明體" w:hAnsi="Times New Roman" w:cs="Times New Roman"/>
      <w:sz w:val="20"/>
      <w:szCs w:val="20"/>
    </w:rPr>
  </w:style>
  <w:style w:type="character" w:styleId="Emphasis">
    <w:name w:val="Emphasis"/>
    <w:qFormat/>
    <w:rsid w:val="007574C4"/>
    <w:rPr>
      <w:b w:val="0"/>
      <w:bCs w:val="0"/>
      <w:i w:val="0"/>
      <w:iCs w:val="0"/>
      <w:color w:val="CC0033"/>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2E9"/>
    <w:pPr>
      <w:widowControl w:val="0"/>
    </w:pPr>
    <w:rPr>
      <w:rFonts w:ascii="Times New Roman" w:eastAsia="新細明體"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B12E9"/>
    <w:rPr>
      <w:color w:val="0000FF"/>
      <w:u w:val="single"/>
    </w:rPr>
  </w:style>
  <w:style w:type="paragraph" w:styleId="Header">
    <w:name w:val="header"/>
    <w:basedOn w:val="Normal"/>
    <w:link w:val="HeaderChar"/>
    <w:uiPriority w:val="99"/>
    <w:semiHidden/>
    <w:unhideWhenUsed/>
    <w:rsid w:val="007574C4"/>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7574C4"/>
    <w:rPr>
      <w:rFonts w:ascii="Times New Roman" w:eastAsia="新細明體" w:hAnsi="Times New Roman" w:cs="Times New Roman"/>
      <w:sz w:val="20"/>
      <w:szCs w:val="20"/>
    </w:rPr>
  </w:style>
  <w:style w:type="paragraph" w:styleId="Footer">
    <w:name w:val="footer"/>
    <w:basedOn w:val="Normal"/>
    <w:link w:val="FooterChar"/>
    <w:uiPriority w:val="99"/>
    <w:unhideWhenUsed/>
    <w:rsid w:val="007574C4"/>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7574C4"/>
    <w:rPr>
      <w:rFonts w:ascii="Times New Roman" w:eastAsia="新細明體" w:hAnsi="Times New Roman" w:cs="Times New Roman"/>
      <w:sz w:val="20"/>
      <w:szCs w:val="20"/>
    </w:rPr>
  </w:style>
  <w:style w:type="character" w:styleId="Emphasis">
    <w:name w:val="Emphasis"/>
    <w:qFormat/>
    <w:rsid w:val="007574C4"/>
    <w:rPr>
      <w:b w:val="0"/>
      <w:bCs w:val="0"/>
      <w:i w:val="0"/>
      <w:iCs w:val="0"/>
      <w:color w:val="CC00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1247</Words>
  <Characters>7110</Characters>
  <Application>Microsoft Macintosh Word</Application>
  <DocSecurity>0</DocSecurity>
  <Lines>59</Lines>
  <Paragraphs>16</Paragraphs>
  <ScaleCrop>false</ScaleCrop>
  <Company>Hewlett-Packard</Company>
  <LinksUpToDate>false</LinksUpToDate>
  <CharactersWithSpaces>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Huang, Chun-Hao/Graduate Studies</cp:lastModifiedBy>
  <cp:revision>2</cp:revision>
  <cp:lastPrinted>2014-01-27T10:32:00Z</cp:lastPrinted>
  <dcterms:created xsi:type="dcterms:W3CDTF">2014-12-24T06:10:00Z</dcterms:created>
  <dcterms:modified xsi:type="dcterms:W3CDTF">2014-12-24T06:10:00Z</dcterms:modified>
</cp:coreProperties>
</file>