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56D2D" w14:textId="536FE544" w:rsidR="00702E0C" w:rsidRPr="007530E8" w:rsidRDefault="00702E0C" w:rsidP="00702E0C">
      <w:pPr>
        <w:widowControl/>
        <w:jc w:val="left"/>
        <w:rPr>
          <w:rFonts w:ascii="Times New Roman" w:eastAsia="MS PGothic" w:hAnsi="Times New Roman" w:cs="Times New Roman"/>
          <w:kern w:val="0"/>
        </w:rPr>
      </w:pPr>
      <w:r w:rsidRPr="007530E8">
        <w:rPr>
          <w:rFonts w:ascii="Times New Roman" w:eastAsia="MS PGothic" w:hAnsi="Times New Roman" w:cs="Times New Roman"/>
          <w:kern w:val="0"/>
        </w:rPr>
        <w:t xml:space="preserve">Supplemental Table 2. Diagnostic criteria for acute retinal necrosis </w:t>
      </w:r>
      <w:r w:rsidR="00AF560F" w:rsidRPr="007530E8">
        <w:rPr>
          <w:rFonts w:ascii="Times New Roman" w:eastAsia="MS PGothic" w:hAnsi="Times New Roman" w:cs="Times New Roman"/>
          <w:kern w:val="0"/>
        </w:rPr>
        <w:t xml:space="preserve">from </w:t>
      </w:r>
      <w:r w:rsidRPr="007530E8">
        <w:rPr>
          <w:rFonts w:ascii="Times New Roman" w:eastAsia="MS PGothic" w:hAnsi="Times New Roman" w:cs="Times New Roman"/>
          <w:kern w:val="0"/>
        </w:rPr>
        <w:t xml:space="preserve">the Japan ARN study group </w:t>
      </w:r>
      <w:r w:rsidR="00096C1E" w:rsidRPr="007530E8">
        <w:rPr>
          <w:rFonts w:ascii="Times New Roman" w:eastAsia="MS PGothic" w:hAnsi="Times New Roman" w:cs="Times New Roman"/>
          <w:kern w:val="0"/>
          <w:vertAlign w:val="superscript"/>
        </w:rPr>
        <w:t>13</w:t>
      </w:r>
      <w:r w:rsidRPr="007530E8">
        <w:rPr>
          <w:rFonts w:ascii="Times New Roman" w:eastAsia="MS PGothic" w:hAnsi="Times New Roman" w:cs="Times New Roman"/>
          <w:kern w:val="0"/>
          <w:vertAlign w:val="superscript"/>
        </w:rPr>
        <w:t>*</w:t>
      </w:r>
    </w:p>
    <w:tbl>
      <w:tblPr>
        <w:tblW w:w="9420"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48"/>
        <w:gridCol w:w="48"/>
        <w:gridCol w:w="9325"/>
      </w:tblGrid>
      <w:tr w:rsidR="007530E8" w:rsidRPr="007530E8" w14:paraId="1E481AC6" w14:textId="77777777" w:rsidTr="00533BF6">
        <w:trPr>
          <w:trHeight w:val="45"/>
        </w:trPr>
        <w:tc>
          <w:tcPr>
            <w:tcW w:w="9420" w:type="dxa"/>
            <w:gridSpan w:val="3"/>
            <w:shd w:val="clear" w:color="auto" w:fill="auto"/>
            <w:noWrap/>
            <w:tcMar>
              <w:top w:w="15" w:type="dxa"/>
              <w:left w:w="15" w:type="dxa"/>
              <w:bottom w:w="0" w:type="dxa"/>
              <w:right w:w="15" w:type="dxa"/>
            </w:tcMar>
            <w:vAlign w:val="bottom"/>
            <w:hideMark/>
          </w:tcPr>
          <w:p w14:paraId="7DEA3D8C" w14:textId="77777777" w:rsidR="00702E0C" w:rsidRPr="007530E8" w:rsidRDefault="00702E0C" w:rsidP="00533BF6">
            <w:pPr>
              <w:widowControl/>
              <w:jc w:val="left"/>
              <w:rPr>
                <w:rFonts w:ascii="Times New Roman" w:hAnsi="Times New Roman" w:cs="Times New Roman"/>
                <w:bCs/>
                <w:i/>
                <w:kern w:val="0"/>
              </w:rPr>
            </w:pPr>
            <w:r w:rsidRPr="007530E8">
              <w:rPr>
                <w:rFonts w:ascii="Times New Roman" w:hAnsi="Times New Roman" w:cs="Times New Roman"/>
                <w:bCs/>
                <w:i/>
              </w:rPr>
              <w:t>I. Basic concepts</w:t>
            </w:r>
          </w:p>
        </w:tc>
      </w:tr>
      <w:tr w:rsidR="007530E8" w:rsidRPr="007530E8" w14:paraId="184200AA" w14:textId="77777777" w:rsidTr="00533BF6">
        <w:trPr>
          <w:trHeight w:val="65"/>
        </w:trPr>
        <w:tc>
          <w:tcPr>
            <w:tcW w:w="0" w:type="auto"/>
            <w:shd w:val="clear" w:color="auto" w:fill="auto"/>
            <w:noWrap/>
            <w:tcMar>
              <w:top w:w="15" w:type="dxa"/>
              <w:left w:w="15" w:type="dxa"/>
              <w:bottom w:w="0" w:type="dxa"/>
              <w:right w:w="15" w:type="dxa"/>
            </w:tcMar>
            <w:vAlign w:val="bottom"/>
            <w:hideMark/>
          </w:tcPr>
          <w:p w14:paraId="4F37DB98" w14:textId="77777777" w:rsidR="00702E0C" w:rsidRPr="007530E8" w:rsidRDefault="00702E0C" w:rsidP="00533BF6">
            <w:pPr>
              <w:rPr>
                <w:rFonts w:ascii="Times New Roman" w:hAnsi="Times New Roman" w:cs="Times New Roman"/>
                <w:b/>
                <w:bCs/>
              </w:rPr>
            </w:pPr>
          </w:p>
        </w:tc>
        <w:tc>
          <w:tcPr>
            <w:tcW w:w="8840" w:type="dxa"/>
            <w:gridSpan w:val="2"/>
            <w:shd w:val="clear" w:color="auto" w:fill="auto"/>
            <w:tcMar>
              <w:top w:w="15" w:type="dxa"/>
              <w:left w:w="15" w:type="dxa"/>
              <w:bottom w:w="0" w:type="dxa"/>
              <w:right w:w="15" w:type="dxa"/>
            </w:tcMar>
            <w:vAlign w:val="bottom"/>
            <w:hideMark/>
          </w:tcPr>
          <w:p w14:paraId="2CF042DE"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 xml:space="preserve">1. Diagnosis is made on the basis of the combination of the ocular findings in the early stage, clinical courses, and the virologic testing of intraocular fluids </w:t>
            </w:r>
          </w:p>
        </w:tc>
      </w:tr>
      <w:tr w:rsidR="007530E8" w:rsidRPr="007530E8" w14:paraId="64D4BD8F" w14:textId="77777777" w:rsidTr="00533BF6">
        <w:trPr>
          <w:trHeight w:val="65"/>
        </w:trPr>
        <w:tc>
          <w:tcPr>
            <w:tcW w:w="0" w:type="auto"/>
            <w:shd w:val="clear" w:color="auto" w:fill="auto"/>
            <w:noWrap/>
            <w:tcMar>
              <w:top w:w="15" w:type="dxa"/>
              <w:left w:w="15" w:type="dxa"/>
              <w:bottom w:w="0" w:type="dxa"/>
              <w:right w:w="15" w:type="dxa"/>
            </w:tcMar>
            <w:vAlign w:val="bottom"/>
            <w:hideMark/>
          </w:tcPr>
          <w:p w14:paraId="37202E35" w14:textId="77777777" w:rsidR="00702E0C" w:rsidRPr="007530E8" w:rsidRDefault="00702E0C" w:rsidP="00533BF6">
            <w:pPr>
              <w:rPr>
                <w:rFonts w:ascii="Times New Roman" w:hAnsi="Times New Roman" w:cs="Times New Roman"/>
              </w:rPr>
            </w:pPr>
          </w:p>
        </w:tc>
        <w:tc>
          <w:tcPr>
            <w:tcW w:w="8840" w:type="dxa"/>
            <w:gridSpan w:val="2"/>
            <w:shd w:val="clear" w:color="auto" w:fill="auto"/>
            <w:tcMar>
              <w:top w:w="15" w:type="dxa"/>
              <w:left w:w="15" w:type="dxa"/>
              <w:bottom w:w="0" w:type="dxa"/>
              <w:right w:w="15" w:type="dxa"/>
            </w:tcMar>
            <w:vAlign w:val="bottom"/>
            <w:hideMark/>
          </w:tcPr>
          <w:p w14:paraId="689986C9"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2. When early-stage ocular findings 1a and 1b are positive, acute retinal necrosis is strongly suspected, and virologic testing of the intraocular fluids and antiviral therapy are highly recommended</w:t>
            </w:r>
          </w:p>
        </w:tc>
      </w:tr>
      <w:tr w:rsidR="007530E8" w:rsidRPr="007530E8" w14:paraId="2F574B56" w14:textId="77777777" w:rsidTr="00533BF6">
        <w:trPr>
          <w:trHeight w:val="65"/>
        </w:trPr>
        <w:tc>
          <w:tcPr>
            <w:tcW w:w="0" w:type="auto"/>
            <w:shd w:val="clear" w:color="auto" w:fill="auto"/>
            <w:noWrap/>
            <w:tcMar>
              <w:top w:w="15" w:type="dxa"/>
              <w:left w:w="15" w:type="dxa"/>
              <w:bottom w:w="0" w:type="dxa"/>
              <w:right w:w="15" w:type="dxa"/>
            </w:tcMar>
            <w:vAlign w:val="bottom"/>
            <w:hideMark/>
          </w:tcPr>
          <w:p w14:paraId="50791068" w14:textId="77777777" w:rsidR="00702E0C" w:rsidRPr="007530E8" w:rsidRDefault="00702E0C" w:rsidP="00533BF6">
            <w:pPr>
              <w:rPr>
                <w:rFonts w:ascii="Times New Roman" w:hAnsi="Times New Roman" w:cs="Times New Roman"/>
              </w:rPr>
            </w:pPr>
          </w:p>
        </w:tc>
        <w:tc>
          <w:tcPr>
            <w:tcW w:w="8840" w:type="dxa"/>
            <w:gridSpan w:val="2"/>
            <w:shd w:val="clear" w:color="auto" w:fill="auto"/>
            <w:tcMar>
              <w:top w:w="15" w:type="dxa"/>
              <w:left w:w="15" w:type="dxa"/>
              <w:bottom w:w="0" w:type="dxa"/>
              <w:right w:w="15" w:type="dxa"/>
            </w:tcMar>
            <w:vAlign w:val="bottom"/>
            <w:hideMark/>
          </w:tcPr>
          <w:p w14:paraId="4F77507B"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3. The final diagnosis is determined on the basis of the subsequent clinical course and the virologic test results</w:t>
            </w:r>
          </w:p>
        </w:tc>
      </w:tr>
      <w:tr w:rsidR="007530E8" w:rsidRPr="007530E8" w14:paraId="7A058287" w14:textId="77777777" w:rsidTr="00533BF6">
        <w:trPr>
          <w:trHeight w:val="880"/>
        </w:trPr>
        <w:tc>
          <w:tcPr>
            <w:tcW w:w="0" w:type="auto"/>
            <w:shd w:val="clear" w:color="auto" w:fill="auto"/>
            <w:noWrap/>
            <w:tcMar>
              <w:top w:w="15" w:type="dxa"/>
              <w:left w:w="15" w:type="dxa"/>
              <w:bottom w:w="0" w:type="dxa"/>
              <w:right w:w="15" w:type="dxa"/>
            </w:tcMar>
            <w:vAlign w:val="bottom"/>
            <w:hideMark/>
          </w:tcPr>
          <w:p w14:paraId="42F1F51D" w14:textId="77777777" w:rsidR="00702E0C" w:rsidRPr="007530E8" w:rsidRDefault="00702E0C" w:rsidP="00533BF6">
            <w:pPr>
              <w:rPr>
                <w:rFonts w:ascii="Times New Roman" w:hAnsi="Times New Roman" w:cs="Times New Roman"/>
              </w:rPr>
            </w:pPr>
            <w:bookmarkStart w:id="0" w:name="_GoBack"/>
          </w:p>
        </w:tc>
        <w:tc>
          <w:tcPr>
            <w:tcW w:w="8840" w:type="dxa"/>
            <w:gridSpan w:val="2"/>
            <w:shd w:val="clear" w:color="auto" w:fill="auto"/>
            <w:tcMar>
              <w:top w:w="15" w:type="dxa"/>
              <w:left w:w="15" w:type="dxa"/>
              <w:bottom w:w="0" w:type="dxa"/>
              <w:right w:w="15" w:type="dxa"/>
            </w:tcMar>
            <w:vAlign w:val="bottom"/>
            <w:hideMark/>
          </w:tcPr>
          <w:p w14:paraId="57552F54"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4. Acute retinal necrosis usually occurs in immunocompetent individuals. In immunodeficient patients, it should be noted that in addition to the ocular symptoms or clinical courses described below, the ocular symptoms would vary</w:t>
            </w:r>
          </w:p>
        </w:tc>
      </w:tr>
      <w:bookmarkEnd w:id="0"/>
      <w:tr w:rsidR="007530E8" w:rsidRPr="007530E8" w14:paraId="3CEB51D3" w14:textId="77777777" w:rsidTr="00533BF6">
        <w:trPr>
          <w:trHeight w:val="55"/>
        </w:trPr>
        <w:tc>
          <w:tcPr>
            <w:tcW w:w="0" w:type="auto"/>
            <w:shd w:val="clear" w:color="auto" w:fill="auto"/>
            <w:noWrap/>
            <w:tcMar>
              <w:top w:w="15" w:type="dxa"/>
              <w:left w:w="15" w:type="dxa"/>
              <w:bottom w:w="0" w:type="dxa"/>
              <w:right w:w="15" w:type="dxa"/>
            </w:tcMar>
            <w:vAlign w:val="bottom"/>
            <w:hideMark/>
          </w:tcPr>
          <w:p w14:paraId="406D6D27"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4101519A" w14:textId="77777777" w:rsidR="00702E0C" w:rsidRPr="007530E8" w:rsidRDefault="00702E0C" w:rsidP="00533BF6">
            <w:pPr>
              <w:rPr>
                <w:rFonts w:ascii="Times New Roman" w:eastAsia="Times New Roman" w:hAnsi="Times New Roman" w:cs="Times New Roman"/>
              </w:rPr>
            </w:pPr>
          </w:p>
        </w:tc>
        <w:tc>
          <w:tcPr>
            <w:tcW w:w="8320" w:type="dxa"/>
            <w:shd w:val="clear" w:color="auto" w:fill="auto"/>
            <w:tcMar>
              <w:top w:w="15" w:type="dxa"/>
              <w:left w:w="15" w:type="dxa"/>
              <w:bottom w:w="0" w:type="dxa"/>
              <w:right w:w="15" w:type="dxa"/>
            </w:tcMar>
            <w:vAlign w:val="bottom"/>
            <w:hideMark/>
          </w:tcPr>
          <w:p w14:paraId="6AA45204" w14:textId="77777777" w:rsidR="00702E0C" w:rsidRPr="007530E8" w:rsidRDefault="00702E0C" w:rsidP="00533BF6">
            <w:pPr>
              <w:rPr>
                <w:rFonts w:ascii="Times New Roman" w:eastAsia="Times New Roman" w:hAnsi="Times New Roman" w:cs="Times New Roman"/>
              </w:rPr>
            </w:pPr>
          </w:p>
        </w:tc>
      </w:tr>
      <w:tr w:rsidR="007530E8" w:rsidRPr="007530E8" w14:paraId="101A61CE" w14:textId="77777777" w:rsidTr="00533BF6">
        <w:trPr>
          <w:trHeight w:val="65"/>
        </w:trPr>
        <w:tc>
          <w:tcPr>
            <w:tcW w:w="9420" w:type="dxa"/>
            <w:gridSpan w:val="3"/>
            <w:shd w:val="clear" w:color="auto" w:fill="auto"/>
            <w:tcMar>
              <w:top w:w="15" w:type="dxa"/>
              <w:left w:w="15" w:type="dxa"/>
              <w:bottom w:w="0" w:type="dxa"/>
              <w:right w:w="15" w:type="dxa"/>
            </w:tcMar>
            <w:vAlign w:val="bottom"/>
            <w:hideMark/>
          </w:tcPr>
          <w:p w14:paraId="2AAED47C" w14:textId="77777777" w:rsidR="00702E0C" w:rsidRPr="007530E8" w:rsidRDefault="00702E0C" w:rsidP="00533BF6">
            <w:pPr>
              <w:rPr>
                <w:rFonts w:ascii="Times New Roman" w:eastAsia="MS PGothic" w:hAnsi="Times New Roman" w:cs="Times New Roman"/>
                <w:bCs/>
                <w:i/>
              </w:rPr>
            </w:pPr>
            <w:r w:rsidRPr="007530E8">
              <w:rPr>
                <w:rFonts w:ascii="Times New Roman" w:hAnsi="Times New Roman" w:cs="Times New Roman"/>
                <w:bCs/>
                <w:i/>
              </w:rPr>
              <w:t>II. Diagnostic criteria</w:t>
            </w:r>
          </w:p>
        </w:tc>
      </w:tr>
      <w:tr w:rsidR="007530E8" w:rsidRPr="007530E8" w14:paraId="359463CE" w14:textId="77777777" w:rsidTr="00533BF6">
        <w:trPr>
          <w:trHeight w:val="65"/>
        </w:trPr>
        <w:tc>
          <w:tcPr>
            <w:tcW w:w="0" w:type="auto"/>
            <w:shd w:val="clear" w:color="auto" w:fill="auto"/>
            <w:noWrap/>
            <w:tcMar>
              <w:top w:w="15" w:type="dxa"/>
              <w:left w:w="15" w:type="dxa"/>
              <w:bottom w:w="0" w:type="dxa"/>
              <w:right w:w="15" w:type="dxa"/>
            </w:tcMar>
            <w:vAlign w:val="bottom"/>
            <w:hideMark/>
          </w:tcPr>
          <w:p w14:paraId="5F26DD9F" w14:textId="77777777" w:rsidR="00702E0C" w:rsidRPr="007530E8" w:rsidRDefault="00702E0C" w:rsidP="00533BF6">
            <w:pPr>
              <w:rPr>
                <w:rFonts w:ascii="Times New Roman" w:hAnsi="Times New Roman" w:cs="Times New Roman"/>
                <w:b/>
                <w:bCs/>
              </w:rPr>
            </w:pPr>
          </w:p>
        </w:tc>
        <w:tc>
          <w:tcPr>
            <w:tcW w:w="0" w:type="auto"/>
            <w:gridSpan w:val="2"/>
            <w:shd w:val="clear" w:color="auto" w:fill="auto"/>
            <w:noWrap/>
            <w:tcMar>
              <w:top w:w="15" w:type="dxa"/>
              <w:left w:w="15" w:type="dxa"/>
              <w:bottom w:w="0" w:type="dxa"/>
              <w:right w:w="15" w:type="dxa"/>
            </w:tcMar>
            <w:vAlign w:val="bottom"/>
            <w:hideMark/>
          </w:tcPr>
          <w:p w14:paraId="71110908" w14:textId="77777777" w:rsidR="00702E0C" w:rsidRPr="007530E8" w:rsidRDefault="00702E0C" w:rsidP="00533BF6">
            <w:pPr>
              <w:rPr>
                <w:rFonts w:ascii="Times New Roman" w:eastAsia="MS PGothic" w:hAnsi="Times New Roman" w:cs="Times New Roman"/>
                <w:bCs/>
              </w:rPr>
            </w:pPr>
            <w:r w:rsidRPr="007530E8">
              <w:rPr>
                <w:rFonts w:ascii="Times New Roman" w:hAnsi="Times New Roman" w:cs="Times New Roman"/>
                <w:bCs/>
              </w:rPr>
              <w:t>1. Ocular findings in the early stage</w:t>
            </w:r>
          </w:p>
        </w:tc>
      </w:tr>
      <w:tr w:rsidR="007530E8" w:rsidRPr="007530E8" w14:paraId="4819A4A2" w14:textId="77777777" w:rsidTr="00533BF6">
        <w:trPr>
          <w:trHeight w:val="65"/>
        </w:trPr>
        <w:tc>
          <w:tcPr>
            <w:tcW w:w="0" w:type="auto"/>
            <w:shd w:val="clear" w:color="auto" w:fill="auto"/>
            <w:noWrap/>
            <w:tcMar>
              <w:top w:w="15" w:type="dxa"/>
              <w:left w:w="15" w:type="dxa"/>
              <w:bottom w:w="0" w:type="dxa"/>
              <w:right w:w="15" w:type="dxa"/>
            </w:tcMar>
            <w:vAlign w:val="bottom"/>
            <w:hideMark/>
          </w:tcPr>
          <w:p w14:paraId="18C59EE5" w14:textId="77777777" w:rsidR="00702E0C" w:rsidRPr="007530E8" w:rsidRDefault="00702E0C" w:rsidP="00533BF6">
            <w:pPr>
              <w:rPr>
                <w:rFonts w:ascii="Times New Roman" w:hAnsi="Times New Roman" w:cs="Times New Roman"/>
                <w:b/>
                <w:bCs/>
              </w:rPr>
            </w:pPr>
          </w:p>
        </w:tc>
        <w:tc>
          <w:tcPr>
            <w:tcW w:w="0" w:type="auto"/>
            <w:shd w:val="clear" w:color="auto" w:fill="auto"/>
            <w:noWrap/>
            <w:tcMar>
              <w:top w:w="15" w:type="dxa"/>
              <w:left w:w="15" w:type="dxa"/>
              <w:bottom w:w="0" w:type="dxa"/>
              <w:right w:w="15" w:type="dxa"/>
            </w:tcMar>
            <w:vAlign w:val="bottom"/>
            <w:hideMark/>
          </w:tcPr>
          <w:p w14:paraId="706D6E7C"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31348D33" w14:textId="2D05CC0B"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1a. Anterior chamber cells or mutton-fat keratic precipitates</w:t>
            </w:r>
          </w:p>
        </w:tc>
      </w:tr>
      <w:tr w:rsidR="007530E8" w:rsidRPr="007530E8" w14:paraId="47C78231" w14:textId="77777777" w:rsidTr="00533BF6">
        <w:trPr>
          <w:trHeight w:val="65"/>
        </w:trPr>
        <w:tc>
          <w:tcPr>
            <w:tcW w:w="0" w:type="auto"/>
            <w:shd w:val="clear" w:color="auto" w:fill="auto"/>
            <w:noWrap/>
            <w:tcMar>
              <w:top w:w="15" w:type="dxa"/>
              <w:left w:w="15" w:type="dxa"/>
              <w:bottom w:w="0" w:type="dxa"/>
              <w:right w:w="15" w:type="dxa"/>
            </w:tcMar>
            <w:vAlign w:val="bottom"/>
            <w:hideMark/>
          </w:tcPr>
          <w:p w14:paraId="1ACDC328"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62C48303" w14:textId="77777777" w:rsidR="00702E0C" w:rsidRPr="007530E8" w:rsidRDefault="00702E0C" w:rsidP="00533BF6">
            <w:pPr>
              <w:rPr>
                <w:rFonts w:ascii="Times New Roman" w:eastAsia="Times New Roman" w:hAnsi="Times New Roman" w:cs="Times New Roman"/>
              </w:rPr>
            </w:pPr>
          </w:p>
        </w:tc>
        <w:tc>
          <w:tcPr>
            <w:tcW w:w="8320" w:type="dxa"/>
            <w:shd w:val="clear" w:color="auto" w:fill="auto"/>
            <w:tcMar>
              <w:top w:w="15" w:type="dxa"/>
              <w:left w:w="15" w:type="dxa"/>
              <w:bottom w:w="0" w:type="dxa"/>
              <w:right w:w="15" w:type="dxa"/>
            </w:tcMar>
            <w:vAlign w:val="bottom"/>
            <w:hideMark/>
          </w:tcPr>
          <w:p w14:paraId="27E2EDBF"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1b. Yellow-white lesion(s) in the peripheral retina (granular or patchy in the early stage, then gradually merging)</w:t>
            </w:r>
          </w:p>
        </w:tc>
      </w:tr>
      <w:tr w:rsidR="007530E8" w:rsidRPr="007530E8" w14:paraId="4FE3FD15" w14:textId="77777777" w:rsidTr="00533BF6">
        <w:trPr>
          <w:trHeight w:val="65"/>
        </w:trPr>
        <w:tc>
          <w:tcPr>
            <w:tcW w:w="0" w:type="auto"/>
            <w:shd w:val="clear" w:color="auto" w:fill="auto"/>
            <w:noWrap/>
            <w:tcMar>
              <w:top w:w="15" w:type="dxa"/>
              <w:left w:w="15" w:type="dxa"/>
              <w:bottom w:w="0" w:type="dxa"/>
              <w:right w:w="15" w:type="dxa"/>
            </w:tcMar>
            <w:vAlign w:val="bottom"/>
            <w:hideMark/>
          </w:tcPr>
          <w:p w14:paraId="4BDA686B"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14E4A9D0"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23535B58"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1c. Retinal arteritis</w:t>
            </w:r>
          </w:p>
        </w:tc>
      </w:tr>
      <w:tr w:rsidR="007530E8" w:rsidRPr="007530E8" w14:paraId="74737209" w14:textId="77777777" w:rsidTr="00533BF6">
        <w:trPr>
          <w:trHeight w:val="65"/>
        </w:trPr>
        <w:tc>
          <w:tcPr>
            <w:tcW w:w="0" w:type="auto"/>
            <w:shd w:val="clear" w:color="auto" w:fill="auto"/>
            <w:noWrap/>
            <w:tcMar>
              <w:top w:w="15" w:type="dxa"/>
              <w:left w:w="15" w:type="dxa"/>
              <w:bottom w:w="0" w:type="dxa"/>
              <w:right w:w="15" w:type="dxa"/>
            </w:tcMar>
            <w:vAlign w:val="bottom"/>
            <w:hideMark/>
          </w:tcPr>
          <w:p w14:paraId="7870FEB8"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21E8CEDC"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7B5484B1"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1d. Hyperemia of the optic disc</w:t>
            </w:r>
          </w:p>
        </w:tc>
      </w:tr>
      <w:tr w:rsidR="007530E8" w:rsidRPr="007530E8" w14:paraId="5965329D" w14:textId="77777777" w:rsidTr="00533BF6">
        <w:trPr>
          <w:trHeight w:val="65"/>
        </w:trPr>
        <w:tc>
          <w:tcPr>
            <w:tcW w:w="0" w:type="auto"/>
            <w:shd w:val="clear" w:color="auto" w:fill="auto"/>
            <w:noWrap/>
            <w:tcMar>
              <w:top w:w="15" w:type="dxa"/>
              <w:left w:w="15" w:type="dxa"/>
              <w:bottom w:w="0" w:type="dxa"/>
              <w:right w:w="15" w:type="dxa"/>
            </w:tcMar>
            <w:vAlign w:val="bottom"/>
            <w:hideMark/>
          </w:tcPr>
          <w:p w14:paraId="0BEAA74D"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4420FB55"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4056B4DC"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1e. Inflammatory vitreous opacities</w:t>
            </w:r>
          </w:p>
        </w:tc>
      </w:tr>
      <w:tr w:rsidR="007530E8" w:rsidRPr="007530E8" w14:paraId="20135267" w14:textId="77777777" w:rsidTr="00533BF6">
        <w:trPr>
          <w:trHeight w:val="65"/>
        </w:trPr>
        <w:tc>
          <w:tcPr>
            <w:tcW w:w="0" w:type="auto"/>
            <w:shd w:val="clear" w:color="auto" w:fill="auto"/>
            <w:noWrap/>
            <w:tcMar>
              <w:top w:w="15" w:type="dxa"/>
              <w:left w:w="15" w:type="dxa"/>
              <w:bottom w:w="0" w:type="dxa"/>
              <w:right w:w="15" w:type="dxa"/>
            </w:tcMar>
            <w:vAlign w:val="bottom"/>
            <w:hideMark/>
          </w:tcPr>
          <w:p w14:paraId="1A5390F2"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12EC5A93"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105B77E5"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1f. Elevated intraocular pressure</w:t>
            </w:r>
          </w:p>
        </w:tc>
      </w:tr>
      <w:tr w:rsidR="007530E8" w:rsidRPr="007530E8" w14:paraId="5A9B688D" w14:textId="77777777" w:rsidTr="00533BF6">
        <w:trPr>
          <w:trHeight w:val="55"/>
        </w:trPr>
        <w:tc>
          <w:tcPr>
            <w:tcW w:w="0" w:type="auto"/>
            <w:shd w:val="clear" w:color="auto" w:fill="auto"/>
            <w:noWrap/>
            <w:tcMar>
              <w:top w:w="15" w:type="dxa"/>
              <w:left w:w="15" w:type="dxa"/>
              <w:bottom w:w="0" w:type="dxa"/>
              <w:right w:w="15" w:type="dxa"/>
            </w:tcMar>
            <w:vAlign w:val="bottom"/>
            <w:hideMark/>
          </w:tcPr>
          <w:p w14:paraId="204CF477"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434B31CD"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36C264A2" w14:textId="77777777" w:rsidR="00702E0C" w:rsidRPr="007530E8" w:rsidRDefault="00702E0C" w:rsidP="00533BF6">
            <w:pPr>
              <w:rPr>
                <w:rFonts w:ascii="Times New Roman" w:eastAsia="Times New Roman" w:hAnsi="Times New Roman" w:cs="Times New Roman"/>
              </w:rPr>
            </w:pPr>
          </w:p>
        </w:tc>
      </w:tr>
      <w:tr w:rsidR="007530E8" w:rsidRPr="007530E8" w14:paraId="71F90A35" w14:textId="77777777" w:rsidTr="00533BF6">
        <w:trPr>
          <w:trHeight w:val="65"/>
        </w:trPr>
        <w:tc>
          <w:tcPr>
            <w:tcW w:w="0" w:type="auto"/>
            <w:shd w:val="clear" w:color="auto" w:fill="auto"/>
            <w:noWrap/>
            <w:tcMar>
              <w:top w:w="15" w:type="dxa"/>
              <w:left w:w="15" w:type="dxa"/>
              <w:bottom w:w="0" w:type="dxa"/>
              <w:right w:w="15" w:type="dxa"/>
            </w:tcMar>
            <w:vAlign w:val="bottom"/>
            <w:hideMark/>
          </w:tcPr>
          <w:p w14:paraId="1706D0ED" w14:textId="77777777" w:rsidR="00702E0C" w:rsidRPr="007530E8" w:rsidRDefault="00702E0C" w:rsidP="00533BF6">
            <w:pPr>
              <w:rPr>
                <w:rFonts w:ascii="Times New Roman" w:eastAsia="Times New Roman" w:hAnsi="Times New Roman" w:cs="Times New Roman"/>
              </w:rPr>
            </w:pPr>
          </w:p>
        </w:tc>
        <w:tc>
          <w:tcPr>
            <w:tcW w:w="0" w:type="auto"/>
            <w:gridSpan w:val="2"/>
            <w:shd w:val="clear" w:color="auto" w:fill="auto"/>
            <w:noWrap/>
            <w:tcMar>
              <w:top w:w="15" w:type="dxa"/>
              <w:left w:w="15" w:type="dxa"/>
              <w:bottom w:w="0" w:type="dxa"/>
              <w:right w:w="15" w:type="dxa"/>
            </w:tcMar>
            <w:vAlign w:val="bottom"/>
            <w:hideMark/>
          </w:tcPr>
          <w:p w14:paraId="7B89D68E" w14:textId="77777777" w:rsidR="00702E0C" w:rsidRPr="007530E8" w:rsidRDefault="00702E0C" w:rsidP="00533BF6">
            <w:pPr>
              <w:rPr>
                <w:rFonts w:ascii="Times New Roman" w:eastAsia="MS PGothic" w:hAnsi="Times New Roman" w:cs="Times New Roman"/>
                <w:bCs/>
              </w:rPr>
            </w:pPr>
            <w:r w:rsidRPr="007530E8">
              <w:rPr>
                <w:rFonts w:ascii="Times New Roman" w:hAnsi="Times New Roman" w:cs="Times New Roman"/>
                <w:bCs/>
              </w:rPr>
              <w:t>2. Clinical courses</w:t>
            </w:r>
          </w:p>
        </w:tc>
      </w:tr>
      <w:tr w:rsidR="007530E8" w:rsidRPr="007530E8" w14:paraId="6829DB8C" w14:textId="77777777" w:rsidTr="00533BF6">
        <w:trPr>
          <w:trHeight w:val="65"/>
        </w:trPr>
        <w:tc>
          <w:tcPr>
            <w:tcW w:w="0" w:type="auto"/>
            <w:shd w:val="clear" w:color="auto" w:fill="auto"/>
            <w:noWrap/>
            <w:tcMar>
              <w:top w:w="15" w:type="dxa"/>
              <w:left w:w="15" w:type="dxa"/>
              <w:bottom w:w="0" w:type="dxa"/>
              <w:right w:w="15" w:type="dxa"/>
            </w:tcMar>
            <w:vAlign w:val="bottom"/>
            <w:hideMark/>
          </w:tcPr>
          <w:p w14:paraId="7A098092" w14:textId="77777777" w:rsidR="00702E0C" w:rsidRPr="007530E8" w:rsidRDefault="00702E0C" w:rsidP="00533BF6">
            <w:pPr>
              <w:rPr>
                <w:rFonts w:ascii="Times New Roman" w:hAnsi="Times New Roman" w:cs="Times New Roman"/>
                <w:b/>
                <w:bCs/>
              </w:rPr>
            </w:pPr>
          </w:p>
        </w:tc>
        <w:tc>
          <w:tcPr>
            <w:tcW w:w="0" w:type="auto"/>
            <w:shd w:val="clear" w:color="auto" w:fill="auto"/>
            <w:noWrap/>
            <w:tcMar>
              <w:top w:w="15" w:type="dxa"/>
              <w:left w:w="15" w:type="dxa"/>
              <w:bottom w:w="0" w:type="dxa"/>
              <w:right w:w="15" w:type="dxa"/>
            </w:tcMar>
            <w:vAlign w:val="bottom"/>
            <w:hideMark/>
          </w:tcPr>
          <w:p w14:paraId="599661D7"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7934583C"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2a. Rapid expansion of retinal lesion(s) circumferentially</w:t>
            </w:r>
          </w:p>
        </w:tc>
      </w:tr>
      <w:tr w:rsidR="007530E8" w:rsidRPr="007530E8" w14:paraId="2F5FCBD9" w14:textId="77777777" w:rsidTr="00533BF6">
        <w:trPr>
          <w:trHeight w:val="65"/>
        </w:trPr>
        <w:tc>
          <w:tcPr>
            <w:tcW w:w="0" w:type="auto"/>
            <w:shd w:val="clear" w:color="auto" w:fill="auto"/>
            <w:noWrap/>
            <w:tcMar>
              <w:top w:w="15" w:type="dxa"/>
              <w:left w:w="15" w:type="dxa"/>
              <w:bottom w:w="0" w:type="dxa"/>
              <w:right w:w="15" w:type="dxa"/>
            </w:tcMar>
            <w:vAlign w:val="bottom"/>
            <w:hideMark/>
          </w:tcPr>
          <w:p w14:paraId="28D87D7A"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14526F37"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398145CE"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2b. Development of retinal break or retinal detachment</w:t>
            </w:r>
          </w:p>
        </w:tc>
      </w:tr>
      <w:tr w:rsidR="007530E8" w:rsidRPr="007530E8" w14:paraId="5C04F5A3" w14:textId="77777777" w:rsidTr="00533BF6">
        <w:trPr>
          <w:trHeight w:val="65"/>
        </w:trPr>
        <w:tc>
          <w:tcPr>
            <w:tcW w:w="0" w:type="auto"/>
            <w:shd w:val="clear" w:color="auto" w:fill="auto"/>
            <w:noWrap/>
            <w:tcMar>
              <w:top w:w="15" w:type="dxa"/>
              <w:left w:w="15" w:type="dxa"/>
              <w:bottom w:w="0" w:type="dxa"/>
              <w:right w:w="15" w:type="dxa"/>
            </w:tcMar>
            <w:vAlign w:val="bottom"/>
            <w:hideMark/>
          </w:tcPr>
          <w:p w14:paraId="091C1FC6"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16FB9D8A"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4DD769DC"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2c. Retinal vascular occlusion</w:t>
            </w:r>
          </w:p>
        </w:tc>
      </w:tr>
      <w:tr w:rsidR="007530E8" w:rsidRPr="007530E8" w14:paraId="5E1D9A5C" w14:textId="77777777" w:rsidTr="00533BF6">
        <w:trPr>
          <w:trHeight w:val="65"/>
        </w:trPr>
        <w:tc>
          <w:tcPr>
            <w:tcW w:w="0" w:type="auto"/>
            <w:shd w:val="clear" w:color="auto" w:fill="auto"/>
            <w:noWrap/>
            <w:tcMar>
              <w:top w:w="15" w:type="dxa"/>
              <w:left w:w="15" w:type="dxa"/>
              <w:bottom w:w="0" w:type="dxa"/>
              <w:right w:w="15" w:type="dxa"/>
            </w:tcMar>
            <w:vAlign w:val="bottom"/>
            <w:hideMark/>
          </w:tcPr>
          <w:p w14:paraId="45504A74"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34450E9F"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584EB25E"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2d. Optic atrophy</w:t>
            </w:r>
          </w:p>
        </w:tc>
      </w:tr>
      <w:tr w:rsidR="007530E8" w:rsidRPr="007530E8" w14:paraId="76B80617" w14:textId="77777777" w:rsidTr="00533BF6">
        <w:trPr>
          <w:trHeight w:val="65"/>
        </w:trPr>
        <w:tc>
          <w:tcPr>
            <w:tcW w:w="0" w:type="auto"/>
            <w:shd w:val="clear" w:color="auto" w:fill="auto"/>
            <w:noWrap/>
            <w:tcMar>
              <w:top w:w="15" w:type="dxa"/>
              <w:left w:w="15" w:type="dxa"/>
              <w:bottom w:w="0" w:type="dxa"/>
              <w:right w:w="15" w:type="dxa"/>
            </w:tcMar>
            <w:vAlign w:val="bottom"/>
            <w:hideMark/>
          </w:tcPr>
          <w:p w14:paraId="30B7AFF0"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11E54EFA"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2513768F"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2e. Response to antiviral agents</w:t>
            </w:r>
          </w:p>
        </w:tc>
      </w:tr>
      <w:tr w:rsidR="007530E8" w:rsidRPr="007530E8" w14:paraId="2CA1FB92" w14:textId="77777777" w:rsidTr="00533BF6">
        <w:trPr>
          <w:trHeight w:val="55"/>
        </w:trPr>
        <w:tc>
          <w:tcPr>
            <w:tcW w:w="0" w:type="auto"/>
            <w:shd w:val="clear" w:color="auto" w:fill="auto"/>
            <w:noWrap/>
            <w:tcMar>
              <w:top w:w="15" w:type="dxa"/>
              <w:left w:w="15" w:type="dxa"/>
              <w:bottom w:w="0" w:type="dxa"/>
              <w:right w:w="15" w:type="dxa"/>
            </w:tcMar>
            <w:vAlign w:val="bottom"/>
            <w:hideMark/>
          </w:tcPr>
          <w:p w14:paraId="0CCE9EC3"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6DAD62CC"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2FB422A6" w14:textId="77777777" w:rsidR="00702E0C" w:rsidRPr="007530E8" w:rsidRDefault="00702E0C" w:rsidP="00533BF6">
            <w:pPr>
              <w:rPr>
                <w:rFonts w:ascii="Times New Roman" w:eastAsia="Times New Roman" w:hAnsi="Times New Roman" w:cs="Times New Roman"/>
              </w:rPr>
            </w:pPr>
          </w:p>
        </w:tc>
      </w:tr>
      <w:tr w:rsidR="007530E8" w:rsidRPr="007530E8" w14:paraId="71CCC5D0" w14:textId="77777777" w:rsidTr="00533BF6">
        <w:trPr>
          <w:trHeight w:val="65"/>
        </w:trPr>
        <w:tc>
          <w:tcPr>
            <w:tcW w:w="0" w:type="auto"/>
            <w:shd w:val="clear" w:color="auto" w:fill="auto"/>
            <w:noWrap/>
            <w:tcMar>
              <w:top w:w="15" w:type="dxa"/>
              <w:left w:w="15" w:type="dxa"/>
              <w:bottom w:w="0" w:type="dxa"/>
              <w:right w:w="15" w:type="dxa"/>
            </w:tcMar>
            <w:vAlign w:val="bottom"/>
            <w:hideMark/>
          </w:tcPr>
          <w:p w14:paraId="5D3CCB88" w14:textId="77777777" w:rsidR="00702E0C" w:rsidRPr="007530E8" w:rsidRDefault="00702E0C" w:rsidP="00533BF6">
            <w:pPr>
              <w:rPr>
                <w:rFonts w:ascii="Times New Roman" w:eastAsia="Times New Roman" w:hAnsi="Times New Roman" w:cs="Times New Roman"/>
              </w:rPr>
            </w:pPr>
          </w:p>
        </w:tc>
        <w:tc>
          <w:tcPr>
            <w:tcW w:w="0" w:type="auto"/>
            <w:gridSpan w:val="2"/>
            <w:shd w:val="clear" w:color="auto" w:fill="auto"/>
            <w:noWrap/>
            <w:tcMar>
              <w:top w:w="15" w:type="dxa"/>
              <w:left w:w="15" w:type="dxa"/>
              <w:bottom w:w="0" w:type="dxa"/>
              <w:right w:w="15" w:type="dxa"/>
            </w:tcMar>
            <w:vAlign w:val="bottom"/>
            <w:hideMark/>
          </w:tcPr>
          <w:p w14:paraId="005902CB" w14:textId="77777777" w:rsidR="00702E0C" w:rsidRPr="007530E8" w:rsidRDefault="00702E0C" w:rsidP="00533BF6">
            <w:pPr>
              <w:rPr>
                <w:rFonts w:ascii="Times New Roman" w:eastAsia="MS PGothic" w:hAnsi="Times New Roman" w:cs="Times New Roman"/>
                <w:bCs/>
              </w:rPr>
            </w:pPr>
            <w:r w:rsidRPr="007530E8">
              <w:rPr>
                <w:rFonts w:ascii="Times New Roman" w:hAnsi="Times New Roman" w:cs="Times New Roman"/>
                <w:bCs/>
              </w:rPr>
              <w:t>3. Virologic testing of intraocular fluids</w:t>
            </w:r>
          </w:p>
        </w:tc>
      </w:tr>
      <w:tr w:rsidR="007530E8" w:rsidRPr="007530E8" w14:paraId="7DF3858F" w14:textId="77777777" w:rsidTr="00533BF6">
        <w:trPr>
          <w:trHeight w:val="55"/>
        </w:trPr>
        <w:tc>
          <w:tcPr>
            <w:tcW w:w="0" w:type="auto"/>
            <w:shd w:val="clear" w:color="auto" w:fill="auto"/>
            <w:noWrap/>
            <w:tcMar>
              <w:top w:w="15" w:type="dxa"/>
              <w:left w:w="15" w:type="dxa"/>
              <w:bottom w:w="0" w:type="dxa"/>
              <w:right w:w="15" w:type="dxa"/>
            </w:tcMar>
            <w:vAlign w:val="bottom"/>
            <w:hideMark/>
          </w:tcPr>
          <w:p w14:paraId="57CDB2E0" w14:textId="77777777" w:rsidR="00702E0C" w:rsidRPr="007530E8" w:rsidRDefault="00702E0C" w:rsidP="00533BF6">
            <w:pPr>
              <w:rPr>
                <w:rFonts w:ascii="Times New Roman" w:hAnsi="Times New Roman" w:cs="Times New Roman"/>
                <w:b/>
                <w:bCs/>
              </w:rPr>
            </w:pPr>
          </w:p>
        </w:tc>
        <w:tc>
          <w:tcPr>
            <w:tcW w:w="0" w:type="auto"/>
            <w:shd w:val="clear" w:color="auto" w:fill="auto"/>
            <w:noWrap/>
            <w:tcMar>
              <w:top w:w="15" w:type="dxa"/>
              <w:left w:w="15" w:type="dxa"/>
              <w:bottom w:w="0" w:type="dxa"/>
              <w:right w:w="15" w:type="dxa"/>
            </w:tcMar>
            <w:vAlign w:val="bottom"/>
            <w:hideMark/>
          </w:tcPr>
          <w:p w14:paraId="09541C69" w14:textId="77777777" w:rsidR="00702E0C" w:rsidRPr="007530E8" w:rsidRDefault="00702E0C" w:rsidP="00533BF6">
            <w:pPr>
              <w:rPr>
                <w:rFonts w:ascii="Times New Roman" w:eastAsia="Times New Roman" w:hAnsi="Times New Roman" w:cs="Times New Roman"/>
              </w:rPr>
            </w:pPr>
          </w:p>
        </w:tc>
        <w:tc>
          <w:tcPr>
            <w:tcW w:w="8320" w:type="dxa"/>
            <w:shd w:val="clear" w:color="auto" w:fill="auto"/>
            <w:tcMar>
              <w:top w:w="15" w:type="dxa"/>
              <w:left w:w="15" w:type="dxa"/>
              <w:bottom w:w="0" w:type="dxa"/>
              <w:right w:w="15" w:type="dxa"/>
            </w:tcMar>
            <w:vAlign w:val="bottom"/>
            <w:hideMark/>
          </w:tcPr>
          <w:p w14:paraId="7AD2A43C"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Positive by either PCR or Goldmann-Witmer coefficient for HSV-1, HSV-2, or VZV</w:t>
            </w:r>
          </w:p>
        </w:tc>
      </w:tr>
      <w:tr w:rsidR="007530E8" w:rsidRPr="007530E8" w14:paraId="5933AA9D" w14:textId="77777777" w:rsidTr="00533BF6">
        <w:trPr>
          <w:trHeight w:val="65"/>
        </w:trPr>
        <w:tc>
          <w:tcPr>
            <w:tcW w:w="0" w:type="auto"/>
            <w:shd w:val="clear" w:color="auto" w:fill="auto"/>
            <w:noWrap/>
            <w:tcMar>
              <w:top w:w="15" w:type="dxa"/>
              <w:left w:w="15" w:type="dxa"/>
              <w:bottom w:w="0" w:type="dxa"/>
              <w:right w:w="15" w:type="dxa"/>
            </w:tcMar>
            <w:vAlign w:val="bottom"/>
            <w:hideMark/>
          </w:tcPr>
          <w:p w14:paraId="0257B138"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793664F7" w14:textId="77777777" w:rsidR="00702E0C" w:rsidRPr="007530E8" w:rsidRDefault="00702E0C" w:rsidP="00533BF6">
            <w:pPr>
              <w:rPr>
                <w:rFonts w:ascii="Times New Roman" w:eastAsia="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36CC5DB5" w14:textId="77777777" w:rsidR="00702E0C" w:rsidRPr="007530E8" w:rsidRDefault="00702E0C" w:rsidP="00533BF6">
            <w:pPr>
              <w:rPr>
                <w:rFonts w:ascii="Times New Roman" w:eastAsia="Times New Roman" w:hAnsi="Times New Roman" w:cs="Times New Roman"/>
              </w:rPr>
            </w:pPr>
          </w:p>
        </w:tc>
      </w:tr>
      <w:tr w:rsidR="007530E8" w:rsidRPr="007530E8" w14:paraId="65863134" w14:textId="77777777" w:rsidTr="00533BF6">
        <w:trPr>
          <w:trHeight w:val="300"/>
        </w:trPr>
        <w:tc>
          <w:tcPr>
            <w:tcW w:w="0" w:type="auto"/>
            <w:gridSpan w:val="3"/>
            <w:shd w:val="clear" w:color="auto" w:fill="auto"/>
            <w:noWrap/>
            <w:tcMar>
              <w:top w:w="15" w:type="dxa"/>
              <w:left w:w="15" w:type="dxa"/>
              <w:bottom w:w="0" w:type="dxa"/>
              <w:right w:w="15" w:type="dxa"/>
            </w:tcMar>
            <w:vAlign w:val="bottom"/>
            <w:hideMark/>
          </w:tcPr>
          <w:p w14:paraId="2E253C47" w14:textId="77777777" w:rsidR="00702E0C" w:rsidRPr="007530E8" w:rsidRDefault="00702E0C" w:rsidP="00533BF6">
            <w:pPr>
              <w:rPr>
                <w:rFonts w:ascii="Times New Roman" w:eastAsia="MS PGothic" w:hAnsi="Times New Roman" w:cs="Times New Roman"/>
                <w:bCs/>
                <w:i/>
              </w:rPr>
            </w:pPr>
            <w:r w:rsidRPr="007530E8">
              <w:rPr>
                <w:rFonts w:ascii="Times New Roman" w:hAnsi="Times New Roman" w:cs="Times New Roman"/>
                <w:bCs/>
                <w:i/>
              </w:rPr>
              <w:t>III. Classification</w:t>
            </w:r>
          </w:p>
        </w:tc>
      </w:tr>
      <w:tr w:rsidR="007530E8" w:rsidRPr="007530E8" w14:paraId="50AB19A9" w14:textId="77777777" w:rsidTr="00533BF6">
        <w:trPr>
          <w:trHeight w:val="300"/>
        </w:trPr>
        <w:tc>
          <w:tcPr>
            <w:tcW w:w="0" w:type="auto"/>
            <w:shd w:val="clear" w:color="auto" w:fill="auto"/>
            <w:noWrap/>
            <w:tcMar>
              <w:top w:w="15" w:type="dxa"/>
              <w:left w:w="15" w:type="dxa"/>
              <w:bottom w:w="0" w:type="dxa"/>
              <w:right w:w="15" w:type="dxa"/>
            </w:tcMar>
            <w:vAlign w:val="bottom"/>
            <w:hideMark/>
          </w:tcPr>
          <w:p w14:paraId="681A87AE" w14:textId="77777777" w:rsidR="00702E0C" w:rsidRPr="007530E8" w:rsidRDefault="00702E0C" w:rsidP="00533BF6">
            <w:pPr>
              <w:rPr>
                <w:rFonts w:ascii="Times New Roman" w:hAnsi="Times New Roman" w:cs="Times New Roman"/>
                <w:b/>
                <w:bCs/>
              </w:rPr>
            </w:pPr>
          </w:p>
        </w:tc>
        <w:tc>
          <w:tcPr>
            <w:tcW w:w="0" w:type="auto"/>
            <w:gridSpan w:val="2"/>
            <w:shd w:val="clear" w:color="auto" w:fill="auto"/>
            <w:noWrap/>
            <w:tcMar>
              <w:top w:w="15" w:type="dxa"/>
              <w:left w:w="15" w:type="dxa"/>
              <w:bottom w:w="0" w:type="dxa"/>
              <w:right w:w="15" w:type="dxa"/>
            </w:tcMar>
            <w:vAlign w:val="bottom"/>
            <w:hideMark/>
          </w:tcPr>
          <w:p w14:paraId="5CD41EB6"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(1) Virus-confirmed acute retinal necrosis</w:t>
            </w:r>
          </w:p>
        </w:tc>
      </w:tr>
      <w:tr w:rsidR="007530E8" w:rsidRPr="007530E8" w14:paraId="4BB700D6" w14:textId="77777777" w:rsidTr="00533BF6">
        <w:trPr>
          <w:trHeight w:val="640"/>
        </w:trPr>
        <w:tc>
          <w:tcPr>
            <w:tcW w:w="0" w:type="auto"/>
            <w:shd w:val="clear" w:color="auto" w:fill="auto"/>
            <w:noWrap/>
            <w:tcMar>
              <w:top w:w="15" w:type="dxa"/>
              <w:left w:w="15" w:type="dxa"/>
              <w:bottom w:w="0" w:type="dxa"/>
              <w:right w:w="15" w:type="dxa"/>
            </w:tcMar>
            <w:vAlign w:val="bottom"/>
            <w:hideMark/>
          </w:tcPr>
          <w:p w14:paraId="4F0457AA" w14:textId="77777777" w:rsidR="00702E0C" w:rsidRPr="007530E8" w:rsidRDefault="00702E0C" w:rsidP="00533BF6">
            <w:pPr>
              <w:rPr>
                <w:rFonts w:ascii="Times New Roman" w:hAnsi="Times New Roman" w:cs="Times New Roman"/>
              </w:rPr>
            </w:pPr>
          </w:p>
        </w:tc>
        <w:tc>
          <w:tcPr>
            <w:tcW w:w="0" w:type="auto"/>
            <w:shd w:val="clear" w:color="auto" w:fill="auto"/>
            <w:noWrap/>
            <w:tcMar>
              <w:top w:w="15" w:type="dxa"/>
              <w:left w:w="15" w:type="dxa"/>
              <w:bottom w:w="0" w:type="dxa"/>
              <w:right w:w="15" w:type="dxa"/>
            </w:tcMar>
            <w:vAlign w:val="bottom"/>
            <w:hideMark/>
          </w:tcPr>
          <w:p w14:paraId="74A3E47B" w14:textId="77777777" w:rsidR="00702E0C" w:rsidRPr="007530E8" w:rsidRDefault="00702E0C" w:rsidP="00533BF6">
            <w:pPr>
              <w:rPr>
                <w:rFonts w:ascii="Times New Roman" w:eastAsia="Times New Roman" w:hAnsi="Times New Roman" w:cs="Times New Roman"/>
              </w:rPr>
            </w:pPr>
          </w:p>
        </w:tc>
        <w:tc>
          <w:tcPr>
            <w:tcW w:w="8320" w:type="dxa"/>
            <w:shd w:val="clear" w:color="auto" w:fill="auto"/>
            <w:tcMar>
              <w:top w:w="15" w:type="dxa"/>
              <w:left w:w="15" w:type="dxa"/>
              <w:bottom w:w="0" w:type="dxa"/>
              <w:right w:w="15" w:type="dxa"/>
            </w:tcMar>
            <w:vAlign w:val="bottom"/>
            <w:hideMark/>
          </w:tcPr>
          <w:p w14:paraId="4E8126B6"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Presence of ocular findings 1a and 1b, presence of any 1 of the 5 clinical courses, and a positive virologic test result</w:t>
            </w:r>
          </w:p>
        </w:tc>
      </w:tr>
      <w:tr w:rsidR="007530E8" w:rsidRPr="007530E8" w14:paraId="16B53C7C" w14:textId="77777777" w:rsidTr="00ED1351">
        <w:trPr>
          <w:trHeight w:val="300"/>
        </w:trPr>
        <w:tc>
          <w:tcPr>
            <w:tcW w:w="0" w:type="auto"/>
            <w:tcBorders>
              <w:bottom w:val="nil"/>
            </w:tcBorders>
            <w:shd w:val="clear" w:color="auto" w:fill="auto"/>
            <w:noWrap/>
            <w:tcMar>
              <w:top w:w="15" w:type="dxa"/>
              <w:left w:w="15" w:type="dxa"/>
              <w:bottom w:w="0" w:type="dxa"/>
              <w:right w:w="15" w:type="dxa"/>
            </w:tcMar>
            <w:vAlign w:val="bottom"/>
            <w:hideMark/>
          </w:tcPr>
          <w:p w14:paraId="46A80116" w14:textId="77777777" w:rsidR="00702E0C" w:rsidRPr="007530E8" w:rsidRDefault="00702E0C" w:rsidP="00533BF6">
            <w:pPr>
              <w:rPr>
                <w:rFonts w:ascii="Times New Roman" w:hAnsi="Times New Roman" w:cs="Times New Roman"/>
              </w:rPr>
            </w:pPr>
          </w:p>
        </w:tc>
        <w:tc>
          <w:tcPr>
            <w:tcW w:w="0" w:type="auto"/>
            <w:gridSpan w:val="2"/>
            <w:tcBorders>
              <w:bottom w:val="nil"/>
            </w:tcBorders>
            <w:shd w:val="clear" w:color="auto" w:fill="auto"/>
            <w:noWrap/>
            <w:tcMar>
              <w:top w:w="15" w:type="dxa"/>
              <w:left w:w="15" w:type="dxa"/>
              <w:bottom w:w="0" w:type="dxa"/>
              <w:right w:w="15" w:type="dxa"/>
            </w:tcMar>
            <w:vAlign w:val="bottom"/>
            <w:hideMark/>
          </w:tcPr>
          <w:p w14:paraId="363E7FAF" w14:textId="77777777" w:rsidR="00702E0C" w:rsidRPr="007530E8" w:rsidRDefault="00702E0C" w:rsidP="00533BF6">
            <w:pPr>
              <w:rPr>
                <w:rFonts w:ascii="Times New Roman" w:eastAsia="MS PGothic" w:hAnsi="Times New Roman" w:cs="Times New Roman"/>
              </w:rPr>
            </w:pPr>
            <w:r w:rsidRPr="007530E8">
              <w:rPr>
                <w:rFonts w:ascii="Times New Roman" w:hAnsi="Times New Roman" w:cs="Times New Roman"/>
              </w:rPr>
              <w:t>(2) Virus-unconfirmed acute retinal necrosis</w:t>
            </w:r>
          </w:p>
        </w:tc>
      </w:tr>
      <w:tr w:rsidR="00702E0C" w:rsidRPr="007530E8" w14:paraId="4FFF0D4E" w14:textId="77777777" w:rsidTr="00ED1351">
        <w:trPr>
          <w:trHeight w:val="1747"/>
        </w:trPr>
        <w:tc>
          <w:tcPr>
            <w:tcW w:w="0" w:type="auto"/>
            <w:tcBorders>
              <w:top w:val="nil"/>
              <w:bottom w:val="nil"/>
            </w:tcBorders>
            <w:shd w:val="clear" w:color="auto" w:fill="auto"/>
            <w:noWrap/>
            <w:tcMar>
              <w:top w:w="15" w:type="dxa"/>
              <w:left w:w="15" w:type="dxa"/>
              <w:bottom w:w="0" w:type="dxa"/>
              <w:right w:w="15" w:type="dxa"/>
            </w:tcMar>
            <w:vAlign w:val="bottom"/>
            <w:hideMark/>
          </w:tcPr>
          <w:p w14:paraId="41DE27B4" w14:textId="77777777" w:rsidR="00702E0C" w:rsidRPr="007530E8" w:rsidRDefault="00702E0C" w:rsidP="00533BF6">
            <w:pPr>
              <w:rPr>
                <w:rFonts w:ascii="Times New Roman" w:hAnsi="Times New Roman" w:cs="Times New Roman"/>
              </w:rPr>
            </w:pPr>
            <w:r w:rsidRPr="007530E8">
              <w:rPr>
                <w:rFonts w:ascii="Times New Roman" w:hAnsi="Times New Roman" w:cs="Times New Roman"/>
              </w:rPr>
              <w:lastRenderedPageBreak/>
              <w:t xml:space="preserve">　</w:t>
            </w:r>
          </w:p>
        </w:tc>
        <w:tc>
          <w:tcPr>
            <w:tcW w:w="0" w:type="auto"/>
            <w:tcBorders>
              <w:top w:val="nil"/>
              <w:bottom w:val="nil"/>
            </w:tcBorders>
            <w:shd w:val="clear" w:color="auto" w:fill="auto"/>
            <w:noWrap/>
            <w:tcMar>
              <w:top w:w="15" w:type="dxa"/>
              <w:left w:w="15" w:type="dxa"/>
              <w:bottom w:w="0" w:type="dxa"/>
              <w:right w:w="15" w:type="dxa"/>
            </w:tcMar>
            <w:vAlign w:val="bottom"/>
            <w:hideMark/>
          </w:tcPr>
          <w:p w14:paraId="02A60940" w14:textId="77777777" w:rsidR="00702E0C" w:rsidRPr="007530E8" w:rsidRDefault="00702E0C" w:rsidP="00533BF6">
            <w:pPr>
              <w:rPr>
                <w:rFonts w:ascii="Times New Roman" w:hAnsi="Times New Roman" w:cs="Times New Roman"/>
              </w:rPr>
            </w:pPr>
            <w:r w:rsidRPr="007530E8">
              <w:rPr>
                <w:rFonts w:ascii="Times New Roman" w:hAnsi="Times New Roman" w:cs="Times New Roman"/>
              </w:rPr>
              <w:t xml:space="preserve">　</w:t>
            </w:r>
          </w:p>
        </w:tc>
        <w:tc>
          <w:tcPr>
            <w:tcW w:w="8320" w:type="dxa"/>
            <w:tcBorders>
              <w:top w:val="nil"/>
              <w:bottom w:val="nil"/>
            </w:tcBorders>
            <w:shd w:val="clear" w:color="auto" w:fill="auto"/>
            <w:tcMar>
              <w:top w:w="15" w:type="dxa"/>
              <w:left w:w="15" w:type="dxa"/>
              <w:bottom w:w="0" w:type="dxa"/>
              <w:right w:w="15" w:type="dxa"/>
            </w:tcMar>
            <w:vAlign w:val="bottom"/>
            <w:hideMark/>
          </w:tcPr>
          <w:p w14:paraId="36BD7C18" w14:textId="77777777" w:rsidR="00702E0C" w:rsidRPr="007530E8" w:rsidRDefault="00702E0C" w:rsidP="00533BF6">
            <w:pPr>
              <w:rPr>
                <w:rFonts w:ascii="Times New Roman" w:hAnsi="Times New Roman" w:cs="Times New Roman"/>
              </w:rPr>
            </w:pPr>
            <w:r w:rsidRPr="007530E8">
              <w:rPr>
                <w:rFonts w:ascii="Times New Roman" w:hAnsi="Times New Roman" w:cs="Times New Roman"/>
              </w:rPr>
              <w:t>Presence of 4 of the 6 ocular findings including 1a and 1b, presence of any 2 of the 5 clinical courses, and a negative virologic test result or when virologic testing has not been performed</w:t>
            </w:r>
          </w:p>
          <w:p w14:paraId="1E4E8621" w14:textId="77777777" w:rsidR="00702E0C" w:rsidRPr="007530E8" w:rsidRDefault="00702E0C" w:rsidP="00533BF6">
            <w:pPr>
              <w:rPr>
                <w:rFonts w:ascii="Times New Roman" w:hAnsi="Times New Roman" w:cs="Times New Roman"/>
              </w:rPr>
            </w:pPr>
          </w:p>
          <w:p w14:paraId="457C6F90" w14:textId="77777777" w:rsidR="00702E0C" w:rsidRPr="007530E8" w:rsidRDefault="00702E0C" w:rsidP="00ED1351">
            <w:pPr>
              <w:pBdr>
                <w:top w:val="single" w:sz="4" w:space="1" w:color="auto"/>
              </w:pBdr>
              <w:rPr>
                <w:rFonts w:ascii="Times New Roman" w:hAnsi="Times New Roman" w:cs="Times New Roman"/>
              </w:rPr>
            </w:pPr>
            <w:r w:rsidRPr="007530E8">
              <w:rPr>
                <w:rFonts w:ascii="Times New Roman" w:hAnsi="Times New Roman" w:cs="Times New Roman" w:hint="eastAsia"/>
              </w:rPr>
              <w:t>A</w:t>
            </w:r>
            <w:r w:rsidRPr="007530E8">
              <w:rPr>
                <w:rFonts w:ascii="Times New Roman" w:hAnsi="Times New Roman" w:cs="Times New Roman"/>
              </w:rPr>
              <w:t>RN = acute retina necrosis; HSV = herpes simplex virus; PCR = polymerase chain reaction; VZV = varicella zoster virus</w:t>
            </w:r>
          </w:p>
          <w:p w14:paraId="51D0BD68" w14:textId="051C7C45" w:rsidR="00702E0C" w:rsidRPr="007530E8" w:rsidRDefault="00702E0C" w:rsidP="00ED1351">
            <w:pPr>
              <w:pBdr>
                <w:top w:val="single" w:sz="4" w:space="1" w:color="auto"/>
              </w:pBdr>
              <w:rPr>
                <w:rFonts w:ascii="Times New Roman" w:hAnsi="Times New Roman" w:cs="Times New Roman"/>
              </w:rPr>
            </w:pPr>
            <w:r w:rsidRPr="007530E8">
              <w:rPr>
                <w:rFonts w:ascii="Times New Roman" w:hAnsi="Times New Roman" w:cs="Times New Roman"/>
              </w:rPr>
              <w:t xml:space="preserve">*Reproduced from </w:t>
            </w:r>
            <w:r w:rsidRPr="007530E8">
              <w:rPr>
                <w:rFonts w:ascii="Times New Roman" w:eastAsia="MS Gothic" w:hAnsi="Times New Roman" w:cs="Times New Roman"/>
                <w:kern w:val="0"/>
                <w:szCs w:val="21"/>
              </w:rPr>
              <w:t xml:space="preserve">reference </w:t>
            </w:r>
            <w:r w:rsidR="00096C1E" w:rsidRPr="007530E8">
              <w:rPr>
                <w:rFonts w:ascii="Times New Roman" w:eastAsia="MS Gothic" w:hAnsi="Times New Roman" w:cs="Times New Roman"/>
                <w:kern w:val="0"/>
                <w:szCs w:val="21"/>
              </w:rPr>
              <w:t>13</w:t>
            </w:r>
            <w:r w:rsidRPr="007530E8">
              <w:rPr>
                <w:rFonts w:ascii="Times New Roman" w:eastAsia="MS Gothic" w:hAnsi="Times New Roman" w:cs="Times New Roman"/>
                <w:kern w:val="0"/>
                <w:szCs w:val="21"/>
              </w:rPr>
              <w:t xml:space="preserve"> with permission.</w:t>
            </w:r>
          </w:p>
        </w:tc>
      </w:tr>
    </w:tbl>
    <w:p w14:paraId="06AE50F7" w14:textId="77777777" w:rsidR="00702E0C" w:rsidRPr="007530E8" w:rsidRDefault="00702E0C" w:rsidP="00702E0C">
      <w:pPr>
        <w:widowControl/>
        <w:jc w:val="left"/>
        <w:rPr>
          <w:rFonts w:ascii="Times New Roman" w:hAnsi="Times New Roman" w:cs="Times New Roman"/>
        </w:rPr>
      </w:pPr>
    </w:p>
    <w:p w14:paraId="6864CF39" w14:textId="77777777" w:rsidR="00A83A8D" w:rsidRPr="007530E8" w:rsidRDefault="00A83A8D">
      <w:pPr>
        <w:rPr>
          <w:rFonts w:ascii="Times New Roman" w:hAnsi="Times New Roman" w:cs="Times New Roman"/>
          <w:sz w:val="20"/>
          <w:szCs w:val="20"/>
        </w:rPr>
      </w:pPr>
    </w:p>
    <w:sectPr w:rsidR="00A83A8D" w:rsidRPr="007530E8" w:rsidSect="008D258D">
      <w:headerReference w:type="even" r:id="rId6"/>
      <w:headerReference w:type="default" r:id="rId7"/>
      <w:footerReference w:type="even" r:id="rId8"/>
      <w:footerReference w:type="default" r:id="rId9"/>
      <w:headerReference w:type="first" r:id="rId10"/>
      <w:footerReference w:type="first" r:id="rId11"/>
      <w:pgSz w:w="12240" w:h="15840"/>
      <w:pgMar w:top="1985"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D2024" w14:textId="77777777" w:rsidR="000C7939" w:rsidRDefault="000C7939" w:rsidP="00D81901">
      <w:r>
        <w:separator/>
      </w:r>
    </w:p>
  </w:endnote>
  <w:endnote w:type="continuationSeparator" w:id="0">
    <w:p w14:paraId="4A3D14A9" w14:textId="77777777" w:rsidR="000C7939" w:rsidRDefault="000C7939" w:rsidP="00D81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1FB87" w14:textId="77777777" w:rsidR="00D81901" w:rsidRDefault="00D819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76F70" w14:textId="3E93D1CA" w:rsidR="00D81901" w:rsidRDefault="007530E8">
    <w:pPr>
      <w:pStyle w:val="Footer"/>
    </w:pPr>
    <w:r>
      <w:rPr>
        <w:noProof/>
      </w:rPr>
      <mc:AlternateContent>
        <mc:Choice Requires="wps">
          <w:drawing>
            <wp:anchor distT="0" distB="0" distL="114300" distR="114300" simplePos="0" relativeHeight="251659264" behindDoc="0" locked="0" layoutInCell="0" allowOverlap="1" wp14:anchorId="47E41763" wp14:editId="7717A57A">
              <wp:simplePos x="0" y="0"/>
              <wp:positionH relativeFrom="page">
                <wp:posOffset>0</wp:posOffset>
              </wp:positionH>
              <wp:positionV relativeFrom="page">
                <wp:posOffset>9601200</wp:posOffset>
              </wp:positionV>
              <wp:extent cx="7772400" cy="266700"/>
              <wp:effectExtent l="0" t="0" r="0" b="0"/>
              <wp:wrapNone/>
              <wp:docPr id="1" name="MSIPCMd2354044bf8999c0dfca3405" descr="{&quot;HashCode&quot;:15615934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AA9236" w14:textId="22813722" w:rsidR="007530E8" w:rsidRPr="007530E8" w:rsidRDefault="007530E8" w:rsidP="007530E8">
                          <w:pPr>
                            <w:jc w:val="left"/>
                            <w:rPr>
                              <w:rFonts w:ascii="Rockwell" w:hAnsi="Rockwell"/>
                              <w:color w:val="0078D7"/>
                              <w:sz w:val="18"/>
                            </w:rPr>
                          </w:pPr>
                          <w:r w:rsidRPr="007530E8">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7E41763" id="_x0000_t202" coordsize="21600,21600" o:spt="202" path="m,l,21600r21600,l21600,xe">
              <v:stroke joinstyle="miter"/>
              <v:path gradientshapeok="t" o:connecttype="rect"/>
            </v:shapetype>
            <v:shape id="MSIPCMd2354044bf8999c0dfca3405" o:spid="_x0000_s1026" type="#_x0000_t202" alt="{&quot;HashCode&quot;:1561593418,&quot;Height&quot;:792.0,&quot;Width&quot;:612.0,&quot;Placement&quot;:&quot;Footer&quot;,&quot;Index&quot;:&quot;Primary&quot;,&quot;Section&quot;:1,&quot;Top&quot;:0.0,&quot;Left&quot;:0.0}" style="position:absolute;left:0;text-align:left;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" o:allowincell="f" filled="f" stroked="f" strokeweight=".5pt">
              <v:fill o:detectmouseclick="t"/>
              <v:textbox inset="20pt,0,,0">
                <w:txbxContent>
                  <w:p w14:paraId="69AA9236" w14:textId="22813722" w:rsidR="007530E8" w:rsidRPr="007530E8" w:rsidRDefault="007530E8" w:rsidP="007530E8">
                    <w:pPr>
                      <w:jc w:val="left"/>
                      <w:rPr>
                        <w:rFonts w:ascii="Rockwell" w:hAnsi="Rockwell"/>
                        <w:color w:val="0078D7"/>
                        <w:sz w:val="18"/>
                      </w:rPr>
                    </w:pPr>
                    <w:r w:rsidRPr="007530E8">
                      <w:rPr>
                        <w:rFonts w:ascii="Rockwell" w:hAnsi="Rockwell"/>
                        <w:color w:val="0078D7"/>
                        <w:sz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892B4" w14:textId="77777777" w:rsidR="00D81901" w:rsidRDefault="00D819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BD97F" w14:textId="77777777" w:rsidR="000C7939" w:rsidRDefault="000C7939" w:rsidP="00D81901">
      <w:r>
        <w:separator/>
      </w:r>
    </w:p>
  </w:footnote>
  <w:footnote w:type="continuationSeparator" w:id="0">
    <w:p w14:paraId="473C9106" w14:textId="77777777" w:rsidR="000C7939" w:rsidRDefault="000C7939" w:rsidP="00D81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6CB69" w14:textId="77777777" w:rsidR="00D81901" w:rsidRDefault="00D819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1628485"/>
      <w:docPartObj>
        <w:docPartGallery w:val="Watermarks"/>
        <w:docPartUnique/>
      </w:docPartObj>
    </w:sdtPr>
    <w:sdtEndPr/>
    <w:sdtContent>
      <w:p w14:paraId="6F2FF0A4" w14:textId="77777777" w:rsidR="00D81901" w:rsidRDefault="000C7939">
        <w:pPr>
          <w:pStyle w:val="Header"/>
        </w:pPr>
        <w:r>
          <w:rPr>
            <w:noProof/>
            <w:lang w:eastAsia="zh-TW"/>
          </w:rPr>
          <w:pict w14:anchorId="133DC1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alt="" style="position:absolute;left:0;text-align:left;margin-left:0;margin-top:0;width:527.85pt;height:131.95pt;rotation:315;z-index:-251658752;visibility:hidden;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CONFIDENTIAL"/>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E014D" w14:textId="77777777" w:rsidR="00D81901" w:rsidRDefault="00D819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bordersDoNotSurroundHeader/>
  <w:bordersDoNotSurroundFooter/>
  <w:defaultTabStop w:val="720"/>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01"/>
    <w:rsid w:val="00036504"/>
    <w:rsid w:val="000377F1"/>
    <w:rsid w:val="000538D4"/>
    <w:rsid w:val="00096C1E"/>
    <w:rsid w:val="000C7939"/>
    <w:rsid w:val="00101BC6"/>
    <w:rsid w:val="0010450F"/>
    <w:rsid w:val="00117DE3"/>
    <w:rsid w:val="00145D4F"/>
    <w:rsid w:val="002A721F"/>
    <w:rsid w:val="003371B2"/>
    <w:rsid w:val="00337C93"/>
    <w:rsid w:val="0040291E"/>
    <w:rsid w:val="004517B0"/>
    <w:rsid w:val="00516EB2"/>
    <w:rsid w:val="00521A6E"/>
    <w:rsid w:val="005C3F59"/>
    <w:rsid w:val="005D0438"/>
    <w:rsid w:val="00603BD5"/>
    <w:rsid w:val="00675685"/>
    <w:rsid w:val="00676B32"/>
    <w:rsid w:val="006C6704"/>
    <w:rsid w:val="006C7F1E"/>
    <w:rsid w:val="00702E0C"/>
    <w:rsid w:val="00750A03"/>
    <w:rsid w:val="007530E8"/>
    <w:rsid w:val="00777923"/>
    <w:rsid w:val="00784CE7"/>
    <w:rsid w:val="0079640B"/>
    <w:rsid w:val="007A5D01"/>
    <w:rsid w:val="00854CF9"/>
    <w:rsid w:val="0085651C"/>
    <w:rsid w:val="0088046D"/>
    <w:rsid w:val="008D258D"/>
    <w:rsid w:val="00954C4C"/>
    <w:rsid w:val="00964E6C"/>
    <w:rsid w:val="00975237"/>
    <w:rsid w:val="009B0336"/>
    <w:rsid w:val="00A83A8D"/>
    <w:rsid w:val="00AF4901"/>
    <w:rsid w:val="00AF560F"/>
    <w:rsid w:val="00B9106C"/>
    <w:rsid w:val="00BE523D"/>
    <w:rsid w:val="00C2557B"/>
    <w:rsid w:val="00D81901"/>
    <w:rsid w:val="00D90310"/>
    <w:rsid w:val="00DA412F"/>
    <w:rsid w:val="00ED1351"/>
    <w:rsid w:val="00EF1075"/>
    <w:rsid w:val="00EF5A80"/>
    <w:rsid w:val="00F2297B"/>
    <w:rsid w:val="00F61EF4"/>
    <w:rsid w:val="00FA6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4:docId w14:val="5FDB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901"/>
    <w:pPr>
      <w:widowControl w:val="0"/>
      <w:spacing w:after="0" w:line="240" w:lineRule="auto"/>
      <w:jc w:val="both"/>
    </w:pPr>
    <w:rPr>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901"/>
    <w:pPr>
      <w:tabs>
        <w:tab w:val="center" w:pos="4419"/>
        <w:tab w:val="right" w:pos="8838"/>
      </w:tabs>
    </w:pPr>
  </w:style>
  <w:style w:type="character" w:customStyle="1" w:styleId="HeaderChar">
    <w:name w:val="Header Char"/>
    <w:basedOn w:val="DefaultParagraphFont"/>
    <w:link w:val="Header"/>
    <w:uiPriority w:val="99"/>
    <w:rsid w:val="00D81901"/>
    <w:rPr>
      <w:kern w:val="2"/>
      <w:sz w:val="24"/>
      <w:szCs w:val="24"/>
    </w:rPr>
  </w:style>
  <w:style w:type="paragraph" w:styleId="Footer">
    <w:name w:val="footer"/>
    <w:basedOn w:val="Normal"/>
    <w:link w:val="FooterChar"/>
    <w:uiPriority w:val="99"/>
    <w:unhideWhenUsed/>
    <w:rsid w:val="00D81901"/>
    <w:pPr>
      <w:tabs>
        <w:tab w:val="center" w:pos="4419"/>
        <w:tab w:val="right" w:pos="8838"/>
      </w:tabs>
    </w:pPr>
  </w:style>
  <w:style w:type="character" w:customStyle="1" w:styleId="FooterChar">
    <w:name w:val="Footer Char"/>
    <w:basedOn w:val="DefaultParagraphFont"/>
    <w:link w:val="Footer"/>
    <w:uiPriority w:val="99"/>
    <w:rsid w:val="00D81901"/>
    <w:rPr>
      <w:kern w:val="2"/>
      <w:sz w:val="24"/>
      <w:szCs w:val="24"/>
    </w:rPr>
  </w:style>
  <w:style w:type="paragraph" w:styleId="BalloonText">
    <w:name w:val="Balloon Text"/>
    <w:basedOn w:val="Normal"/>
    <w:link w:val="BalloonTextChar"/>
    <w:uiPriority w:val="99"/>
    <w:semiHidden/>
    <w:unhideWhenUsed/>
    <w:rsid w:val="00D81901"/>
    <w:rPr>
      <w:rFonts w:ascii="Tahoma" w:hAnsi="Tahoma" w:cs="Tahoma"/>
      <w:sz w:val="16"/>
      <w:szCs w:val="16"/>
    </w:rPr>
  </w:style>
  <w:style w:type="character" w:customStyle="1" w:styleId="BalloonTextChar">
    <w:name w:val="Balloon Text Char"/>
    <w:basedOn w:val="DefaultParagraphFont"/>
    <w:link w:val="BalloonText"/>
    <w:uiPriority w:val="99"/>
    <w:semiHidden/>
    <w:rsid w:val="00D81901"/>
    <w:rPr>
      <w:rFonts w:ascii="Tahoma" w:hAnsi="Tahoma" w:cs="Tahoma"/>
      <w:kern w:val="2"/>
      <w:sz w:val="16"/>
      <w:szCs w:val="16"/>
    </w:rPr>
  </w:style>
  <w:style w:type="paragraph" w:styleId="NormalWeb">
    <w:name w:val="Normal (Web)"/>
    <w:basedOn w:val="Normal"/>
    <w:uiPriority w:val="99"/>
    <w:semiHidden/>
    <w:unhideWhenUsed/>
    <w:rsid w:val="00784CE7"/>
    <w:pPr>
      <w:widowControl/>
      <w:spacing w:before="100" w:beforeAutospacing="1" w:after="100" w:afterAutospacing="1"/>
      <w:jc w:val="left"/>
    </w:pPr>
    <w:rPr>
      <w:rFonts w:ascii="MS PGothic" w:eastAsia="MS PGothic" w:hAnsi="MS PGothic" w:cs="MS PGothic"/>
      <w:kern w:val="0"/>
    </w:rPr>
  </w:style>
  <w:style w:type="character" w:styleId="Hyperlink">
    <w:name w:val="Hyperlink"/>
    <w:basedOn w:val="DefaultParagraphFont"/>
    <w:uiPriority w:val="99"/>
    <w:unhideWhenUsed/>
    <w:rsid w:val="00145D4F"/>
    <w:rPr>
      <w:color w:val="0000FF" w:themeColor="hyperlink"/>
      <w:u w:val="single"/>
    </w:rPr>
  </w:style>
  <w:style w:type="character" w:customStyle="1" w:styleId="UnresolvedMention1">
    <w:name w:val="Unresolved Mention1"/>
    <w:basedOn w:val="DefaultParagraphFont"/>
    <w:uiPriority w:val="99"/>
    <w:semiHidden/>
    <w:unhideWhenUsed/>
    <w:rsid w:val="00145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026948">
      <w:bodyDiv w:val="1"/>
      <w:marLeft w:val="0"/>
      <w:marRight w:val="0"/>
      <w:marTop w:val="0"/>
      <w:marBottom w:val="0"/>
      <w:divBdr>
        <w:top w:val="none" w:sz="0" w:space="0" w:color="auto"/>
        <w:left w:val="none" w:sz="0" w:space="0" w:color="auto"/>
        <w:bottom w:val="none" w:sz="0" w:space="0" w:color="auto"/>
        <w:right w:val="none" w:sz="0" w:space="0" w:color="auto"/>
      </w:divBdr>
    </w:div>
    <w:div w:id="20108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1872</Characters>
  <Application>Microsoft Office Word</Application>
  <DocSecurity>0</DocSecurity>
  <PresentationFormat/>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2020-06-23T13:26:00Z</dcterms:created>
  <dcterms:modified xsi:type="dcterms:W3CDTF">2020-10-16T13:20:00Z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81c070e-054b-4d1c-ba4c-fc70b099192e_Enabled">
    <vt:lpwstr>True</vt:lpwstr>
  </property>
  <property fmtid="{D5CDD505-2E9C-101B-9397-08002B2CF9AE}" pid="3" name="MSIP_Label_181c070e-054b-4d1c-ba4c-fc70b099192e_SiteId">
    <vt:lpwstr>2567d566-604c-408a-8a60-55d0dc9d9d6b</vt:lpwstr>
  </property>
  <property fmtid="{D5CDD505-2E9C-101B-9397-08002B2CF9AE}" pid="4" name="MSIP_Label_181c070e-054b-4d1c-ba4c-fc70b099192e_Owner">
    <vt:lpwstr>Eliza.Norrell@informa.com</vt:lpwstr>
  </property>
  <property fmtid="{D5CDD505-2E9C-101B-9397-08002B2CF9AE}" pid="5" name="MSIP_Label_181c070e-054b-4d1c-ba4c-fc70b099192e_SetDate">
    <vt:lpwstr>2020-10-16T13:20:19.8567867Z</vt:lpwstr>
  </property>
  <property fmtid="{D5CDD505-2E9C-101B-9397-08002B2CF9AE}" pid="6" name="MSIP_Label_181c070e-054b-4d1c-ba4c-fc70b099192e_Name">
    <vt:lpwstr>General</vt:lpwstr>
  </property>
  <property fmtid="{D5CDD505-2E9C-101B-9397-08002B2CF9AE}" pid="7" name="MSIP_Label_181c070e-054b-4d1c-ba4c-fc70b099192e_Application">
    <vt:lpwstr>Microsoft Azure Information Protection</vt:lpwstr>
  </property>
  <property fmtid="{D5CDD505-2E9C-101B-9397-08002B2CF9AE}" pid="8" name="MSIP_Label_181c070e-054b-4d1c-ba4c-fc70b099192e_ActionId">
    <vt:lpwstr>2e2347a3-3c3c-4add-84ec-36757b85b7bb</vt:lpwstr>
  </property>
  <property fmtid="{D5CDD505-2E9C-101B-9397-08002B2CF9AE}" pid="9" name="MSIP_Label_181c070e-054b-4d1c-ba4c-fc70b099192e_Extended_MSFT_Method">
    <vt:lpwstr>Automatic</vt:lpwstr>
  </property>
  <property fmtid="{D5CDD505-2E9C-101B-9397-08002B2CF9AE}" pid="10" name="MSIP_Label_2bbab825-a111-45e4-86a1-18cee0005896_Enabled">
    <vt:lpwstr>True</vt:lpwstr>
  </property>
  <property fmtid="{D5CDD505-2E9C-101B-9397-08002B2CF9AE}" pid="11" name="MSIP_Label_2bbab825-a111-45e4-86a1-18cee0005896_SiteId">
    <vt:lpwstr>2567d566-604c-408a-8a60-55d0dc9d9d6b</vt:lpwstr>
  </property>
  <property fmtid="{D5CDD505-2E9C-101B-9397-08002B2CF9AE}" pid="12" name="MSIP_Label_2bbab825-a111-45e4-86a1-18cee0005896_Owner">
    <vt:lpwstr>Eliza.Norrell@informa.com</vt:lpwstr>
  </property>
  <property fmtid="{D5CDD505-2E9C-101B-9397-08002B2CF9AE}" pid="13" name="MSIP_Label_2bbab825-a111-45e4-86a1-18cee0005896_SetDate">
    <vt:lpwstr>2020-10-16T13:20:19.8567867Z</vt:lpwstr>
  </property>
  <property fmtid="{D5CDD505-2E9C-101B-9397-08002B2CF9AE}" pid="14" name="MSIP_Label_2bbab825-a111-45e4-86a1-18cee0005896_Name">
    <vt:lpwstr>Un-restricted</vt:lpwstr>
  </property>
  <property fmtid="{D5CDD505-2E9C-101B-9397-08002B2CF9AE}" pid="15" name="MSIP_Label_2bbab825-a111-45e4-86a1-18cee0005896_Application">
    <vt:lpwstr>Microsoft Azure Information Protection</vt:lpwstr>
  </property>
  <property fmtid="{D5CDD505-2E9C-101B-9397-08002B2CF9AE}" pid="16" name="MSIP_Label_2bbab825-a111-45e4-86a1-18cee0005896_ActionId">
    <vt:lpwstr>2e2347a3-3c3c-4add-84ec-36757b85b7bb</vt:lpwstr>
  </property>
  <property fmtid="{D5CDD505-2E9C-101B-9397-08002B2CF9AE}" pid="17" name="MSIP_Label_2bbab825-a111-45e4-86a1-18cee0005896_Parent">
    <vt:lpwstr>181c070e-054b-4d1c-ba4c-fc70b099192e</vt:lpwstr>
  </property>
  <property fmtid="{D5CDD505-2E9C-101B-9397-08002B2CF9AE}" pid="18" name="MSIP_Label_2bbab825-a111-45e4-86a1-18cee0005896_Extended_MSFT_Method">
    <vt:lpwstr>Automatic</vt:lpwstr>
  </property>
  <property fmtid="{D5CDD505-2E9C-101B-9397-08002B2CF9AE}" pid="19" name="Sensitivity">
    <vt:lpwstr>General Un-restricted</vt:lpwstr>
  </property>
</Properties>
</file>