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6" w:type="dxa"/>
        <w:tblInd w:w="93" w:type="dxa"/>
        <w:tblLook w:val="04A0"/>
      </w:tblPr>
      <w:tblGrid>
        <w:gridCol w:w="1244"/>
        <w:gridCol w:w="4801"/>
        <w:gridCol w:w="767"/>
        <w:gridCol w:w="987"/>
        <w:gridCol w:w="1515"/>
        <w:gridCol w:w="1232"/>
      </w:tblGrid>
      <w:tr w:rsidR="00356667" w:rsidRPr="00C66297" w:rsidTr="00FD15AE">
        <w:trPr>
          <w:trHeight w:val="600"/>
        </w:trPr>
        <w:tc>
          <w:tcPr>
            <w:tcW w:w="10546" w:type="dxa"/>
            <w:gridSpan w:val="6"/>
            <w:shd w:val="clear" w:color="auto" w:fill="auto"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Table S5: Top ten up- and down- regulated genes showing alternative splicing in thrombin treated HMVEC Cells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356667" w:rsidRPr="00C66297" w:rsidTr="00FD15AE">
        <w:trPr>
          <w:trHeight w:val="602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Gene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Description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Chr.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Fold</w:t>
            </w:r>
            <w:r w:rsidRPr="00C66297">
              <w:rPr>
                <w:rFonts w:ascii="Arial" w:eastAsia="Times New Roman" w:hAnsi="Arial" w:cs="Arial"/>
              </w:rPr>
              <w:br/>
              <w:t>Change</w:t>
            </w:r>
          </w:p>
        </w:tc>
        <w:tc>
          <w:tcPr>
            <w:tcW w:w="1515" w:type="dxa"/>
            <w:shd w:val="clear" w:color="auto" w:fill="auto"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Splicing</w:t>
            </w:r>
            <w:r w:rsidRPr="00C66297">
              <w:rPr>
                <w:rFonts w:ascii="Arial" w:eastAsia="Times New Roman" w:hAnsi="Arial" w:cs="Arial"/>
              </w:rPr>
              <w:br/>
              <w:t>p-value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Significant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PCDHA1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protocadherin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alpha 1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chr5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94.23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PCDHA11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66297">
              <w:rPr>
                <w:rFonts w:ascii="Arial" w:eastAsia="Times New Roman" w:hAnsi="Arial" w:cs="Arial"/>
              </w:rPr>
              <w:t>protocadherin</w:t>
            </w:r>
            <w:proofErr w:type="spellEnd"/>
            <w:r w:rsidRPr="00C66297">
              <w:rPr>
                <w:rFonts w:ascii="Arial" w:eastAsia="Times New Roman" w:hAnsi="Arial" w:cs="Arial"/>
              </w:rPr>
              <w:t xml:space="preserve"> alpha 11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chr5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58.50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57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NR4A1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nuclear receptor subfamily 4,</w:t>
            </w:r>
            <w:r w:rsidRPr="00C66297">
              <w:rPr>
                <w:rFonts w:ascii="Arial" w:eastAsia="Times New Roman" w:hAnsi="Arial" w:cs="Arial"/>
              </w:rPr>
              <w:br/>
              <w:t>group A, member 1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chr12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6.11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2.44886E-09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PCDHA3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protocadherin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alpha 3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chr5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5.92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PCDHA10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protocadherin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alpha 10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chr5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5.26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IL34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interleukin 34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chr16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4.12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5.86234E-07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CLDN14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claudin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14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chr21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3.64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0.00028195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792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SLC7A2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solute carrier family 7</w:t>
            </w:r>
            <w:r w:rsidRPr="00C66297">
              <w:rPr>
                <w:rFonts w:ascii="Arial" w:eastAsia="Times New Roman" w:hAnsi="Arial" w:cs="Arial"/>
                <w:color w:val="000000"/>
              </w:rPr>
              <w:br/>
              <w:t xml:space="preserve">(cationic amino acid transporter, y+ system), </w:t>
            </w:r>
            <w:r w:rsidRPr="00C66297">
              <w:rPr>
                <w:rFonts w:ascii="Arial" w:eastAsia="Times New Roman" w:hAnsi="Arial" w:cs="Arial"/>
                <w:color w:val="000000"/>
              </w:rPr>
              <w:br/>
              <w:t>member 2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chr8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2.93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0.0103523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FNDC5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fibronectin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type III domain containing 5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chr1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2.77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0.000146986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CSF3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colony stimulating factor 3 (granulocyte)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chr17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2.59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0.00143392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ACRV1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proofErr w:type="spellStart"/>
            <w:r w:rsidRPr="00C66297">
              <w:rPr>
                <w:rFonts w:ascii="Arial" w:eastAsia="Times New Roman" w:hAnsi="Arial" w:cs="Arial"/>
              </w:rPr>
              <w:t>acrosomal</w:t>
            </w:r>
            <w:proofErr w:type="spellEnd"/>
            <w:r w:rsidRPr="00C66297">
              <w:rPr>
                <w:rFonts w:ascii="Arial" w:eastAsia="Times New Roman" w:hAnsi="Arial" w:cs="Arial"/>
              </w:rPr>
              <w:t xml:space="preserve"> vesicle protein 1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chr11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-46.53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CD37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CD37 molecule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chr19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-16.32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FMR1-AS1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FMR1 antisense RNA 1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chrX</w:t>
            </w:r>
            <w:proofErr w:type="spellEnd"/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-12.97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IDI2-AS1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IDI2 antisense RNA 1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chr10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-8.88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2.84015E-07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PCDHA12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protocadherin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alpha 12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chr5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-6.46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ZNF83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zinc finger protein 83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chr19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-6.12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0.00966847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PCDHA6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protocadherin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alpha 6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chr5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-6.10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RIF1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RAP1 interacting factor homolog (yeast)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chr2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-6.04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GUCY1A3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guanylate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cyclase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1, soluble, alpha 3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chr4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-5.71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2.80E-11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</w:rPr>
            </w:pPr>
            <w:r w:rsidRPr="00C66297">
              <w:rPr>
                <w:rFonts w:ascii="Arial" w:eastAsia="Times New Roman" w:hAnsi="Arial" w:cs="Arial"/>
                <w:i/>
                <w:color w:val="000000"/>
              </w:rPr>
              <w:t>GUCY1A3</w:t>
            </w: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guanylate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cyclase</w:t>
            </w:r>
            <w:proofErr w:type="spellEnd"/>
            <w:r w:rsidRPr="00C66297">
              <w:rPr>
                <w:rFonts w:ascii="Arial" w:eastAsia="Times New Roman" w:hAnsi="Arial" w:cs="Arial"/>
                <w:color w:val="000000"/>
              </w:rPr>
              <w:t xml:space="preserve"> 1, soluble, alpha 3</w:t>
            </w: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chr4</w:t>
            </w: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-5.71</w:t>
            </w: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8.88E-15</w:t>
            </w: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yes</w:t>
            </w:r>
          </w:p>
        </w:tc>
      </w:tr>
      <w:tr w:rsidR="00356667" w:rsidRPr="00C66297" w:rsidTr="00FD15AE">
        <w:trPr>
          <w:trHeight w:val="300"/>
        </w:trPr>
        <w:tc>
          <w:tcPr>
            <w:tcW w:w="1244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801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76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987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15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32" w:type="dxa"/>
            <w:shd w:val="clear" w:color="auto" w:fill="auto"/>
            <w:noWrap/>
            <w:vAlign w:val="center"/>
            <w:hideMark/>
          </w:tcPr>
          <w:p w:rsidR="00356667" w:rsidRPr="00C66297" w:rsidRDefault="00356667" w:rsidP="00FD15AE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</w:tbl>
    <w:p w:rsidR="00A915EA" w:rsidRDefault="00A915EA"/>
    <w:sectPr w:rsidR="00A915EA" w:rsidSect="00A91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356667"/>
    <w:rsid w:val="00206308"/>
    <w:rsid w:val="00356667"/>
    <w:rsid w:val="00A91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667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Company>CMH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Shui Qing Ye</dc:creator>
  <cp:lastModifiedBy>Shui Qing Ye</cp:lastModifiedBy>
  <cp:revision>1</cp:revision>
  <dcterms:created xsi:type="dcterms:W3CDTF">2012-01-18T16:04:00Z</dcterms:created>
  <dcterms:modified xsi:type="dcterms:W3CDTF">2012-01-18T16:05:00Z</dcterms:modified>
</cp:coreProperties>
</file>