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280BBC" w14:textId="77777777" w:rsidR="00D712A9" w:rsidRPr="00D712A9" w:rsidRDefault="00D712A9" w:rsidP="00D712A9">
      <w:pPr>
        <w:spacing w:after="0" w:line="480" w:lineRule="auto"/>
        <w:rPr>
          <w:rFonts w:ascii="Arial" w:hAnsi="Arial" w:cs="Arial"/>
          <w:b/>
          <w:bCs/>
          <w:sz w:val="24"/>
          <w:szCs w:val="24"/>
        </w:rPr>
      </w:pPr>
      <w:r w:rsidRPr="00D712A9">
        <w:rPr>
          <w:rFonts w:ascii="Arial" w:hAnsi="Arial" w:cs="Arial"/>
          <w:b/>
          <w:bCs/>
          <w:sz w:val="24"/>
          <w:szCs w:val="24"/>
        </w:rPr>
        <w:t xml:space="preserve">Supplemental Table. Rare sequence variants (RSVs) in GnRH-associated genes identified in HA women and controls. </w:t>
      </w:r>
    </w:p>
    <w:p w14:paraId="02ED5D83" w14:textId="633E000A" w:rsidR="00FF2F22" w:rsidRDefault="00D712A9" w:rsidP="00D712A9">
      <w:pPr>
        <w:spacing w:after="0" w:line="480" w:lineRule="auto"/>
        <w:rPr>
          <w:rFonts w:ascii="Arial" w:hAnsi="Arial" w:cs="Arial"/>
          <w:sz w:val="24"/>
          <w:szCs w:val="24"/>
        </w:rPr>
      </w:pPr>
      <w:proofErr w:type="spellStart"/>
      <w:r w:rsidRPr="00EE3B15">
        <w:rPr>
          <w:rFonts w:ascii="Arial" w:hAnsi="Arial" w:cs="Arial"/>
          <w:sz w:val="24"/>
          <w:szCs w:val="24"/>
        </w:rPr>
        <w:t>Chrom</w:t>
      </w:r>
      <w:proofErr w:type="spellEnd"/>
      <w:r w:rsidRPr="00EE3B15">
        <w:rPr>
          <w:rFonts w:ascii="Arial" w:hAnsi="Arial" w:cs="Arial"/>
          <w:sz w:val="24"/>
          <w:szCs w:val="24"/>
        </w:rPr>
        <w:t xml:space="preserve">, chromosome; Ref, reference allele; Alt, alternate allele; Low conf, low confidence. </w:t>
      </w:r>
      <w:proofErr w:type="spellStart"/>
      <w:r w:rsidRPr="00B8644F">
        <w:rPr>
          <w:rFonts w:ascii="Arial" w:hAnsi="Arial" w:cs="Arial"/>
          <w:i/>
          <w:sz w:val="24"/>
          <w:szCs w:val="24"/>
          <w:vertAlign w:val="superscript"/>
        </w:rPr>
        <w:t>a</w:t>
      </w:r>
      <w:r w:rsidRPr="00EE3B15">
        <w:rPr>
          <w:rFonts w:ascii="Arial" w:hAnsi="Arial" w:cs="Arial"/>
          <w:sz w:val="24"/>
          <w:szCs w:val="24"/>
        </w:rPr>
        <w:t>See</w:t>
      </w:r>
      <w:proofErr w:type="spellEnd"/>
      <w:r w:rsidRPr="00EE3B15">
        <w:rPr>
          <w:rFonts w:ascii="Arial" w:hAnsi="Arial" w:cs="Arial"/>
          <w:sz w:val="24"/>
          <w:szCs w:val="24"/>
        </w:rPr>
        <w:t xml:space="preserve"> Supplemental References. </w:t>
      </w:r>
      <w:proofErr w:type="spellStart"/>
      <w:r w:rsidRPr="00B8644F">
        <w:rPr>
          <w:rFonts w:ascii="Arial" w:hAnsi="Arial" w:cs="Arial"/>
          <w:i/>
          <w:sz w:val="24"/>
          <w:szCs w:val="24"/>
          <w:vertAlign w:val="superscript"/>
        </w:rPr>
        <w:t>b</w:t>
      </w:r>
      <w:r w:rsidRPr="00EE3B15">
        <w:rPr>
          <w:rFonts w:ascii="Arial" w:hAnsi="Arial" w:cs="Arial"/>
          <w:sz w:val="24"/>
          <w:szCs w:val="24"/>
        </w:rPr>
        <w:t>Participant</w:t>
      </w:r>
      <w:proofErr w:type="spellEnd"/>
      <w:r w:rsidRPr="00EE3B15">
        <w:rPr>
          <w:rFonts w:ascii="Arial" w:hAnsi="Arial" w:cs="Arial"/>
          <w:sz w:val="24"/>
          <w:szCs w:val="24"/>
        </w:rPr>
        <w:t xml:space="preserve"> and mutation previously reported; </w:t>
      </w:r>
      <w:proofErr w:type="spellStart"/>
      <w:r>
        <w:rPr>
          <w:rFonts w:ascii="Arial" w:hAnsi="Arial" w:cs="Arial"/>
          <w:sz w:val="24"/>
          <w:szCs w:val="24"/>
          <w:vertAlign w:val="superscript"/>
        </w:rPr>
        <w:t>c</w:t>
      </w:r>
      <w:r w:rsidRPr="00EE3B15">
        <w:rPr>
          <w:rFonts w:ascii="Arial" w:hAnsi="Arial" w:cs="Arial"/>
          <w:sz w:val="24"/>
          <w:szCs w:val="24"/>
        </w:rPr>
        <w:t>variant</w:t>
      </w:r>
      <w:proofErr w:type="spellEnd"/>
      <w:r w:rsidRPr="00EE3B15">
        <w:rPr>
          <w:rFonts w:ascii="Arial" w:hAnsi="Arial" w:cs="Arial"/>
          <w:sz w:val="24"/>
          <w:szCs w:val="24"/>
        </w:rPr>
        <w:t xml:space="preserve"> identified in a participant previously reported as mutation negative; </w:t>
      </w:r>
      <w:proofErr w:type="spellStart"/>
      <w:r>
        <w:rPr>
          <w:rFonts w:ascii="Arial" w:hAnsi="Arial" w:cs="Arial"/>
          <w:sz w:val="24"/>
          <w:szCs w:val="24"/>
          <w:vertAlign w:val="superscript"/>
        </w:rPr>
        <w:t>d</w:t>
      </w:r>
      <w:r w:rsidRPr="00EE3B15">
        <w:rPr>
          <w:rFonts w:ascii="Arial" w:hAnsi="Arial" w:cs="Arial"/>
          <w:sz w:val="24"/>
          <w:szCs w:val="24"/>
        </w:rPr>
        <w:t>variant</w:t>
      </w:r>
      <w:proofErr w:type="spellEnd"/>
      <w:r w:rsidRPr="00EE3B15">
        <w:rPr>
          <w:rFonts w:ascii="Arial" w:hAnsi="Arial" w:cs="Arial"/>
          <w:sz w:val="24"/>
          <w:szCs w:val="24"/>
        </w:rPr>
        <w:t xml:space="preserve"> identified in a participant previously reported with a heterozygous </w:t>
      </w:r>
      <w:r w:rsidRPr="00EE3B15">
        <w:rPr>
          <w:rFonts w:ascii="Arial" w:hAnsi="Arial" w:cs="Arial"/>
          <w:i/>
          <w:sz w:val="24"/>
          <w:szCs w:val="24"/>
        </w:rPr>
        <w:t>ANOS1</w:t>
      </w:r>
      <w:r w:rsidRPr="00EE3B15">
        <w:rPr>
          <w:rFonts w:ascii="Arial" w:hAnsi="Arial" w:cs="Arial"/>
          <w:sz w:val="24"/>
          <w:szCs w:val="24"/>
        </w:rPr>
        <w:t xml:space="preserve"> RSV</w:t>
      </w:r>
      <w:r>
        <w:rPr>
          <w:rFonts w:ascii="Arial" w:hAnsi="Arial" w:cs="Arial"/>
          <w:sz w:val="24"/>
          <w:szCs w:val="24"/>
        </w:rPr>
        <w:t>;</w:t>
      </w:r>
      <w:r>
        <w:rPr>
          <w:rFonts w:ascii="Arial" w:hAnsi="Arial" w:cs="Arial"/>
          <w:sz w:val="24"/>
          <w:szCs w:val="24"/>
        </w:rPr>
        <w:fldChar w:fldCharType="begin">
          <w:fldData xml:space="preserve">PEVuZE5vdGU+PENpdGU+PEF1dGhvcj5DYXJvbmlhPC9BdXRob3I+PFllYXI+MjAxMTwvWWVhcj48
UmVjTnVtPjIyPC9SZWNOdW0+PElEVGV4dD5BIGdlbmV0aWMgYmFzaXMgZm9yIGZ1bmN0aW9uYWwg
aHlwb3RoYWxhbWljIGFtZW5vcnJoZWE8L0lEVGV4dD48RGlzcGxheVRleHQ+KDEpPC9EaXNwbGF5
VGV4dD48cmVjb3JkPjxyZWMtbnVtYmVyPjIyPC9yZWMtbnVtYmVyPjxmb3JlaWduLWtleXM+PGtl
eSBhcHA9IkVOIiBkYi1pZD0iejJmdjByYTJxZnQ1OThlenJzNnh6OXc1ZHMyeHA5cnc1cDB4IiB0
aW1lc3RhbXA9IjE1ODUwMDE3MTEiPjIyPC9rZXk+PC9mb3JlaWduLWtleXM+PHJlZi10eXBlIG5h
bWU9IkpvdXJuYWwgQXJ0aWNsZSI+MTc8L3JlZi10eXBlPjxjb250cmlidXRvcnM+PGF1dGhvcnM+
PGF1dGhvcj5DYXJvbmlhLCBMLiBNLjwvYXV0aG9yPjxhdXRob3I+TWFydGluLCBDLjwvYXV0aG9y
PjxhdXRob3I+V2VsdCwgQy4gSy48L2F1dGhvcj48YXV0aG9yPlN5a2lvdGlzLCBHLiBQLjwvYXV0
aG9yPjxhdXRob3I+UXVpbnRvbiwgUi48L2F1dGhvcj48YXV0aG9yPlRoYW1idW5kaXQsIEEuPC9h
dXRob3I+PGF1dGhvcj5BdmJlbGosIE0uPC9hdXRob3I+PGF1dGhvcj5EaHJ1dmFrdW1hciwgUy48
L2F1dGhvcj48YXV0aG9yPlBsdW1tZXIsIEwuPC9hdXRob3I+PGF1dGhvcj5IdWdoZXMsIFYuIEEu
PC9hdXRob3I+PGF1dGhvcj5TZW1pbmFyYSwgUy4gQi48L2F1dGhvcj48YXV0aG9yPkJvZXBwbGUs
IFAuIEEuPC9hdXRob3I+PGF1dGhvcj5TaWRpcywgWS48L2F1dGhvcj48YXV0aG9yPkNyb3dsZXks
IFcuIEYuLCBKci48L2F1dGhvcj48YXV0aG9yPk1hcnRpbiwgSy4gQS48L2F1dGhvcj48YXV0aG9y
PkhhbGwsIEouIEUuPC9hdXRob3I+PGF1dGhvcj5QaXR0ZWxvdWQsIE4uPC9hdXRob3I+PC9hdXRo
b3JzPjwvY29udHJpYnV0b3JzPjxhdXRoLWFkZHJlc3M+SGFydmFyZCBDZW50ZXIgZm9yIFJlcHJv
ZHVjdGl2ZSBFbmRvY3JpbmUgU2NpZW5jZXMgYW5kIFJlcHJvZHVjdGl2ZSBFbmRvY3JpbmUgVW5p
dCBhbmQgdGhlIERlcGFydG1lbnQgb2YgTWVkaWNpbmUsIE1hc3NhY2h1c2V0dHMgR2VuZXJhbCBI
b3NwaXRhbCwgQm9zdG9uLCBVU0EuPC9hdXRoLWFkZHJlc3M+PHRpdGxlcz48dGl0bGU+QSBnZW5l
dGljIGJhc2lzIGZvciBmdW5jdGlvbmFsIGh5cG90aGFsYW1pYyBhbWVub3JyaGVhPC90aXRsZT48
c2Vjb25kYXJ5LXRpdGxlPk4gRW5nbCBKIE1lZDwvc2Vjb25kYXJ5LXRpdGxlPjxhbHQtdGl0bGU+
VGhlIE5ldyBFbmdsYW5kIGpvdXJuYWwgb2YgbWVkaWNpbmU8L2FsdC10aXRsZT48L3RpdGxlcz48
cGVyaW9kaWNhbD48ZnVsbC10aXRsZT5OIEVuZ2wgSiBNZWQ8L2Z1bGwtdGl0bGU+PGFiYnItMT5U
aGUgTmV3IEVuZ2xhbmQgam91cm5hbCBvZiBtZWRpY2luZTwvYWJici0xPjwvcGVyaW9kaWNhbD48
YWx0LXBlcmlvZGljYWw+PGZ1bGwtdGl0bGU+TiBFbmdsIEogTWVkPC9mdWxsLXRpdGxlPjxhYmJy
LTE+VGhlIE5ldyBFbmdsYW5kIGpvdXJuYWwgb2YgbWVkaWNpbmU8L2FiYnItMT48L2FsdC1wZXJp
b2RpY2FsPjxwYWdlcz4yMTUtMjU8L3BhZ2VzPjx2b2x1bWU+MzY0PC92b2x1bWU+PG51bWJlcj4z
PC9udW1iZXI+PGVkaXRpb24+MjAxMS8wNC8wODwvZWRpdGlvbj48a2V5d29yZHM+PGtleXdvcmQ+
QW1lbm9ycmhlYS9ldGlvbG9neS8qZ2VuZXRpY3M8L2tleXdvcmQ+PGtleXdvcmQ+RXh0cmFjZWxs
dWxhciBNYXRyaXggUHJvdGVpbnMvZ2VuZXRpY3M8L2tleXdvcmQ+PGtleXdvcmQ+RmVtYWxlPC9r
ZXl3b3JkPjxrZXl3b3JkPkdlbmUgRXhwcmVzc2lvbjwva2V5d29yZD48a2V5d29yZD5HZW5ldGlj
IFByZWRpc3Bvc2l0aW9uIHRvIERpc2Vhc2U8L2tleXdvcmQ+PGtleXdvcmQ+R29uYWRvdHJvcGlu
LVJlbGVhc2luZyBIb3Jtb25lLypkZWZpY2llbmN5L2dlbmV0aWNzPC9rZXl3b3JkPjxrZXl3b3Jk
Pkh1bWFuczwva2V5d29yZD48a2V5d29yZD5IeXBvZ29uYWRpc20vZ2VuZXRpY3M8L2tleXdvcmQ+
PGtleXdvcmQ+SHlwb3RoYWxhbWljIERpc2Vhc2VzL2NvbXBsaWNhdGlvbnMvKmdlbmV0aWNzPC9r
ZXl3b3JkPjxrZXl3b3JkPkx1dGVpbml6aW5nIEhvcm1vbmUvc2VjcmV0aW9uPC9rZXl3b3JkPjxr
ZXl3b3JkPipNdXRhdGlvbjwva2V5d29yZD48a2V5d29yZD5OZXJ2ZSBUaXNzdWUgUHJvdGVpbnMv
Z2VuZXRpY3M8L2tleXdvcmQ+PGtleXdvcmQ+UHJvdGVpbiBQcmVjdXJzb3JzL2dlbmV0aWNzPC9r
ZXl3b3JkPjxrZXl3b3JkPlJlY2VwdG9yLCBGaWJyb2JsYXN0IEdyb3d0aCBGYWN0b3IsIFR5cGUg
MS9nZW5ldGljczwva2V5d29yZD48a2V5d29yZD5SZWNlcHRvcnMsIEctUHJvdGVpbi1Db3VwbGVk
L2dlbmV0aWNzPC9rZXl3b3JkPjxrZXl3b3JkPlJlY2VwdG9ycywgTEhSSC9nZW5ldGljczwva2V5
d29yZD48a2V5d29yZD5SZWNlcHRvcnMsIFBlcHRpZGUvZ2VuZXRpY3M8L2tleXdvcmQ+PGtleXdv
cmQ+U2VxdWVuY2UgQW5hbHlzaXMsIEROQTwva2V5d29yZD48L2tleXdvcmRzPjxkYXRlcz48eWVh
cj4yMDExPC95ZWFyPjxwdWItZGF0ZXM+PGRhdGU+SmFuIDIwPC9kYXRlPjwvcHViLWRhdGVzPjwv
ZGF0ZXM+PGlzYm4+MDAyOC00NzkzPC9pc2JuPjxhY2Nlc3Npb24tbnVtPjIxMjQ3MzEyPC9hY2Nl
c3Npb24tbnVtPjx1cmxzPjwvdXJscz48Y3VzdG9tMj5QbWMzMDQ1ODQyPC9jdXN0b20yPjxjdXN0
b202Pk5paG1zMjY3OTI2PC9jdXN0b202PjxlbGVjdHJvbmljLXJlc291cmNlLW51bT4xMC4xMjEw
L2pjLjIwMTAtMzA0NiYjeEQ7MTAuMTA1Ni9ORUpNb2EwOTExMDY0PC9lbGVjdHJvbmljLXJlc291
cmNlLW51bT48cmVtb3RlLWRhdGFiYXNlLXByb3ZpZGVyPk5sbTwvcmVtb3RlLWRhdGFiYXNlLXBy
b3ZpZGVyPjxsYW5ndWFnZT5lbmc8L2xhbmd1YWdlPjwvcmVjb3JkPjwvQ2l0ZT48Q2l0ZT48QXV0
aG9yPkNhcm9uaWE8L0F1dGhvcj48WWVhcj4yMDExPC9ZZWFyPjxJRFRleHQ+QSBnZW5ldGljIGJh
c2lzIGZvciBmdW5jdGlvbmFsIGh5cG90aGFsYW1pYyBhbWVub3JyaGVhPC9JRFRleHQ+PHJlY29y
ZD48cmVjLW51bWJlcj4yMjwvcmVjLW51bWJlcj48Zm9yZWlnbi1rZXlzPjxrZXkgYXBwPSJFTiIg
ZGItaWQ9InoyZnYwcmEycWZ0NTk4ZXpyczZ4ejl3NWRzMnhwOXJ3NXAweCIgdGltZXN0YW1wPSIx
NTg1MDAxNzExIj4yMjwva2V5PjwvZm9yZWlnbi1rZXlzPjxyZWYtdHlwZSBuYW1lPSJKb3VybmFs
IEFydGljbGUiPjE3PC9yZWYtdHlwZT48Y29udHJpYnV0b3JzPjxhdXRob3JzPjxhdXRob3I+Q2Fy
b25pYSwgTC4gTS48L2F1dGhvcj48YXV0aG9yPk1hcnRpbiwgQy48L2F1dGhvcj48YXV0aG9yPldl
bHQsIEMuIEsuPC9hdXRob3I+PGF1dGhvcj5TeWtpb3RpcywgRy4gUC48L2F1dGhvcj48YXV0aG9y
PlF1aW50b24sIFIuPC9hdXRob3I+PGF1dGhvcj5UaGFtYnVuZGl0LCBBLjwvYXV0aG9yPjxhdXRo
b3I+QXZiZWxqLCBNLjwvYXV0aG9yPjxhdXRob3I+RGhydXZha3VtYXIsIFMuPC9hdXRob3I+PGF1
dGhvcj5QbHVtbWVyLCBMLjwvYXV0aG9yPjxhdXRob3I+SHVnaGVzLCBWLiBBLjwvYXV0aG9yPjxh
dXRob3I+U2VtaW5hcmEsIFMuIEIuPC9hdXRob3I+PGF1dGhvcj5Cb2VwcGxlLCBQLiBBLjwvYXV0
aG9yPjxhdXRob3I+U2lkaXMsIFkuPC9hdXRob3I+PGF1dGhvcj5Dcm93bGV5LCBXLiBGLiwgSnIu
PC9hdXRob3I+PGF1dGhvcj5NYXJ0aW4sIEsuIEEuPC9hdXRob3I+PGF1dGhvcj5IYWxsLCBKLiBF
LjwvYXV0aG9yPjxhdXRob3I+UGl0dGVsb3VkLCBOLjwvYXV0aG9yPjwvYXV0aG9ycz48L2NvbnRy
aWJ1dG9ycz48YXV0aC1hZGRyZXNzPkhhcnZhcmQgQ2VudGVyIGZvciBSZXByb2R1Y3RpdmUgRW5k
b2NyaW5lIFNjaWVuY2VzIGFuZCBSZXByb2R1Y3RpdmUgRW5kb2NyaW5lIFVuaXQgYW5kIHRoZSBE
ZXBhcnRtZW50IG9mIE1lZGljaW5lLCBNYXNzYWNodXNldHRzIEdlbmVyYWwgSG9zcGl0YWwsIEJv
c3RvbiwgVVNBLjwvYXV0aC1hZGRyZXNzPjx0aXRsZXM+PHRpdGxlPkEgZ2VuZXRpYyBiYXNpcyBm
b3IgZnVuY3Rpb25hbCBoeXBvdGhhbGFtaWMgYW1lbm9ycmhlYTwvdGl0bGU+PHNlY29uZGFyeS10
aXRsZT5OIEVuZ2wgSiBNZWQ8L3NlY29uZGFyeS10aXRsZT48YWx0LXRpdGxlPlRoZSBOZXcgRW5n
bGFuZCBqb3VybmFsIG9mIG1lZGljaW5lPC9hbHQtdGl0bGU+PC90aXRsZXM+PHBlcmlvZGljYWw+
PGZ1bGwtdGl0bGU+TiBFbmdsIEogTWVkPC9mdWxsLXRpdGxlPjxhYmJyLTE+VGhlIE5ldyBFbmds
YW5kIGpvdXJuYWwgb2YgbWVkaWNpbmU8L2FiYnItMT48L3BlcmlvZGljYWw+PGFsdC1wZXJpb2Rp
Y2FsPjxmdWxsLXRpdGxlPk4gRW5nbCBKIE1lZDwvZnVsbC10aXRsZT48YWJici0xPlRoZSBOZXcg
RW5nbGFuZCBqb3VybmFsIG9mIG1lZGljaW5lPC9hYmJyLTE+PC9hbHQtcGVyaW9kaWNhbD48cGFn
ZXM+MjE1LTI1PC9wYWdlcz48dm9sdW1lPjM2NDwvdm9sdW1lPjxudW1iZXI+MzwvbnVtYmVyPjxl
ZGl0aW9uPjIwMTEvMDQvMDg8L2VkaXRpb24+PGtleXdvcmRzPjxrZXl3b3JkPkFtZW5vcnJoZWEv
ZXRpb2xvZ3kvKmdlbmV0aWNzPC9rZXl3b3JkPjxrZXl3b3JkPkV4dHJhY2VsbHVsYXIgTWF0cml4
IFByb3RlaW5zL2dlbmV0aWNzPC9rZXl3b3JkPjxrZXl3b3JkPkZlbWFsZTwva2V5d29yZD48a2V5
d29yZD5HZW5lIEV4cHJlc3Npb248L2tleXdvcmQ+PGtleXdvcmQ+R2VuZXRpYyBQcmVkaXNwb3Np
dGlvbiB0byBEaXNlYXNlPC9rZXl3b3JkPjxrZXl3b3JkPkdvbmFkb3Ryb3Bpbi1SZWxlYXNpbmcg
SG9ybW9uZS8qZGVmaWNpZW5jeS9nZW5ldGljczwva2V5d29yZD48a2V5d29yZD5IdW1hbnM8L2tl
eXdvcmQ+PGtleXdvcmQ+SHlwb2dvbmFkaXNtL2dlbmV0aWNzPC9rZXl3b3JkPjxrZXl3b3JkPkh5
cG90aGFsYW1pYyBEaXNlYXNlcy9jb21wbGljYXRpb25zLypnZW5ldGljczwva2V5d29yZD48a2V5
d29yZD5MdXRlaW5pemluZyBIb3Jtb25lL3NlY3JldGlvbjwva2V5d29yZD48a2V5d29yZD4qTXV0
YXRpb248L2tleXdvcmQ+PGtleXdvcmQ+TmVydmUgVGlzc3VlIFByb3RlaW5zL2dlbmV0aWNzPC9r
ZXl3b3JkPjxrZXl3b3JkPlByb3RlaW4gUHJlY3Vyc29ycy9nZW5ldGljczwva2V5d29yZD48a2V5
d29yZD5SZWNlcHRvciwgRmlicm9ibGFzdCBHcm93dGggRmFjdG9yLCBUeXBlIDEvZ2VuZXRpY3M8
L2tleXdvcmQ+PGtleXdvcmQ+UmVjZXB0b3JzLCBHLVByb3RlaW4tQ291cGxlZC9nZW5ldGljczwv
a2V5d29yZD48a2V5d29yZD5SZWNlcHRvcnMsIExIUkgvZ2VuZXRpY3M8L2tleXdvcmQ+PGtleXdv
cmQ+UmVjZXB0b3JzLCBQZXB0aWRlL2dlbmV0aWNzPC9rZXl3b3JkPjxrZXl3b3JkPlNlcXVlbmNl
IEFuYWx5c2lzLCBETkE8L2tleXdvcmQ+PC9rZXl3b3Jkcz48ZGF0ZXM+PHllYXI+MjAxMTwveWVh
cj48cHViLWRhdGVzPjxkYXRlPkphbiAyMDwvZGF0ZT48L3B1Yi1kYXRlcz48L2RhdGVzPjxpc2Ju
PjAwMjgtNDc5MzwvaXNibj48YWNjZXNzaW9uLW51bT4yMTI0NzMxMjwvYWNjZXNzaW9uLW51bT48
dXJscz48L3VybHM+PGN1c3RvbTI+UG1jMzA0NTg0MjwvY3VzdG9tMj48Y3VzdG9tNj5OaWhtczI2
NzkyNjwvY3VzdG9tNj48ZWxlY3Ryb25pYy1yZXNvdXJjZS1udW0+MTAuMTIxMC9qYy4yMDEwLTMw
NDYmI3hEOzEwLjEwNTYvTkVKTW9hMDkxMTA2NDwvZWxlY3Ryb25pYy1yZXNvdXJjZS1udW0+PHJl
bW90ZS1kYXRhYmFzZS1wcm92aWRlcj5ObG08L3JlbW90ZS1kYXRhYmFzZS1wcm92aWRlcj48bGFu
Z3VhZ2U+ZW5nPC9sYW5ndWFnZT48L3JlY29yZD48L0NpdGU+PC9FbmROb3RlPn==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PEVuZE5vdGU+PENpdGU+PEF1dGhvcj5DYXJvbmlhPC9BdXRob3I+PFllYXI+MjAxMTwvWWVhcj48
UmVjTnVtPjIyPC9SZWNOdW0+PElEVGV4dD5BIGdlbmV0aWMgYmFzaXMgZm9yIGZ1bmN0aW9uYWwg
aHlwb3RoYWxhbWljIGFtZW5vcnJoZWE8L0lEVGV4dD48RGlzcGxheVRleHQ+KDEpPC9EaXNwbGF5
VGV4dD48cmVjb3JkPjxyZWMtbnVtYmVyPjIyPC9yZWMtbnVtYmVyPjxmb3JlaWduLWtleXM+PGtl
eSBhcHA9IkVOIiBkYi1pZD0iejJmdjByYTJxZnQ1OThlenJzNnh6OXc1ZHMyeHA5cnc1cDB4IiB0
aW1lc3RhbXA9IjE1ODUwMDE3MTEiPjIyPC9rZXk+PC9mb3JlaWduLWtleXM+PHJlZi10eXBlIG5h
bWU9IkpvdXJuYWwgQXJ0aWNsZSI+MTc8L3JlZi10eXBlPjxjb250cmlidXRvcnM+PGF1dGhvcnM+
PGF1dGhvcj5DYXJvbmlhLCBMLiBNLjwvYXV0aG9yPjxhdXRob3I+TWFydGluLCBDLjwvYXV0aG9y
PjxhdXRob3I+V2VsdCwgQy4gSy48L2F1dGhvcj48YXV0aG9yPlN5a2lvdGlzLCBHLiBQLjwvYXV0
aG9yPjxhdXRob3I+UXVpbnRvbiwgUi48L2F1dGhvcj48YXV0aG9yPlRoYW1idW5kaXQsIEEuPC9h
dXRob3I+PGF1dGhvcj5BdmJlbGosIE0uPC9hdXRob3I+PGF1dGhvcj5EaHJ1dmFrdW1hciwgUy48
L2F1dGhvcj48YXV0aG9yPlBsdW1tZXIsIEwuPC9hdXRob3I+PGF1dGhvcj5IdWdoZXMsIFYuIEEu
PC9hdXRob3I+PGF1dGhvcj5TZW1pbmFyYSwgUy4gQi48L2F1dGhvcj48YXV0aG9yPkJvZXBwbGUs
IFAuIEEuPC9hdXRob3I+PGF1dGhvcj5TaWRpcywgWS48L2F1dGhvcj48YXV0aG9yPkNyb3dsZXks
IFcuIEYuLCBKci48L2F1dGhvcj48YXV0aG9yPk1hcnRpbiwgSy4gQS48L2F1dGhvcj48YXV0aG9y
PkhhbGwsIEouIEUuPC9hdXRob3I+PGF1dGhvcj5QaXR0ZWxvdWQsIE4uPC9hdXRob3I+PC9hdXRo
b3JzPjwvY29udHJpYnV0b3JzPjxhdXRoLWFkZHJlc3M+SGFydmFyZCBDZW50ZXIgZm9yIFJlcHJv
ZHVjdGl2ZSBFbmRvY3JpbmUgU2NpZW5jZXMgYW5kIFJlcHJvZHVjdGl2ZSBFbmRvY3JpbmUgVW5p
dCBhbmQgdGhlIERlcGFydG1lbnQgb2YgTWVkaWNpbmUsIE1hc3NhY2h1c2V0dHMgR2VuZXJhbCBI
b3NwaXRhbCwgQm9zdG9uLCBVU0EuPC9hdXRoLWFkZHJlc3M+PHRpdGxlcz48dGl0bGU+QSBnZW5l
dGljIGJhc2lzIGZvciBmdW5jdGlvbmFsIGh5cG90aGFsYW1pYyBhbWVub3JyaGVhPC90aXRsZT48
c2Vjb25kYXJ5LXRpdGxlPk4gRW5nbCBKIE1lZDwvc2Vjb25kYXJ5LXRpdGxlPjxhbHQtdGl0bGU+
VGhlIE5ldyBFbmdsYW5kIGpvdXJuYWwgb2YgbWVkaWNpbmU8L2FsdC10aXRsZT48L3RpdGxlcz48
cGVyaW9kaWNhbD48ZnVsbC10aXRsZT5OIEVuZ2wgSiBNZWQ8L2Z1bGwtdGl0bGU+PGFiYnItMT5U
aGUgTmV3IEVuZ2xhbmQgam91cm5hbCBvZiBtZWRpY2luZTwvYWJici0xPjwvcGVyaW9kaWNhbD48
YWx0LXBlcmlvZGljYWw+PGZ1bGwtdGl0bGU+TiBFbmdsIEogTWVkPC9mdWxsLXRpdGxlPjxhYmJy
LTE+VGhlIE5ldyBFbmdsYW5kIGpvdXJuYWwgb2YgbWVkaWNpbmU8L2FiYnItMT48L2FsdC1wZXJp
b2RpY2FsPjxwYWdlcz4yMTUtMjU8L3BhZ2VzPjx2b2x1bWU+MzY0PC92b2x1bWU+PG51bWJlcj4z
PC9udW1iZXI+PGVkaXRpb24+MjAxMS8wNC8wODwvZWRpdGlvbj48a2V5d29yZHM+PGtleXdvcmQ+
QW1lbm9ycmhlYS9ldGlvbG9neS8qZ2VuZXRpY3M8L2tleXdvcmQ+PGtleXdvcmQ+RXh0cmFjZWxs
dWxhciBNYXRyaXggUHJvdGVpbnMvZ2VuZXRpY3M8L2tleXdvcmQ+PGtleXdvcmQ+RmVtYWxlPC9r
ZXl3b3JkPjxrZXl3b3JkPkdlbmUgRXhwcmVzc2lvbjwva2V5d29yZD48a2V5d29yZD5HZW5ldGlj
IFByZWRpc3Bvc2l0aW9uIHRvIERpc2Vhc2U8L2tleXdvcmQ+PGtleXdvcmQ+R29uYWRvdHJvcGlu
LVJlbGVhc2luZyBIb3Jtb25lLypkZWZpY2llbmN5L2dlbmV0aWNzPC9rZXl3b3JkPjxrZXl3b3Jk
Pkh1bWFuczwva2V5d29yZD48a2V5d29yZD5IeXBvZ29uYWRpc20vZ2VuZXRpY3M8L2tleXdvcmQ+
PGtleXdvcmQ+SHlwb3RoYWxhbWljIERpc2Vhc2VzL2NvbXBsaWNhdGlvbnMvKmdlbmV0aWNzPC9r
ZXl3b3JkPjxrZXl3b3JkPkx1dGVpbml6aW5nIEhvcm1vbmUvc2VjcmV0aW9uPC9rZXl3b3JkPjxr
ZXl3b3JkPipNdXRhdGlvbjwva2V5d29yZD48a2V5d29yZD5OZXJ2ZSBUaXNzdWUgUHJvdGVpbnMv
Z2VuZXRpY3M8L2tleXdvcmQ+PGtleXdvcmQ+UHJvdGVpbiBQcmVjdXJzb3JzL2dlbmV0aWNzPC9r
ZXl3b3JkPjxrZXl3b3JkPlJlY2VwdG9yLCBGaWJyb2JsYXN0IEdyb3d0aCBGYWN0b3IsIFR5cGUg
MS9nZW5ldGljczwva2V5d29yZD48a2V5d29yZD5SZWNlcHRvcnMsIEctUHJvdGVpbi1Db3VwbGVk
L2dlbmV0aWNzPC9rZXl3b3JkPjxrZXl3b3JkPlJlY2VwdG9ycywgTEhSSC9nZW5ldGljczwva2V5
d29yZD48a2V5d29yZD5SZWNlcHRvcnMsIFBlcHRpZGUvZ2VuZXRpY3M8L2tleXdvcmQ+PGtleXdv
cmQ+U2VxdWVuY2UgQW5hbHlzaXMsIEROQTwva2V5d29yZD48L2tleXdvcmRzPjxkYXRlcz48eWVh
cj4yMDExPC95ZWFyPjxwdWItZGF0ZXM+PGRhdGU+SmFuIDIwPC9kYXRlPjwvcHViLWRhdGVzPjwv
ZGF0ZXM+PGlzYm4+MDAyOC00NzkzPC9pc2JuPjxhY2Nlc3Npb24tbnVtPjIxMjQ3MzEyPC9hY2Nl
c3Npb24tbnVtPjx1cmxzPjwvdXJscz48Y3VzdG9tMj5QbWMzMDQ1ODQyPC9jdXN0b20yPjxjdXN0
b202Pk5paG1zMjY3OTI2PC9jdXN0b202PjxlbGVjdHJvbmljLXJlc291cmNlLW51bT4xMC4xMjEw
L2pjLjIwMTAtMzA0NiYjeEQ7MTAuMTA1Ni9ORUpNb2EwOTExMDY0PC9lbGVjdHJvbmljLXJlc291
cmNlLW51bT48cmVtb3RlLWRhdGFiYXNlLXByb3ZpZGVyPk5sbTwvcmVtb3RlLWRhdGFiYXNlLXBy
b3ZpZGVyPjxsYW5ndWFnZT5lbmc8L2xhbmd1YWdlPjwvcmVjb3JkPjwvQ2l0ZT48Q2l0ZT48QXV0
aG9yPkNhcm9uaWE8L0F1dGhvcj48WWVhcj4yMDExPC9ZZWFyPjxJRFRleHQ+QSBnZW5ldGljIGJh
c2lzIGZvciBmdW5jdGlvbmFsIGh5cG90aGFsYW1pYyBhbWVub3JyaGVhPC9JRFRleHQ+PHJlY29y
ZD48cmVjLW51bWJlcj4yMjwvcmVjLW51bWJlcj48Zm9yZWlnbi1rZXlzPjxrZXkgYXBwPSJFTiIg
ZGItaWQ9InoyZnYwcmEycWZ0NTk4ZXpyczZ4ejl3NWRzMnhwOXJ3NXAweCIgdGltZXN0YW1wPSIx
NTg1MDAxNzExIj4yMjwva2V5PjwvZm9yZWlnbi1rZXlzPjxyZWYtdHlwZSBuYW1lPSJKb3VybmFs
IEFydGljbGUiPjE3PC9yZWYtdHlwZT48Y29udHJpYnV0b3JzPjxhdXRob3JzPjxhdXRob3I+Q2Fy
b25pYSwgTC4gTS48L2F1dGhvcj48YXV0aG9yPk1hcnRpbiwgQy48L2F1dGhvcj48YXV0aG9yPldl
bHQsIEMuIEsuPC9hdXRob3I+PGF1dGhvcj5TeWtpb3RpcywgRy4gUC48L2F1dGhvcj48YXV0aG9y
PlF1aW50b24sIFIuPC9hdXRob3I+PGF1dGhvcj5UaGFtYnVuZGl0LCBBLjwvYXV0aG9yPjxhdXRo
b3I+QXZiZWxqLCBNLjwvYXV0aG9yPjxhdXRob3I+RGhydXZha3VtYXIsIFMuPC9hdXRob3I+PGF1
dGhvcj5QbHVtbWVyLCBMLjwvYXV0aG9yPjxhdXRob3I+SHVnaGVzLCBWLiBBLjwvYXV0aG9yPjxh
dXRob3I+U2VtaW5hcmEsIFMuIEIuPC9hdXRob3I+PGF1dGhvcj5Cb2VwcGxlLCBQLiBBLjwvYXV0
aG9yPjxhdXRob3I+U2lkaXMsIFkuPC9hdXRob3I+PGF1dGhvcj5Dcm93bGV5LCBXLiBGLiwgSnIu
PC9hdXRob3I+PGF1dGhvcj5NYXJ0aW4sIEsuIEEuPC9hdXRob3I+PGF1dGhvcj5IYWxsLCBKLiBF
LjwvYXV0aG9yPjxhdXRob3I+UGl0dGVsb3VkLCBOLjwvYXV0aG9yPjwvYXV0aG9ycz48L2NvbnRy
aWJ1dG9ycz48YXV0aC1hZGRyZXNzPkhhcnZhcmQgQ2VudGVyIGZvciBSZXByb2R1Y3RpdmUgRW5k
b2NyaW5lIFNjaWVuY2VzIGFuZCBSZXByb2R1Y3RpdmUgRW5kb2NyaW5lIFVuaXQgYW5kIHRoZSBE
ZXBhcnRtZW50IG9mIE1lZGljaW5lLCBNYXNzYWNodXNldHRzIEdlbmVyYWwgSG9zcGl0YWwsIEJv
c3RvbiwgVVNBLjwvYXV0aC1hZGRyZXNzPjx0aXRsZXM+PHRpdGxlPkEgZ2VuZXRpYyBiYXNpcyBm
b3IgZnVuY3Rpb25hbCBoeXBvdGhhbGFtaWMgYW1lbm9ycmhlYTwvdGl0bGU+PHNlY29uZGFyeS10
aXRsZT5OIEVuZ2wgSiBNZWQ8L3NlY29uZGFyeS10aXRsZT48YWx0LXRpdGxlPlRoZSBOZXcgRW5n
bGFuZCBqb3VybmFsIG9mIG1lZGljaW5lPC9hbHQtdGl0bGU+PC90aXRsZXM+PHBlcmlvZGljYWw+
PGZ1bGwtdGl0bGU+TiBFbmdsIEogTWVkPC9mdWxsLXRpdGxlPjxhYmJyLTE+VGhlIE5ldyBFbmds
YW5kIGpvdXJuYWwgb2YgbWVkaWNpbmU8L2FiYnItMT48L3BlcmlvZGljYWw+PGFsdC1wZXJpb2Rp
Y2FsPjxmdWxsLXRpdGxlPk4gRW5nbCBKIE1lZDwvZnVsbC10aXRsZT48YWJici0xPlRoZSBOZXcg
RW5nbGFuZCBqb3VybmFsIG9mIG1lZGljaW5lPC9hYmJyLTE+PC9hbHQtcGVyaW9kaWNhbD48cGFn
ZXM+MjE1LTI1PC9wYWdlcz48dm9sdW1lPjM2NDwvdm9sdW1lPjxudW1iZXI+MzwvbnVtYmVyPjxl
ZGl0aW9uPjIwMTEvMDQvMDg8L2VkaXRpb24+PGtleXdvcmRzPjxrZXl3b3JkPkFtZW5vcnJoZWEv
ZXRpb2xvZ3kvKmdlbmV0aWNzPC9rZXl3b3JkPjxrZXl3b3JkPkV4dHJhY2VsbHVsYXIgTWF0cml4
IFByb3RlaW5zL2dlbmV0aWNzPC9rZXl3b3JkPjxrZXl3b3JkPkZlbWFsZTwva2V5d29yZD48a2V5
d29yZD5HZW5lIEV4cHJlc3Npb248L2tleXdvcmQ+PGtleXdvcmQ+R2VuZXRpYyBQcmVkaXNwb3Np
dGlvbiB0byBEaXNlYXNlPC9rZXl3b3JkPjxrZXl3b3JkPkdvbmFkb3Ryb3Bpbi1SZWxlYXNpbmcg
SG9ybW9uZS8qZGVmaWNpZW5jeS9nZW5ldGljczwva2V5d29yZD48a2V5d29yZD5IdW1hbnM8L2tl
eXdvcmQ+PGtleXdvcmQ+SHlwb2dvbmFkaXNtL2dlbmV0aWNzPC9rZXl3b3JkPjxrZXl3b3JkPkh5
cG90aGFsYW1pYyBEaXNlYXNlcy9jb21wbGljYXRpb25zLypnZW5ldGljczwva2V5d29yZD48a2V5
d29yZD5MdXRlaW5pemluZyBIb3Jtb25lL3NlY3JldGlvbjwva2V5d29yZD48a2V5d29yZD4qTXV0
YXRpb248L2tleXdvcmQ+PGtleXdvcmQ+TmVydmUgVGlzc3VlIFByb3RlaW5zL2dlbmV0aWNzPC9r
ZXl3b3JkPjxrZXl3b3JkPlByb3RlaW4gUHJlY3Vyc29ycy9nZW5ldGljczwva2V5d29yZD48a2V5
d29yZD5SZWNlcHRvciwgRmlicm9ibGFzdCBHcm93dGggRmFjdG9yLCBUeXBlIDEvZ2VuZXRpY3M8
L2tleXdvcmQ+PGtleXdvcmQ+UmVjZXB0b3JzLCBHLVByb3RlaW4tQ291cGxlZC9nZW5ldGljczwv
a2V5d29yZD48a2V5d29yZD5SZWNlcHRvcnMsIExIUkgvZ2VuZXRpY3M8L2tleXdvcmQ+PGtleXdv
cmQ+UmVjZXB0b3JzLCBQZXB0aWRlL2dlbmV0aWNzPC9rZXl3b3JkPjxrZXl3b3JkPlNlcXVlbmNl
IEFuYWx5c2lzLCBETkE8L2tleXdvcmQ+PC9rZXl3b3Jkcz48ZGF0ZXM+PHllYXI+MjAxMTwveWVh
cj48cHViLWRhdGVzPjxkYXRlPkphbiAyMDwvZGF0ZT48L3B1Yi1kYXRlcz48L2RhdGVzPjxpc2Ju
PjAwMjgtNDc5MzwvaXNibj48YWNjZXNzaW9uLW51bT4yMTI0NzMxMjwvYWNjZXNzaW9uLW51bT48
dXJscz48L3VybHM+PGN1c3RvbTI+UG1jMzA0NTg0MjwvY3VzdG9tMj48Y3VzdG9tNj5OaWhtczI2
NzkyNjwvY3VzdG9tNj48ZWxlY3Ryb25pYy1yZXNvdXJjZS1udW0+MTAuMTIxMC9qYy4yMDEwLTMw
NDYmI3hEOzEwLjEwNTYvTkVKTW9hMDkxMTA2NDwvZWxlY3Ryb25pYy1yZXNvdXJjZS1udW0+PHJl
bW90ZS1kYXRhYmFzZS1wcm92aWRlcj5ObG08L3JlbW90ZS1kYXRhYmFzZS1wcm92aWRlcj48bGFu
Z3VhZ2U+ZW5nPC9sYW5ndWFnZT48L3JlY29yZD48L0NpdGU+PC9FbmROb3RlPn==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(29)</w:t>
      </w:r>
      <w:r>
        <w:rPr>
          <w:rFonts w:ascii="Arial" w:hAnsi="Arial" w:cs="Arial"/>
          <w:sz w:val="24"/>
          <w:szCs w:val="24"/>
        </w:rPr>
        <w:fldChar w:fldCharType="end"/>
      </w:r>
      <w:r w:rsidRPr="00EE3B15">
        <w:rPr>
          <w:rFonts w:ascii="Arial" w:hAnsi="Arial" w:cs="Arial"/>
          <w:sz w:val="24"/>
          <w:szCs w:val="24"/>
        </w:rPr>
        <w:t> </w:t>
      </w:r>
      <w:proofErr w:type="spellStart"/>
      <w:r>
        <w:rPr>
          <w:rFonts w:ascii="Arial" w:hAnsi="Arial" w:cs="Arial"/>
          <w:sz w:val="24"/>
          <w:szCs w:val="24"/>
          <w:vertAlign w:val="superscript"/>
        </w:rPr>
        <w:t>e</w:t>
      </w:r>
      <w:r w:rsidRPr="00EE3B15">
        <w:rPr>
          <w:rFonts w:ascii="Arial" w:hAnsi="Arial" w:cs="Arial"/>
          <w:sz w:val="24"/>
          <w:szCs w:val="24"/>
        </w:rPr>
        <w:t>Homozygous</w:t>
      </w:r>
      <w:proofErr w:type="spellEnd"/>
      <w:r w:rsidRPr="00EE3B15">
        <w:rPr>
          <w:rFonts w:ascii="Arial" w:hAnsi="Arial" w:cs="Arial"/>
          <w:sz w:val="24"/>
          <w:szCs w:val="24"/>
        </w:rPr>
        <w:t xml:space="preserve"> variant in one participant</w:t>
      </w:r>
    </w:p>
    <w:p w14:paraId="5C9471D2" w14:textId="45DF7E99" w:rsidR="00DE4772" w:rsidRPr="00DE4772" w:rsidRDefault="00DE4772" w:rsidP="00D712A9">
      <w:pPr>
        <w:spacing w:after="0" w:line="480" w:lineRule="auto"/>
        <w:rPr>
          <w:rFonts w:ascii="Arial" w:hAnsi="Arial" w:cs="Arial"/>
          <w:sz w:val="24"/>
          <w:szCs w:val="24"/>
        </w:rPr>
      </w:pPr>
    </w:p>
    <w:p w14:paraId="259654DD" w14:textId="77777777" w:rsidR="00DE4772" w:rsidRPr="00DE4772" w:rsidRDefault="00DE4772" w:rsidP="00DE4772">
      <w:pPr>
        <w:pStyle w:val="EndNoteBibliography"/>
        <w:spacing w:after="0"/>
        <w:rPr>
          <w:rFonts w:ascii="Arial" w:hAnsi="Arial" w:cs="Arial"/>
          <w:b/>
          <w:sz w:val="24"/>
          <w:szCs w:val="24"/>
        </w:rPr>
      </w:pPr>
      <w:bookmarkStart w:id="0" w:name="_GoBack"/>
      <w:bookmarkEnd w:id="0"/>
      <w:r w:rsidRPr="00DE4772">
        <w:rPr>
          <w:rFonts w:ascii="Arial" w:hAnsi="Arial" w:cs="Arial"/>
          <w:b/>
          <w:sz w:val="24"/>
          <w:szCs w:val="24"/>
        </w:rPr>
        <w:t>Supplemental References</w:t>
      </w:r>
    </w:p>
    <w:p w14:paraId="13427469" w14:textId="77777777" w:rsidR="00DE4772" w:rsidRPr="00DE4772" w:rsidRDefault="00DE4772" w:rsidP="00DE4772">
      <w:pPr>
        <w:pStyle w:val="EndNoteBibliography"/>
        <w:spacing w:after="0"/>
        <w:rPr>
          <w:rFonts w:ascii="Arial" w:hAnsi="Arial" w:cs="Arial"/>
          <w:sz w:val="24"/>
          <w:szCs w:val="24"/>
        </w:rPr>
      </w:pPr>
    </w:p>
    <w:p w14:paraId="7778969D"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fldChar w:fldCharType="begin"/>
      </w:r>
      <w:r w:rsidRPr="00DE4772">
        <w:rPr>
          <w:rFonts w:ascii="Arial" w:hAnsi="Arial" w:cs="Arial"/>
          <w:sz w:val="24"/>
          <w:szCs w:val="24"/>
        </w:rPr>
        <w:instrText xml:space="preserve"> ADDIN EN.REFLIST </w:instrText>
      </w:r>
      <w:r w:rsidRPr="00DE4772">
        <w:rPr>
          <w:rFonts w:ascii="Arial" w:hAnsi="Arial" w:cs="Arial"/>
          <w:sz w:val="24"/>
          <w:szCs w:val="24"/>
        </w:rPr>
        <w:fldChar w:fldCharType="separate"/>
      </w:r>
      <w:r w:rsidRPr="00DE4772">
        <w:rPr>
          <w:rFonts w:ascii="Arial" w:hAnsi="Arial" w:cs="Arial"/>
          <w:sz w:val="24"/>
          <w:szCs w:val="24"/>
        </w:rPr>
        <w:t>1.</w:t>
      </w:r>
      <w:r w:rsidRPr="00DE4772">
        <w:rPr>
          <w:rFonts w:ascii="Arial" w:hAnsi="Arial" w:cs="Arial"/>
          <w:sz w:val="24"/>
          <w:szCs w:val="24"/>
        </w:rPr>
        <w:tab/>
        <w:t xml:space="preserve">Xu C, Messina A, Somm E, Miraoui H, Kinnunen T, Acierno J, et al. </w:t>
      </w:r>
      <w:r w:rsidRPr="00DE4772">
        <w:rPr>
          <w:rFonts w:ascii="Arial" w:hAnsi="Arial" w:cs="Arial"/>
          <w:i/>
          <w:sz w:val="24"/>
          <w:szCs w:val="24"/>
        </w:rPr>
        <w:t>KLB</w:t>
      </w:r>
      <w:r w:rsidRPr="00DE4772">
        <w:rPr>
          <w:rFonts w:ascii="Arial" w:hAnsi="Arial" w:cs="Arial"/>
          <w:sz w:val="24"/>
          <w:szCs w:val="24"/>
        </w:rPr>
        <w:t>, encoding β-Klotho, is mutated in patients with congenital hypogonadotropic hypogonadism. EMBO Mol Med. 2017;9(10):1379-97. doi: 10.15252/emmm.201607376. PubMed PMID: 28754744; PubMed Central PMCID: PMCPMC5623842.</w:t>
      </w:r>
    </w:p>
    <w:p w14:paraId="68370742"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2.</w:t>
      </w:r>
      <w:r w:rsidRPr="00DE4772">
        <w:rPr>
          <w:rFonts w:ascii="Arial" w:hAnsi="Arial" w:cs="Arial"/>
          <w:sz w:val="24"/>
          <w:szCs w:val="24"/>
        </w:rPr>
        <w:tab/>
        <w:t>Choi JH, Balasubramanian R, Lee PH, Shaw ND, Hall JE, Plummer L, et al. Expanding the Spectrum of Founder Mutations Causing Isolated Gonadotropin-Releasing Hormone Deficiency. J Clin Endocrinol Metab. 2015;100(10):E1378-85. Epub 2015/07/24. doi: 10.1210/jc.2015-2262. PubMed PMID: 26207952; PubMed Central PMCID: PMCPMC4596034.</w:t>
      </w:r>
    </w:p>
    <w:p w14:paraId="221E637E"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3.</w:t>
      </w:r>
      <w:r w:rsidRPr="00DE4772">
        <w:rPr>
          <w:rFonts w:ascii="Arial" w:hAnsi="Arial" w:cs="Arial"/>
          <w:sz w:val="24"/>
          <w:szCs w:val="24"/>
        </w:rPr>
        <w:tab/>
        <w:t>Fathi AK, Hu S, Fu X, Huang S, Liang Y, Ning Q, et al. Molecular defects of the GnRH-receptor gene in Chinese patients with idiopathic hypogonadotropic hypogonadism and the severity of hypogonadism. J Pediatr Endocrinol Metab. 2012;25(7-8):659-68. doi: 10.1515/jpem-2012-0087. PubMed PMID: 23155690.</w:t>
      </w:r>
    </w:p>
    <w:p w14:paraId="02DB9D90"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4.</w:t>
      </w:r>
      <w:r w:rsidRPr="00DE4772">
        <w:rPr>
          <w:rFonts w:ascii="Arial" w:hAnsi="Arial" w:cs="Arial"/>
          <w:sz w:val="24"/>
          <w:szCs w:val="24"/>
        </w:rPr>
        <w:tab/>
        <w:t>Francou B, Paul C, Amazit L, Cartes A, Bouvattier C, Albarel F, et al. Prevalence of KISS1 Receptor mutations in a series of 603 patients with normosmic congenital hypogonadotrophic hypogonadism and characterization of novel mutations: a single-centre study. Hum Reprod. 2016;31(6):1363-74. Epub 2016/04/19. doi: 10.1093/humrep/dew073. PubMed PMID: 27094476.</w:t>
      </w:r>
    </w:p>
    <w:p w14:paraId="3E38470C"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5.</w:t>
      </w:r>
      <w:r w:rsidRPr="00DE4772">
        <w:rPr>
          <w:rFonts w:ascii="Arial" w:hAnsi="Arial" w:cs="Arial"/>
          <w:sz w:val="24"/>
          <w:szCs w:val="24"/>
        </w:rPr>
        <w:tab/>
        <w:t>Miraoui H, Dwyer AA, Sykiotis GP, Plummer L, Chung W, Feng B, et al. Mutations in FGF17, IL17RD, DUSP6, SPRY4, and FLRT3 are identified in individuals with congenital hypogonadotropic hypogonadism. Am J Hum Genet. 2013;92(5):725-43. doi: 10.1016/j.ajhg.2013.04.008. PubMed PMID: 23643382; PubMed Central PMCID: PMCPMC3644636.</w:t>
      </w:r>
    </w:p>
    <w:p w14:paraId="100A77DF"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6.</w:t>
      </w:r>
      <w:r w:rsidRPr="00DE4772">
        <w:rPr>
          <w:rFonts w:ascii="Arial" w:hAnsi="Arial" w:cs="Arial"/>
          <w:sz w:val="24"/>
          <w:szCs w:val="24"/>
        </w:rPr>
        <w:tab/>
        <w:t>Hanchate NK, Giacobini P, Lhuillier P, Parkash J, Espy C, Fouveaut C, et al. SEMA3A, a gene involved in axonal pathfinding, is mutated in patients with Kallmann syndrome. PLoS Genet. 2012;8(8):e1002896. Epub 2012/08/23. doi: 10.1371/journal.pgen.1002896. PubMed PMID: 22927827; PubMed Central PMCID: PMCPMC3426548.</w:t>
      </w:r>
    </w:p>
    <w:p w14:paraId="7CA56EB0"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lastRenderedPageBreak/>
        <w:t>7.</w:t>
      </w:r>
      <w:r w:rsidRPr="00DE4772">
        <w:rPr>
          <w:rFonts w:ascii="Arial" w:hAnsi="Arial" w:cs="Arial"/>
          <w:sz w:val="24"/>
          <w:szCs w:val="24"/>
        </w:rPr>
        <w:tab/>
        <w:t>Costa-Barbosa FA, Balasubramanian R, Keefe KW, Shaw ND, Al-Tassan N, Plummer L, et al. Prioritizing genetic testing in patients with Kallmann syndrome using clinical phenotypes. J Clin Endocrinol Metab. 2013;98(5):E943-53. Epub 2013/03/26. doi: 10.1210/jc.2012-4116. PubMed PMID: 23533228; PubMed Central PMCID: PMCPMC3644607.</w:t>
      </w:r>
    </w:p>
    <w:p w14:paraId="71945D7B"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8.</w:t>
      </w:r>
      <w:r w:rsidRPr="00DE4772">
        <w:rPr>
          <w:rFonts w:ascii="Arial" w:hAnsi="Arial" w:cs="Arial"/>
          <w:sz w:val="24"/>
          <w:szCs w:val="24"/>
        </w:rPr>
        <w:tab/>
        <w:t>Cassatella D, Howard SR, Acierno JS, Xu C, Papadakis GE, Santoni FA, et al. Congenital hypogonadotropic hypogonadism and constitutional delay of growth and puberty have distinct genetic architectures. Eur J Endocrinol. 2018;178(4):377-88. Epub 2018/02/01. doi: 10.1530/EJE-17-0568. PubMed PMID: 29419413; PubMed Central PMCID: PMCPMC5863472.</w:t>
      </w:r>
    </w:p>
    <w:p w14:paraId="63D32826"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9.</w:t>
      </w:r>
      <w:r w:rsidRPr="00DE4772">
        <w:rPr>
          <w:rFonts w:ascii="Arial" w:hAnsi="Arial" w:cs="Arial"/>
          <w:sz w:val="24"/>
          <w:szCs w:val="24"/>
        </w:rPr>
        <w:tab/>
        <w:t>Marcos S, Sarfati J, Leroy C, Fouveaut C, Parent P, Metz C, et al. The prevalence of CHD7 missense versus truncating mutations is higher in patients with Kallmann syndrome than in typical CHARGE patients. J Clin Endocrinol Metab. 2014;99(10):E2138-43. Epub 2014/07/31. doi: 10.1210/jc.2014-2110. PubMed PMID: 25077900.</w:t>
      </w:r>
    </w:p>
    <w:p w14:paraId="36B82C5F"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10.</w:t>
      </w:r>
      <w:r w:rsidRPr="00DE4772">
        <w:rPr>
          <w:rFonts w:ascii="Arial" w:hAnsi="Arial" w:cs="Arial"/>
          <w:sz w:val="24"/>
          <w:szCs w:val="24"/>
        </w:rPr>
        <w:tab/>
        <w:t>Landrum MJ, Lee JM, Benson M, Brown GR, Chao C, Chitipiralla S, et al. ClinVar: improving access to variant interpretations and supporting evidence. Nucleic Acids Res. 2018;46(D1):D1062-D7. doi: 10.1093/nar/gkx1153. PubMed PMID: 29165669; PubMed Central PMCID: PMCPMC5753237.</w:t>
      </w:r>
    </w:p>
    <w:p w14:paraId="528B07EF"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11.</w:t>
      </w:r>
      <w:r w:rsidRPr="00DE4772">
        <w:rPr>
          <w:rFonts w:ascii="Arial" w:hAnsi="Arial" w:cs="Arial"/>
          <w:sz w:val="24"/>
          <w:szCs w:val="24"/>
        </w:rPr>
        <w:tab/>
        <w:t>Bouilly J, Messina A, Papadakis G, Cassatella D, Xu C, Acierno JS, et al. DCC/NTN1 complex mutations in patients with congenital hypogonadotropic hypogonadism impair GnRH neuron development. Hum Mol Genet. 2018;27(2):359-72. doi: 10.1093/hmg/ddx408. PubMed PMID: 29202173.</w:t>
      </w:r>
    </w:p>
    <w:p w14:paraId="3ABC4A58" w14:textId="77777777" w:rsidR="00DE4772" w:rsidRPr="00DE4772" w:rsidRDefault="00DE4772" w:rsidP="00DE4772">
      <w:pPr>
        <w:pStyle w:val="EndNoteBibliography"/>
        <w:rPr>
          <w:rFonts w:ascii="Arial" w:hAnsi="Arial" w:cs="Arial"/>
          <w:sz w:val="24"/>
          <w:szCs w:val="24"/>
        </w:rPr>
      </w:pPr>
      <w:r w:rsidRPr="00DE4772">
        <w:rPr>
          <w:rFonts w:ascii="Arial" w:hAnsi="Arial" w:cs="Arial"/>
          <w:sz w:val="24"/>
          <w:szCs w:val="24"/>
        </w:rPr>
        <w:t>12.</w:t>
      </w:r>
      <w:r w:rsidRPr="00DE4772">
        <w:rPr>
          <w:rFonts w:ascii="Arial" w:hAnsi="Arial" w:cs="Arial"/>
          <w:sz w:val="24"/>
          <w:szCs w:val="24"/>
        </w:rPr>
        <w:tab/>
        <w:t>Sykiotis GP, Plummer L, Hughes VA, Au M, Durrani S, Nayak-Young S, et al. Oligogenic basis of isolated gonadotropin-releasing hormone deficiency. Proc Natl Acad Sci U S A. 2010;107(34):15140-4. doi: 1009622107 [pii]</w:t>
      </w:r>
    </w:p>
    <w:p w14:paraId="647CE8BC" w14:textId="77777777" w:rsidR="00DE4772" w:rsidRPr="00DE4772" w:rsidRDefault="00DE4772" w:rsidP="00DE4772">
      <w:pPr>
        <w:pStyle w:val="EndNoteBibliography"/>
        <w:rPr>
          <w:rFonts w:ascii="Arial" w:hAnsi="Arial" w:cs="Arial"/>
          <w:sz w:val="24"/>
          <w:szCs w:val="24"/>
        </w:rPr>
      </w:pPr>
      <w:r w:rsidRPr="00DE4772">
        <w:rPr>
          <w:rFonts w:ascii="Arial" w:hAnsi="Arial" w:cs="Arial"/>
          <w:sz w:val="24"/>
          <w:szCs w:val="24"/>
        </w:rPr>
        <w:t>10.1073/pnas.1009622107. PubMed PMID: 20696889; PubMed Central PMCID: PMCPMC2930591.</w:t>
      </w:r>
    </w:p>
    <w:p w14:paraId="26F95B2D"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13.</w:t>
      </w:r>
      <w:r w:rsidRPr="00DE4772">
        <w:rPr>
          <w:rFonts w:ascii="Arial" w:hAnsi="Arial" w:cs="Arial"/>
          <w:sz w:val="24"/>
          <w:szCs w:val="24"/>
        </w:rPr>
        <w:tab/>
        <w:t>Cox KH, Oliveira LMB, Plummer L, Corbin B, Gardella T, Balasubramanian R, et al. Modeling mutant/wild-type interactions to ascertain pathogenicity of PROKR2 missense variants in patients with isolated GnRH deficiency. Hum Mol Genet. 2018;27(2):338-50. doi: 10.1093/hmg/ddx404. PubMed PMID: 29161432; PubMed Central PMCID: PMCPMC5886255.</w:t>
      </w:r>
    </w:p>
    <w:p w14:paraId="472B8FE2"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14.</w:t>
      </w:r>
      <w:r w:rsidRPr="00DE4772">
        <w:rPr>
          <w:rFonts w:ascii="Arial" w:hAnsi="Arial" w:cs="Arial"/>
          <w:sz w:val="24"/>
          <w:szCs w:val="24"/>
        </w:rPr>
        <w:tab/>
        <w:t>Dodé C, Teixeira L, Levilliers J, Fouveaut C, Bouchard P, Kottler ML, et al. Kallmann syndrome: mutations in the genes encoding prokineticin-2 and prokineticin receptor-2. PLoS Genet. 2006;2(10):e175. Epub 2006/09/01. doi: 10.1371/journal.pgen.0020175. PubMed PMID: 17054399; PubMed Central PMCID: PMCPMC1617130.</w:t>
      </w:r>
    </w:p>
    <w:p w14:paraId="6D3BB654"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15.</w:t>
      </w:r>
      <w:r w:rsidRPr="00DE4772">
        <w:rPr>
          <w:rFonts w:ascii="Arial" w:hAnsi="Arial" w:cs="Arial"/>
          <w:sz w:val="24"/>
          <w:szCs w:val="24"/>
        </w:rPr>
        <w:tab/>
        <w:t>Monnier C, Dodé C, Fabre L, Teixeira L, Labesse G, Pin JP, et al. PROKR2 missense mutations associated with Kallmann syndrome impair receptor signalling activity. Hum Mol Genet. 2009;18(1):75-81. Epub 2008/09/29. doi: 10.1093/hmg/ddn318. PubMed PMID: 18826963; PubMed Central PMCID: PMCPMC3298864.</w:t>
      </w:r>
    </w:p>
    <w:p w14:paraId="26CE9D91"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16.</w:t>
      </w:r>
      <w:r w:rsidRPr="00DE4772">
        <w:rPr>
          <w:rFonts w:ascii="Arial" w:hAnsi="Arial" w:cs="Arial"/>
          <w:sz w:val="24"/>
          <w:szCs w:val="24"/>
        </w:rPr>
        <w:tab/>
        <w:t xml:space="preserve">Quaynor SD, Kim HG, Cappello EM, Williams T, Chorich LP, Bick DP, et al. The prevalence of digenic mutations in patients with normosmic hypogonadotropic </w:t>
      </w:r>
      <w:r w:rsidRPr="00DE4772">
        <w:rPr>
          <w:rFonts w:ascii="Arial" w:hAnsi="Arial" w:cs="Arial"/>
          <w:sz w:val="24"/>
          <w:szCs w:val="24"/>
        </w:rPr>
        <w:lastRenderedPageBreak/>
        <w:t>hypogonadism and Kallmann syndrome. Fertil Steril. 2011;96(6):1424-30.e6. doi: 10.1016/j.fertnstert.2011.09.046. PubMed PMID: 22035731; PubMed Central PMCID: PMCPMC3573697.</w:t>
      </w:r>
    </w:p>
    <w:p w14:paraId="5F7F90A0"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17.</w:t>
      </w:r>
      <w:r w:rsidRPr="00DE4772">
        <w:rPr>
          <w:rFonts w:ascii="Arial" w:hAnsi="Arial" w:cs="Arial"/>
          <w:sz w:val="24"/>
          <w:szCs w:val="24"/>
        </w:rPr>
        <w:tab/>
        <w:t>Stamou MI, Varnavas P, Kentrou M, Adamidou F, Voutetakis A, Jing J, et al. Isolated GNRH deficiency: genotypic and phenotypic characteristics of the genetically heterogeneous Greek population. Eur J Endocrinol. 2017;176(3):L1-L5. Epub 2016/11/24. doi: 10.1530/EJE-16-0505. PubMed PMID: 27884859; PubMed Central PMCID: PMCPMC5881574.</w:t>
      </w:r>
    </w:p>
    <w:p w14:paraId="3BDC38DF"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18.</w:t>
      </w:r>
      <w:r w:rsidRPr="00DE4772">
        <w:rPr>
          <w:rFonts w:ascii="Arial" w:hAnsi="Arial" w:cs="Arial"/>
          <w:sz w:val="24"/>
          <w:szCs w:val="24"/>
        </w:rPr>
        <w:tab/>
        <w:t>Chan YM, Broder-Fingert S, Paraschos S, Lapatto R, Au M, Hughes V, et al. GnRH-Deficient Phenotypes in Humans and Mice with Heterozygous Variants in KISS1/Kiss1. J Clin Endocrinol Metab. 2011. doi: jc.2011-0518 [pii]</w:t>
      </w:r>
    </w:p>
    <w:p w14:paraId="0A7E8853" w14:textId="77777777" w:rsidR="00DE4772" w:rsidRPr="00DE4772" w:rsidRDefault="00DE4772" w:rsidP="00DE4772">
      <w:pPr>
        <w:pStyle w:val="EndNoteBibliography"/>
        <w:rPr>
          <w:rFonts w:ascii="Arial" w:hAnsi="Arial" w:cs="Arial"/>
          <w:sz w:val="24"/>
          <w:szCs w:val="24"/>
        </w:rPr>
      </w:pPr>
      <w:r w:rsidRPr="00DE4772">
        <w:rPr>
          <w:rFonts w:ascii="Arial" w:hAnsi="Arial" w:cs="Arial"/>
          <w:sz w:val="24"/>
          <w:szCs w:val="24"/>
        </w:rPr>
        <w:t>10.1210/jc.2011-0518. PubMed PMID: 21880801.</w:t>
      </w:r>
    </w:p>
    <w:p w14:paraId="33408C4E"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19.</w:t>
      </w:r>
      <w:r w:rsidRPr="00DE4772">
        <w:rPr>
          <w:rFonts w:ascii="Arial" w:hAnsi="Arial" w:cs="Arial"/>
          <w:sz w:val="24"/>
          <w:szCs w:val="24"/>
        </w:rPr>
        <w:tab/>
        <w:t>Gianetti E, Tusset C, Noel SD, Au MG, Dwyer AA, Hughes VA, et al. TAC3/TACR3 mutations reveal preferential activation of gonadotropin-releasing hormone release by neurokinin B in neonatal life followed by reversal in adulthood. J Clin Endocrinol Metab. 2010;95(6):2857-67. Epub 2010/03/23. doi: 10.1210/jc.2009-2320. PubMed PMID: 20332248; PubMed Central PMCID: PMCPMC2902066.</w:t>
      </w:r>
    </w:p>
    <w:p w14:paraId="4E534FFF"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20.</w:t>
      </w:r>
      <w:r w:rsidRPr="00DE4772">
        <w:rPr>
          <w:rFonts w:ascii="Arial" w:hAnsi="Arial" w:cs="Arial"/>
          <w:sz w:val="24"/>
          <w:szCs w:val="24"/>
        </w:rPr>
        <w:tab/>
        <w:t>Kim HG, Ahn JW, Kurth I, Ullmann R, Kim HT, Kulharya A, et al. WDR11, a WD protein that interacts with transcription factor EMX1, is mutated in idiopathic hypogonadotropic hypogonadism and Kallmann syndrome. Am J Hum Genet. 2010;87(4):465-79. doi: 10.1016/j.ajhg.2010.08.018. PubMed PMID: 20887964; PubMed Central PMCID: PMCPMC2948809.</w:t>
      </w:r>
    </w:p>
    <w:p w14:paraId="6D30C44C"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21.</w:t>
      </w:r>
      <w:r w:rsidRPr="00DE4772">
        <w:rPr>
          <w:rFonts w:ascii="Arial" w:hAnsi="Arial" w:cs="Arial"/>
          <w:sz w:val="24"/>
          <w:szCs w:val="24"/>
        </w:rPr>
        <w:tab/>
        <w:t>Kim YJ, Osborn DP, Lee JY, Araki M, Araki K, Mohun T, et al. WDR11-mediated Hedgehog signalling defects underlie a new ciliopathy related to Kallmann syndrome. EMBO Rep. 2018;19(2):269-89. Epub 2017/12/20. doi: 10.15252/embr.201744632. PubMed PMID: 29263200; PubMed Central PMCID: PMCPMC5797970.</w:t>
      </w:r>
    </w:p>
    <w:p w14:paraId="02E78F93"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22.</w:t>
      </w:r>
      <w:r w:rsidRPr="00DE4772">
        <w:rPr>
          <w:rFonts w:ascii="Arial" w:hAnsi="Arial" w:cs="Arial"/>
          <w:sz w:val="24"/>
          <w:szCs w:val="24"/>
        </w:rPr>
        <w:tab/>
        <w:t>Zhou C, Niu Y, Xu H, Li Z, Wang T, Yang W, et al. Mutation profiles and clinical characteristics of Chinese males with isolated hypogonadotropic hypogonadism. Fertil Steril. 2018;110(3):486-95.e5. doi: 10.1016/j.fertnstert.2018.04.010. PubMed PMID: 30098700.</w:t>
      </w:r>
    </w:p>
    <w:p w14:paraId="087BA68A"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23.</w:t>
      </w:r>
      <w:r w:rsidRPr="00DE4772">
        <w:rPr>
          <w:rFonts w:ascii="Arial" w:hAnsi="Arial" w:cs="Arial"/>
          <w:sz w:val="24"/>
          <w:szCs w:val="24"/>
        </w:rPr>
        <w:tab/>
        <w:t>Semple RK, Achermann JC, Ellery J, Farooqi IS, Karet FE, Stanhope RG, et al. Two novel missense mutations in g protein-coupled receptor 54 in a patient with hypogonadotropic hypogonadism. J Clin Endocrinol Metab. 2005;90(3):1849-55. Epub 2004/12/14. doi: 10.1210/jc.2004-1418. PubMed PMID: 15598687.</w:t>
      </w:r>
    </w:p>
    <w:p w14:paraId="0AB0AF17"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24.</w:t>
      </w:r>
      <w:r w:rsidRPr="00DE4772">
        <w:rPr>
          <w:rFonts w:ascii="Arial" w:hAnsi="Arial" w:cs="Arial"/>
          <w:sz w:val="24"/>
          <w:szCs w:val="24"/>
        </w:rPr>
        <w:tab/>
        <w:t>Salian-Mehta S, Xu M, Knox AJ, Plummer L, Slavov D, Taylor M, et al. Functional consequences of AXL sequence variants in hypogonadotropic hypogonadism. J Clin Endocrinol Metab. 2014;99(4):1452-60. Epub 2014/01/29. doi: 10.1210/jc.2013-3426. PubMed PMID: 24476074; PubMed Central PMCID: PMCPMC3973777.</w:t>
      </w:r>
    </w:p>
    <w:p w14:paraId="3739BD3E"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25.</w:t>
      </w:r>
      <w:r w:rsidRPr="00DE4772">
        <w:rPr>
          <w:rFonts w:ascii="Arial" w:hAnsi="Arial" w:cs="Arial"/>
          <w:sz w:val="24"/>
          <w:szCs w:val="24"/>
        </w:rPr>
        <w:tab/>
        <w:t>Avbelj Stefanija M, Jeanpierre M, Sykiotis GP, Young J, Quinton R, Abreu AP, et al. An ancient founder mutation in PROKR2 impairs human reproduction. Hum Mol Genet. 2012;21(19):4314-24. Epub 2012/07/05. doi: 10.1093/hmg/dds264. PubMed PMID: 22773735; PubMed Central PMCID: PMCPMC3441126.</w:t>
      </w:r>
    </w:p>
    <w:p w14:paraId="3D1DD170"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26.</w:t>
      </w:r>
      <w:r w:rsidRPr="00DE4772">
        <w:rPr>
          <w:rFonts w:ascii="Arial" w:hAnsi="Arial" w:cs="Arial"/>
          <w:sz w:val="24"/>
          <w:szCs w:val="24"/>
        </w:rPr>
        <w:tab/>
        <w:t xml:space="preserve">Cole LW, Sidis Y, Zhang C, Quinton R, Plummer L, Pignatelli D, et al. Mutations in prokineticin 2 and prokineticin receptor 2 genes in human gonadotrophin-releasing hormone deficiency: molecular genetics and clinical spectrum. J Clin Endocrinol Metab. </w:t>
      </w:r>
      <w:r w:rsidRPr="00DE4772">
        <w:rPr>
          <w:rFonts w:ascii="Arial" w:hAnsi="Arial" w:cs="Arial"/>
          <w:sz w:val="24"/>
          <w:szCs w:val="24"/>
        </w:rPr>
        <w:lastRenderedPageBreak/>
        <w:t>2008;93(9):3551-9. Epub 2008/06/17. doi: 10.1210/jc.2007-2654. PubMed PMID: 18559922; PubMed Central PMCID: PMCPMC2567850.</w:t>
      </w:r>
    </w:p>
    <w:p w14:paraId="3BF8876F"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27.</w:t>
      </w:r>
      <w:r w:rsidRPr="00DE4772">
        <w:rPr>
          <w:rFonts w:ascii="Arial" w:hAnsi="Arial" w:cs="Arial"/>
          <w:sz w:val="24"/>
          <w:szCs w:val="24"/>
        </w:rPr>
        <w:tab/>
        <w:t>Zhang S, Xu H, Wang T, Liu G, Liu J. The KAL1 pVal610Ile mutation is a recessive mutation causing Kallmann syndrome. Fertil Steril. 2013;99(6):1720-3. Epub 2013/02/11. doi: 10.1016/j.fertnstert.2013.01.099. PubMed PMID: 23410897.</w:t>
      </w:r>
    </w:p>
    <w:p w14:paraId="48708DAF"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28.</w:t>
      </w:r>
      <w:r w:rsidRPr="00DE4772">
        <w:rPr>
          <w:rFonts w:ascii="Arial" w:hAnsi="Arial" w:cs="Arial"/>
          <w:sz w:val="24"/>
          <w:szCs w:val="24"/>
        </w:rPr>
        <w:tab/>
        <w:t>Shaw ND, Seminara SB, Welt CK, Au MG, Plummer L, Hughes VA, et al. Expanding the phenotype and genotype of female GnRH deficiency. J Clin Endocrinol Metab. 2011;96(3):E566-76. doi: 10.1210/jc.2010-2292. PubMed PMID: 21209029; PubMed Central PMCID: PMCPMC3047229.</w:t>
      </w:r>
    </w:p>
    <w:p w14:paraId="20F83CAE" w14:textId="77777777" w:rsidR="00DE4772" w:rsidRPr="00DE4772" w:rsidRDefault="00DE4772" w:rsidP="00DE4772">
      <w:pPr>
        <w:pStyle w:val="EndNoteBibliography"/>
        <w:spacing w:after="0"/>
        <w:rPr>
          <w:rFonts w:ascii="Arial" w:hAnsi="Arial" w:cs="Arial"/>
          <w:sz w:val="24"/>
          <w:szCs w:val="24"/>
        </w:rPr>
      </w:pPr>
      <w:r w:rsidRPr="00DE4772">
        <w:rPr>
          <w:rFonts w:ascii="Arial" w:hAnsi="Arial" w:cs="Arial"/>
          <w:sz w:val="24"/>
          <w:szCs w:val="24"/>
        </w:rPr>
        <w:t xml:space="preserve">29. </w:t>
      </w:r>
      <w:r w:rsidRPr="00DE4772">
        <w:rPr>
          <w:rFonts w:ascii="Arial" w:hAnsi="Arial" w:cs="Arial"/>
          <w:sz w:val="24"/>
          <w:szCs w:val="24"/>
        </w:rPr>
        <w:tab/>
        <w:t>Caronia LM, Martin C, Welt CK, Sykiotis GP, Quinton R, Thambundit A, Avbelj M, Dhruvakumar S, Plummer L, Hughes VA, Seminara SB, Boepple PA, Sidis Y, Crowley WF, Jr., Martin KA, Hall JE, Pitteloud N. A genetic basis for functional hypothalamic amenorrhea. The New England journal of medicine. 2011;364(3):215-25. Epub 2011/04/08. doi: 10.1210/jc.2010-3046</w:t>
      </w:r>
    </w:p>
    <w:p w14:paraId="6E3CAB56" w14:textId="77777777" w:rsidR="00DE4772" w:rsidRPr="00DE4772" w:rsidRDefault="00DE4772" w:rsidP="00DE4772">
      <w:pPr>
        <w:rPr>
          <w:rFonts w:ascii="Arial" w:hAnsi="Arial" w:cs="Arial"/>
          <w:sz w:val="24"/>
          <w:szCs w:val="24"/>
        </w:rPr>
      </w:pPr>
      <w:r w:rsidRPr="00DE4772">
        <w:rPr>
          <w:rFonts w:ascii="Arial" w:hAnsi="Arial" w:cs="Arial"/>
          <w:sz w:val="24"/>
          <w:szCs w:val="24"/>
        </w:rPr>
        <w:fldChar w:fldCharType="end"/>
      </w:r>
    </w:p>
    <w:p w14:paraId="2A089058" w14:textId="77777777" w:rsidR="00DE4772" w:rsidRPr="00DE4772" w:rsidRDefault="00DE4772" w:rsidP="00D712A9">
      <w:pPr>
        <w:spacing w:after="0" w:line="480" w:lineRule="auto"/>
        <w:rPr>
          <w:rFonts w:ascii="Arial" w:hAnsi="Arial" w:cs="Arial"/>
          <w:sz w:val="24"/>
          <w:szCs w:val="24"/>
        </w:rPr>
      </w:pPr>
    </w:p>
    <w:sectPr w:rsidR="00DE4772" w:rsidRPr="00DE47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I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712A9"/>
    <w:rsid w:val="00D712A9"/>
    <w:rsid w:val="00DE4772"/>
    <w:rsid w:val="00FF2F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3DB30"/>
  <w15:chartTrackingRefBased/>
  <w15:docId w15:val="{B580F7B1-4FFB-47FE-8631-8F93B37A1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2A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12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12A9"/>
    <w:rPr>
      <w:rFonts w:ascii="Segoe UI" w:hAnsi="Segoe UI" w:cs="Segoe UI"/>
      <w:sz w:val="18"/>
      <w:szCs w:val="18"/>
    </w:rPr>
  </w:style>
  <w:style w:type="paragraph" w:customStyle="1" w:styleId="EndNoteBibliographyTitle">
    <w:name w:val="EndNote Bibliography Title"/>
    <w:basedOn w:val="Normal"/>
    <w:link w:val="EndNoteBibliographyTitleChar"/>
    <w:rsid w:val="00D712A9"/>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D712A9"/>
    <w:rPr>
      <w:rFonts w:ascii="Calibri" w:hAnsi="Calibri" w:cs="Calibri"/>
      <w:noProof/>
    </w:rPr>
  </w:style>
  <w:style w:type="paragraph" w:customStyle="1" w:styleId="EndNoteBibliography">
    <w:name w:val="EndNote Bibliography"/>
    <w:basedOn w:val="Normal"/>
    <w:link w:val="EndNoteBibliographyChar"/>
    <w:rsid w:val="00D712A9"/>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D712A9"/>
    <w:rPr>
      <w:rFonts w:ascii="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4567493FF081429271DF6034C2597A" ma:contentTypeVersion="10" ma:contentTypeDescription="Create a new document." ma:contentTypeScope="" ma:versionID="7872fdd8596216a3da5eb7d1f1c59751">
  <xsd:schema xmlns:xsd="http://www.w3.org/2001/XMLSchema" xmlns:xs="http://www.w3.org/2001/XMLSchema" xmlns:p="http://schemas.microsoft.com/office/2006/metadata/properties" xmlns:ns3="fd0eb03f-65b9-4df1-b951-bb1ff73902f2" targetNamespace="http://schemas.microsoft.com/office/2006/metadata/properties" ma:root="true" ma:fieldsID="2b80ebb07926aaa947685826f292c0c7" ns3:_="">
    <xsd:import namespace="fd0eb03f-65b9-4df1-b951-bb1ff73902f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0eb03f-65b9-4df1-b951-bb1ff739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B1E489-4B99-42F0-B0E1-A09E53850CCB}">
  <ds:schemaRefs>
    <ds:schemaRef ds:uri="http://purl.org/dc/elements/1.1/"/>
    <ds:schemaRef ds:uri="http://schemas.microsoft.com/office/2006/metadata/properties"/>
    <ds:schemaRef ds:uri="fd0eb03f-65b9-4df1-b951-bb1ff73902f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EA4C90D-7A18-47F8-9FB1-ED9A59965064}">
  <ds:schemaRefs>
    <ds:schemaRef ds:uri="http://schemas.microsoft.com/sharepoint/v3/contenttype/forms"/>
  </ds:schemaRefs>
</ds:datastoreItem>
</file>

<file path=customXml/itemProps3.xml><?xml version="1.0" encoding="utf-8"?>
<ds:datastoreItem xmlns:ds="http://schemas.openxmlformats.org/officeDocument/2006/customXml" ds:itemID="{6CC2E47D-1864-4A44-A487-7368475A8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0eb03f-65b9-4df1-b951-bb1ff73902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1446</Words>
  <Characters>8244</Characters>
  <Application>Microsoft Office Word</Application>
  <DocSecurity>0</DocSecurity>
  <Lines>68</Lines>
  <Paragraphs>19</Paragraphs>
  <ScaleCrop>false</ScaleCrop>
  <Company/>
  <LinksUpToDate>false</LinksUpToDate>
  <CharactersWithSpaces>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Delaney, Angela</dc:creator>
  <cp:keywords/>
  <dc:description/>
  <cp:lastModifiedBy>Delaney, Angela</cp:lastModifiedBy>
  <cp:revision>2</cp:revision>
  <dcterms:created xsi:type="dcterms:W3CDTF">2020-08-16T17:05:00Z</dcterms:created>
  <dcterms:modified xsi:type="dcterms:W3CDTF">2020-08-16T17:05:00Z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0x0101000E4567493FF081429271DF6034C2597A</vt:lpwstr>
  </property>
</Properties>
</file>