
<file path=[Content_Types].xml><?xml version="1.0" encoding="utf-8"?>
<Types xmlns="http://schemas.openxmlformats.org/package/2006/content-types">
  <Default Extension="xml" ContentType="application/xml"/>
  <Default Extension="tif" ContentType="image/tif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373314" w14:textId="77A52B30" w:rsidR="000959BD" w:rsidRDefault="000959BD" w:rsidP="000D2358">
      <w:pPr>
        <w:ind w:firstLine="0"/>
        <w:rPr>
          <w:b/>
          <w:snapToGrid w:val="0"/>
          <w:color w:val="auto"/>
          <w:sz w:val="28"/>
        </w:rPr>
      </w:pPr>
      <w:bookmarkStart w:id="0" w:name="OLE_LINK1"/>
      <w:bookmarkStart w:id="1" w:name="OLE_LINK2"/>
      <w:r w:rsidRPr="000959BD">
        <w:rPr>
          <w:b/>
          <w:snapToGrid w:val="0"/>
          <w:color w:val="auto"/>
          <w:sz w:val="28"/>
        </w:rPr>
        <w:t xml:space="preserve">An optimal parameters-based geographical detector model </w:t>
      </w:r>
      <w:r w:rsidR="001F5B92">
        <w:rPr>
          <w:b/>
          <w:snapToGrid w:val="0"/>
          <w:color w:val="auto"/>
          <w:sz w:val="28"/>
        </w:rPr>
        <w:t>enhances</w:t>
      </w:r>
      <w:bookmarkStart w:id="2" w:name="_GoBack"/>
      <w:bookmarkEnd w:id="2"/>
      <w:r w:rsidRPr="000959BD">
        <w:rPr>
          <w:b/>
          <w:snapToGrid w:val="0"/>
          <w:color w:val="auto"/>
          <w:sz w:val="28"/>
        </w:rPr>
        <w:t xml:space="preserve"> geographic characteristics of explanatory variables for spatial heterogeneity analysis: Cases with different types of spatial data</w:t>
      </w:r>
    </w:p>
    <w:p w14:paraId="5B1EAE8C" w14:textId="1CAF801A" w:rsidR="000D2358" w:rsidRDefault="000D2358" w:rsidP="000D2358">
      <w:pPr>
        <w:ind w:firstLine="0"/>
        <w:rPr>
          <w:color w:val="auto"/>
        </w:rPr>
      </w:pPr>
      <w:r w:rsidRPr="004C13DC">
        <w:rPr>
          <w:color w:val="auto"/>
        </w:rPr>
        <w:t xml:space="preserve"> </w:t>
      </w:r>
    </w:p>
    <w:p w14:paraId="3216426D" w14:textId="77777777" w:rsidR="00F6060D" w:rsidRDefault="00F6060D" w:rsidP="00F6060D">
      <w:pPr>
        <w:ind w:firstLine="0"/>
        <w:rPr>
          <w:b/>
          <w:snapToGrid w:val="0"/>
          <w:color w:val="auto"/>
          <w:sz w:val="28"/>
        </w:rPr>
      </w:pPr>
      <w:r>
        <w:rPr>
          <w:rFonts w:hint="eastAsia"/>
          <w:b/>
          <w:snapToGrid w:val="0"/>
          <w:color w:val="auto"/>
          <w:sz w:val="28"/>
        </w:rPr>
        <w:t>Supplementary Information 1: Overview of the GD package</w:t>
      </w:r>
    </w:p>
    <w:p w14:paraId="6A35EEC7" w14:textId="77777777" w:rsidR="00F6060D" w:rsidRPr="004C13DC" w:rsidRDefault="00F6060D" w:rsidP="000D2358">
      <w:pPr>
        <w:ind w:firstLine="0"/>
        <w:rPr>
          <w:color w:val="auto"/>
        </w:rPr>
      </w:pPr>
    </w:p>
    <w:bookmarkEnd w:id="0"/>
    <w:bookmarkEnd w:id="1"/>
    <w:p w14:paraId="6C8B7F23" w14:textId="15FD5AB1" w:rsidR="0031172D" w:rsidRPr="004C13DC" w:rsidRDefault="00E13113" w:rsidP="0087655F">
      <w:pPr>
        <w:rPr>
          <w:color w:val="auto"/>
        </w:rPr>
      </w:pPr>
      <w:r w:rsidRPr="00F6060D">
        <w:rPr>
          <w:rFonts w:hint="eastAsia"/>
          <w:color w:val="auto"/>
        </w:rPr>
        <w:t xml:space="preserve">The GD package contains a set of functions </w:t>
      </w:r>
      <w:r w:rsidR="005C3A4C">
        <w:rPr>
          <w:rFonts w:hint="eastAsia"/>
          <w:color w:val="auto"/>
        </w:rPr>
        <w:t xml:space="preserve">of the </w:t>
      </w:r>
      <w:r w:rsidR="005C3A4C" w:rsidRPr="005C3A4C">
        <w:rPr>
          <w:color w:val="auto"/>
        </w:rPr>
        <w:t>optimal parameters-based geographical detector</w:t>
      </w:r>
      <w:r w:rsidR="005C3A4C">
        <w:rPr>
          <w:rFonts w:hint="eastAsia"/>
          <w:color w:val="auto"/>
        </w:rPr>
        <w:t xml:space="preserve"> (OPGD)</w:t>
      </w:r>
      <w:r w:rsidR="005C3A4C" w:rsidRPr="005C3A4C">
        <w:rPr>
          <w:color w:val="auto"/>
        </w:rPr>
        <w:t xml:space="preserve"> model</w:t>
      </w:r>
      <w:r w:rsidR="005C3A4C">
        <w:rPr>
          <w:rFonts w:hint="eastAsia"/>
          <w:color w:val="auto"/>
        </w:rPr>
        <w:t>. Results of the GD package based analysis include</w:t>
      </w:r>
      <w:r w:rsidRPr="00F6060D">
        <w:rPr>
          <w:rFonts w:hint="eastAsia"/>
          <w:color w:val="auto"/>
        </w:rPr>
        <w:t xml:space="preserve"> </w:t>
      </w:r>
      <w:r w:rsidR="005C3A4C">
        <w:rPr>
          <w:rFonts w:hint="eastAsia"/>
          <w:color w:val="auto"/>
        </w:rPr>
        <w:t xml:space="preserve">all </w:t>
      </w:r>
      <w:r w:rsidR="005C3A4C" w:rsidRPr="004C13DC">
        <w:rPr>
          <w:rFonts w:hint="eastAsia"/>
          <w:color w:val="auto"/>
        </w:rPr>
        <w:t xml:space="preserve">intermediate </w:t>
      </w:r>
      <w:r w:rsidR="005C3A4C">
        <w:rPr>
          <w:rFonts w:hint="eastAsia"/>
          <w:color w:val="auto"/>
        </w:rPr>
        <w:t>computation processes, spatial stratified analysis results,</w:t>
      </w:r>
      <w:r w:rsidR="005C3A4C" w:rsidRPr="00F6060D">
        <w:rPr>
          <w:rFonts w:hint="eastAsia"/>
          <w:color w:val="auto"/>
        </w:rPr>
        <w:t xml:space="preserve"> </w:t>
      </w:r>
      <w:r w:rsidRPr="00F6060D">
        <w:rPr>
          <w:rFonts w:hint="eastAsia"/>
          <w:color w:val="auto"/>
        </w:rPr>
        <w:t>and the</w:t>
      </w:r>
      <w:r w:rsidR="005C3A4C">
        <w:rPr>
          <w:rFonts w:hint="eastAsia"/>
          <w:color w:val="auto"/>
        </w:rPr>
        <w:t xml:space="preserve"> result</w:t>
      </w:r>
      <w:r w:rsidRPr="00F6060D">
        <w:rPr>
          <w:rFonts w:hint="eastAsia"/>
          <w:color w:val="auto"/>
        </w:rPr>
        <w:t xml:space="preserve"> </w:t>
      </w:r>
      <w:r w:rsidRPr="00F6060D">
        <w:rPr>
          <w:color w:val="auto"/>
        </w:rPr>
        <w:t xml:space="preserve">visualization. </w:t>
      </w:r>
      <w:r w:rsidR="00904748" w:rsidRPr="00F6060D">
        <w:rPr>
          <w:rFonts w:hint="eastAsia"/>
          <w:color w:val="auto"/>
        </w:rPr>
        <w:t>The</w:t>
      </w:r>
      <w:r w:rsidR="00904748" w:rsidRPr="00F6060D">
        <w:rPr>
          <w:color w:val="auto"/>
        </w:rPr>
        <w:t xml:space="preserve"> general computation</w:t>
      </w:r>
      <w:r w:rsidR="00904748" w:rsidRPr="00F6060D">
        <w:rPr>
          <w:rFonts w:hint="eastAsia"/>
          <w:color w:val="auto"/>
        </w:rPr>
        <w:t xml:space="preserve"> process and </w:t>
      </w:r>
      <w:r w:rsidR="00904748" w:rsidRPr="00F6060D">
        <w:rPr>
          <w:color w:val="auto"/>
        </w:rPr>
        <w:t>relationships</w:t>
      </w:r>
      <w:r w:rsidR="00904748" w:rsidRPr="00F6060D">
        <w:rPr>
          <w:rFonts w:hint="eastAsia"/>
          <w:color w:val="auto"/>
        </w:rPr>
        <w:t xml:space="preserve"> of </w:t>
      </w:r>
      <w:r w:rsidR="00904748" w:rsidRPr="00F6060D">
        <w:rPr>
          <w:color w:val="auto"/>
        </w:rPr>
        <w:t xml:space="preserve">functions </w:t>
      </w:r>
      <w:r w:rsidR="00904748" w:rsidRPr="00F6060D">
        <w:rPr>
          <w:rFonts w:hint="eastAsia"/>
          <w:color w:val="auto"/>
        </w:rPr>
        <w:t>for</w:t>
      </w:r>
      <w:r w:rsidR="00904748" w:rsidRPr="00F6060D">
        <w:rPr>
          <w:color w:val="auto"/>
        </w:rPr>
        <w:t xml:space="preserve"> spatial stratified heterogeneity analysis are shown in Figure </w:t>
      </w:r>
      <w:r w:rsidR="00F6060D">
        <w:rPr>
          <w:rFonts w:hint="eastAsia"/>
          <w:color w:val="auto"/>
        </w:rPr>
        <w:t>S</w:t>
      </w:r>
      <w:r w:rsidR="00904748" w:rsidRPr="00F6060D">
        <w:rPr>
          <w:color w:val="auto"/>
        </w:rPr>
        <w:t xml:space="preserve">1. </w:t>
      </w:r>
      <w:r w:rsidRPr="00F6060D">
        <w:rPr>
          <w:color w:val="auto"/>
        </w:rPr>
        <w:t xml:space="preserve">The functions within GD are briefly described in Table </w:t>
      </w:r>
      <w:r w:rsidR="00F6060D">
        <w:rPr>
          <w:rFonts w:hint="eastAsia"/>
          <w:color w:val="auto"/>
        </w:rPr>
        <w:t>S1</w:t>
      </w:r>
      <w:r w:rsidRPr="00F6060D">
        <w:rPr>
          <w:color w:val="auto"/>
        </w:rPr>
        <w:t>, and the usage of functions together with</w:t>
      </w:r>
      <w:r w:rsidRPr="004C13DC">
        <w:rPr>
          <w:color w:val="auto"/>
        </w:rPr>
        <w:t xml:space="preserve"> arguments, output function and visualization function are listed in Table </w:t>
      </w:r>
      <w:r w:rsidR="00E2793B">
        <w:rPr>
          <w:color w:val="auto"/>
        </w:rPr>
        <w:t>S</w:t>
      </w:r>
      <w:r w:rsidR="0082068B">
        <w:rPr>
          <w:rFonts w:hint="eastAsia"/>
          <w:color w:val="auto"/>
        </w:rPr>
        <w:t>2</w:t>
      </w:r>
      <w:r w:rsidRPr="004C13DC">
        <w:rPr>
          <w:color w:val="auto"/>
        </w:rPr>
        <w:t xml:space="preserve">. The functions </w:t>
      </w:r>
      <w:r w:rsidRPr="004C13DC">
        <w:rPr>
          <w:rFonts w:hint="eastAsia"/>
          <w:color w:val="auto"/>
        </w:rPr>
        <w:t xml:space="preserve">include four parts: </w:t>
      </w:r>
      <w:r w:rsidRPr="004C13DC">
        <w:rPr>
          <w:color w:val="auto"/>
        </w:rPr>
        <w:t>discretization and optimal discretization, geographical detectors</w:t>
      </w:r>
      <w:r w:rsidRPr="004C13DC">
        <w:rPr>
          <w:rFonts w:hint="eastAsia"/>
          <w:color w:val="auto"/>
        </w:rPr>
        <w:t>, one-step</w:t>
      </w:r>
      <w:r w:rsidRPr="004C13DC">
        <w:rPr>
          <w:color w:val="auto"/>
        </w:rPr>
        <w:t xml:space="preserve"> model</w:t>
      </w:r>
      <w:r w:rsidRPr="004C13DC">
        <w:rPr>
          <w:rFonts w:hint="eastAsia"/>
          <w:color w:val="auto"/>
        </w:rPr>
        <w:t xml:space="preserve"> and assessment of size effects of spatial units</w:t>
      </w:r>
      <w:r w:rsidRPr="004C13DC">
        <w:rPr>
          <w:color w:val="auto"/>
        </w:rPr>
        <w:t xml:space="preserve">. </w:t>
      </w:r>
    </w:p>
    <w:p w14:paraId="6DE1A6C9" w14:textId="579F37EE" w:rsidR="00904748" w:rsidRPr="004C13DC" w:rsidRDefault="00CB5430" w:rsidP="00CB5430">
      <w:pPr>
        <w:ind w:firstLine="0"/>
        <w:rPr>
          <w:color w:val="auto"/>
        </w:rPr>
      </w:pPr>
      <w:r>
        <w:rPr>
          <w:rFonts w:hint="eastAsia"/>
          <w:noProof/>
          <w:color w:val="auto"/>
          <w:lang w:val="en-GB" w:eastAsia="zh-CN"/>
        </w:rPr>
        <w:lastRenderedPageBreak/>
        <w:drawing>
          <wp:inline distT="0" distB="0" distL="0" distR="0" wp14:anchorId="123187B2" wp14:editId="2702A7A1">
            <wp:extent cx="5615940" cy="464693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 1.tif"/>
                    <pic:cNvPicPr/>
                  </pic:nvPicPr>
                  <pic:blipFill>
                    <a:blip r:embed="rId7" cstate="email">
                      <a:extLst>
                        <a:ext uri="{28A0092B-C50C-407E-A947-70E740481C1C}">
                          <a14:useLocalDpi xmlns:a14="http://schemas.microsoft.com/office/drawing/2010/main"/>
                        </a:ext>
                      </a:extLst>
                    </a:blip>
                    <a:stretch>
                      <a:fillRect/>
                    </a:stretch>
                  </pic:blipFill>
                  <pic:spPr>
                    <a:xfrm>
                      <a:off x="0" y="0"/>
                      <a:ext cx="5615940" cy="4646930"/>
                    </a:xfrm>
                    <a:prstGeom prst="rect">
                      <a:avLst/>
                    </a:prstGeom>
                  </pic:spPr>
                </pic:pic>
              </a:graphicData>
            </a:graphic>
          </wp:inline>
        </w:drawing>
      </w:r>
    </w:p>
    <w:p w14:paraId="17518024" w14:textId="4E1D3F7B" w:rsidR="00F6060D" w:rsidRDefault="00904748" w:rsidP="00F6060D">
      <w:pPr>
        <w:rPr>
          <w:color w:val="auto"/>
        </w:rPr>
      </w:pPr>
      <w:r w:rsidRPr="004C13DC">
        <w:rPr>
          <w:b/>
          <w:color w:val="auto"/>
        </w:rPr>
        <w:t xml:space="preserve">Figure </w:t>
      </w:r>
      <w:r w:rsidR="00F6060D">
        <w:rPr>
          <w:rFonts w:hint="eastAsia"/>
          <w:b/>
          <w:color w:val="auto"/>
        </w:rPr>
        <w:t>S</w:t>
      </w:r>
      <w:r w:rsidRPr="004C13DC">
        <w:rPr>
          <w:b/>
          <w:color w:val="auto"/>
        </w:rPr>
        <w:t>1.</w:t>
      </w:r>
      <w:r w:rsidRPr="004C13DC">
        <w:rPr>
          <w:color w:val="auto"/>
        </w:rPr>
        <w:t xml:space="preserve"> General calculation process and the relationships of functions in GD package</w:t>
      </w:r>
    </w:p>
    <w:p w14:paraId="3544B63B" w14:textId="77777777" w:rsidR="006066A9" w:rsidRPr="004C13DC" w:rsidRDefault="006066A9" w:rsidP="00F6060D">
      <w:pPr>
        <w:rPr>
          <w:color w:val="auto"/>
        </w:rPr>
      </w:pPr>
    </w:p>
    <w:p w14:paraId="49403DB8" w14:textId="4934702E" w:rsidR="00950C1C" w:rsidRPr="004C13DC" w:rsidRDefault="00950C1C" w:rsidP="007B6022">
      <w:r w:rsidRPr="004C13DC">
        <w:rPr>
          <w:rFonts w:hint="eastAsia"/>
          <w:b/>
        </w:rPr>
        <w:t xml:space="preserve">Table </w:t>
      </w:r>
      <w:r w:rsidR="00F6060D">
        <w:rPr>
          <w:rFonts w:hint="eastAsia"/>
          <w:b/>
        </w:rPr>
        <w:t>S1</w:t>
      </w:r>
      <w:r w:rsidRPr="004C13DC">
        <w:rPr>
          <w:rFonts w:hint="eastAsia"/>
          <w:b/>
        </w:rPr>
        <w:t>.</w:t>
      </w:r>
      <w:r w:rsidRPr="004C13DC">
        <w:rPr>
          <w:rFonts w:hint="eastAsia"/>
        </w:rPr>
        <w:t xml:space="preserve"> </w:t>
      </w:r>
      <w:r w:rsidRPr="004C13DC">
        <w:t>Summary of functions in the GD package</w:t>
      </w:r>
    </w:p>
    <w:tbl>
      <w:tblPr>
        <w:tblW w:w="9020"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560"/>
        <w:gridCol w:w="7460"/>
      </w:tblGrid>
      <w:tr w:rsidR="004C13DC" w:rsidRPr="007C6F01" w14:paraId="3A3488A2" w14:textId="77777777" w:rsidTr="0082068B">
        <w:trPr>
          <w:trHeight w:val="320"/>
        </w:trPr>
        <w:tc>
          <w:tcPr>
            <w:tcW w:w="1560" w:type="dxa"/>
            <w:shd w:val="clear" w:color="auto" w:fill="auto"/>
            <w:noWrap/>
            <w:hideMark/>
          </w:tcPr>
          <w:p w14:paraId="408C8D37" w14:textId="77777777" w:rsidR="00950C1C" w:rsidRPr="007C6F01" w:rsidRDefault="00950C1C" w:rsidP="007C6F01">
            <w:pPr>
              <w:spacing w:line="240" w:lineRule="auto"/>
              <w:ind w:firstLine="0"/>
              <w:rPr>
                <w:b/>
                <w:color w:val="auto"/>
                <w:sz w:val="20"/>
              </w:rPr>
            </w:pPr>
            <w:r w:rsidRPr="007C6F01">
              <w:rPr>
                <w:b/>
                <w:color w:val="auto"/>
                <w:sz w:val="20"/>
              </w:rPr>
              <w:t>Function</w:t>
            </w:r>
          </w:p>
        </w:tc>
        <w:tc>
          <w:tcPr>
            <w:tcW w:w="7460" w:type="dxa"/>
            <w:shd w:val="clear" w:color="auto" w:fill="auto"/>
            <w:noWrap/>
            <w:hideMark/>
          </w:tcPr>
          <w:p w14:paraId="6B125ADC" w14:textId="77777777" w:rsidR="00950C1C" w:rsidRPr="007C6F01" w:rsidRDefault="00950C1C" w:rsidP="007C6F01">
            <w:pPr>
              <w:spacing w:line="240" w:lineRule="auto"/>
              <w:ind w:firstLine="0"/>
              <w:rPr>
                <w:b/>
                <w:color w:val="auto"/>
                <w:sz w:val="20"/>
              </w:rPr>
            </w:pPr>
            <w:r w:rsidRPr="007C6F01">
              <w:rPr>
                <w:b/>
                <w:color w:val="auto"/>
                <w:sz w:val="20"/>
              </w:rPr>
              <w:t>Description</w:t>
            </w:r>
          </w:p>
        </w:tc>
      </w:tr>
      <w:tr w:rsidR="004C13DC" w:rsidRPr="007C6F01" w14:paraId="143D8397" w14:textId="77777777" w:rsidTr="0082068B">
        <w:trPr>
          <w:trHeight w:val="320"/>
        </w:trPr>
        <w:tc>
          <w:tcPr>
            <w:tcW w:w="1560" w:type="dxa"/>
            <w:shd w:val="clear" w:color="auto" w:fill="auto"/>
            <w:noWrap/>
            <w:hideMark/>
          </w:tcPr>
          <w:p w14:paraId="0C6A791C" w14:textId="77777777" w:rsidR="00950C1C" w:rsidRPr="0082068B" w:rsidRDefault="00950C1C" w:rsidP="007C6F01">
            <w:pPr>
              <w:spacing w:line="240" w:lineRule="auto"/>
              <w:ind w:firstLine="0"/>
              <w:rPr>
                <w:i/>
                <w:color w:val="auto"/>
                <w:sz w:val="20"/>
              </w:rPr>
            </w:pPr>
            <w:r w:rsidRPr="0082068B">
              <w:rPr>
                <w:i/>
                <w:color w:val="auto"/>
                <w:sz w:val="20"/>
              </w:rPr>
              <w:t>disc</w:t>
            </w:r>
          </w:p>
        </w:tc>
        <w:tc>
          <w:tcPr>
            <w:tcW w:w="7460" w:type="dxa"/>
            <w:shd w:val="clear" w:color="auto" w:fill="auto"/>
            <w:noWrap/>
            <w:hideMark/>
          </w:tcPr>
          <w:p w14:paraId="6BB4DADF" w14:textId="77777777" w:rsidR="00950C1C" w:rsidRPr="007C6F01" w:rsidRDefault="00950C1C" w:rsidP="007C6F01">
            <w:pPr>
              <w:spacing w:line="240" w:lineRule="auto"/>
              <w:ind w:firstLine="0"/>
              <w:rPr>
                <w:color w:val="auto"/>
                <w:sz w:val="20"/>
              </w:rPr>
            </w:pPr>
            <w:r w:rsidRPr="007C6F01">
              <w:rPr>
                <w:color w:val="auto"/>
                <w:sz w:val="20"/>
              </w:rPr>
              <w:t xml:space="preserve">Function for discretizing continuous data and obtaining the different outputs, including discretization intervals, numbers of values within intervals, and visualization of discretization. </w:t>
            </w:r>
          </w:p>
        </w:tc>
      </w:tr>
      <w:tr w:rsidR="004C13DC" w:rsidRPr="007C6F01" w14:paraId="28B9F825" w14:textId="77777777" w:rsidTr="0082068B">
        <w:trPr>
          <w:trHeight w:val="320"/>
        </w:trPr>
        <w:tc>
          <w:tcPr>
            <w:tcW w:w="1560" w:type="dxa"/>
            <w:shd w:val="clear" w:color="auto" w:fill="auto"/>
            <w:noWrap/>
          </w:tcPr>
          <w:p w14:paraId="150EDFC6" w14:textId="77777777" w:rsidR="00950C1C" w:rsidRPr="0082068B" w:rsidRDefault="00950C1C" w:rsidP="007C6F01">
            <w:pPr>
              <w:spacing w:line="240" w:lineRule="auto"/>
              <w:ind w:firstLine="0"/>
              <w:rPr>
                <w:i/>
                <w:color w:val="auto"/>
                <w:sz w:val="20"/>
              </w:rPr>
            </w:pPr>
            <w:r w:rsidRPr="0082068B">
              <w:rPr>
                <w:rFonts w:hint="eastAsia"/>
                <w:i/>
                <w:color w:val="auto"/>
                <w:sz w:val="20"/>
              </w:rPr>
              <w:t>optidisc</w:t>
            </w:r>
          </w:p>
        </w:tc>
        <w:tc>
          <w:tcPr>
            <w:tcW w:w="7460" w:type="dxa"/>
            <w:shd w:val="clear" w:color="auto" w:fill="auto"/>
            <w:noWrap/>
          </w:tcPr>
          <w:p w14:paraId="76AB67CC" w14:textId="77777777" w:rsidR="00950C1C" w:rsidRPr="007C6F01" w:rsidRDefault="00950C1C" w:rsidP="007C6F01">
            <w:pPr>
              <w:spacing w:line="240" w:lineRule="auto"/>
              <w:ind w:firstLine="0"/>
              <w:rPr>
                <w:color w:val="auto"/>
                <w:sz w:val="20"/>
              </w:rPr>
            </w:pPr>
            <w:r w:rsidRPr="007C6F01">
              <w:rPr>
                <w:rFonts w:hint="eastAsia"/>
                <w:color w:val="auto"/>
                <w:sz w:val="20"/>
              </w:rPr>
              <w:t>O</w:t>
            </w:r>
            <w:r w:rsidRPr="007C6F01">
              <w:rPr>
                <w:color w:val="auto"/>
                <w:sz w:val="20"/>
              </w:rPr>
              <w:t>ptimal discretization for continuous variables</w:t>
            </w:r>
            <w:r w:rsidRPr="007C6F01">
              <w:rPr>
                <w:rFonts w:hint="eastAsia"/>
                <w:color w:val="auto"/>
                <w:sz w:val="20"/>
              </w:rPr>
              <w:t xml:space="preserve"> and visualization.</w:t>
            </w:r>
          </w:p>
        </w:tc>
      </w:tr>
      <w:tr w:rsidR="004C13DC" w:rsidRPr="007C6F01" w14:paraId="71A0E3F4" w14:textId="77777777" w:rsidTr="0082068B">
        <w:trPr>
          <w:trHeight w:val="320"/>
        </w:trPr>
        <w:tc>
          <w:tcPr>
            <w:tcW w:w="1560" w:type="dxa"/>
            <w:shd w:val="clear" w:color="auto" w:fill="auto"/>
            <w:noWrap/>
            <w:hideMark/>
          </w:tcPr>
          <w:p w14:paraId="017160D0" w14:textId="77777777" w:rsidR="00950C1C" w:rsidRPr="0082068B" w:rsidRDefault="00950C1C" w:rsidP="007C6F01">
            <w:pPr>
              <w:spacing w:line="240" w:lineRule="auto"/>
              <w:ind w:firstLine="0"/>
              <w:rPr>
                <w:i/>
                <w:color w:val="auto"/>
                <w:sz w:val="20"/>
              </w:rPr>
            </w:pPr>
            <w:r w:rsidRPr="0082068B">
              <w:rPr>
                <w:i/>
                <w:color w:val="auto"/>
                <w:sz w:val="20"/>
              </w:rPr>
              <w:t>gd</w:t>
            </w:r>
          </w:p>
        </w:tc>
        <w:tc>
          <w:tcPr>
            <w:tcW w:w="7460" w:type="dxa"/>
            <w:shd w:val="clear" w:color="auto" w:fill="auto"/>
            <w:noWrap/>
            <w:hideMark/>
          </w:tcPr>
          <w:p w14:paraId="759BB5F8" w14:textId="77777777" w:rsidR="00950C1C" w:rsidRPr="007C6F01" w:rsidRDefault="00950C1C" w:rsidP="007C6F01">
            <w:pPr>
              <w:spacing w:line="240" w:lineRule="auto"/>
              <w:ind w:firstLine="0"/>
              <w:rPr>
                <w:color w:val="auto"/>
                <w:sz w:val="20"/>
              </w:rPr>
            </w:pPr>
            <w:r w:rsidRPr="007C6F01">
              <w:rPr>
                <w:color w:val="auto"/>
                <w:sz w:val="20"/>
              </w:rPr>
              <w:t>Function for calculating power determinant using factor detector of geographical detectors</w:t>
            </w:r>
            <w:r w:rsidRPr="007C6F01">
              <w:rPr>
                <w:rFonts w:hint="eastAsia"/>
                <w:color w:val="auto"/>
                <w:sz w:val="20"/>
              </w:rPr>
              <w:t xml:space="preserve"> and visualization</w:t>
            </w:r>
            <w:r w:rsidRPr="007C6F01">
              <w:rPr>
                <w:color w:val="auto"/>
                <w:sz w:val="20"/>
              </w:rPr>
              <w:t>.</w:t>
            </w:r>
          </w:p>
        </w:tc>
      </w:tr>
      <w:tr w:rsidR="004C13DC" w:rsidRPr="007C6F01" w14:paraId="47377D23" w14:textId="77777777" w:rsidTr="0082068B">
        <w:trPr>
          <w:trHeight w:val="320"/>
        </w:trPr>
        <w:tc>
          <w:tcPr>
            <w:tcW w:w="1560" w:type="dxa"/>
            <w:shd w:val="clear" w:color="auto" w:fill="auto"/>
            <w:noWrap/>
          </w:tcPr>
          <w:p w14:paraId="4455EC92" w14:textId="77777777" w:rsidR="00950C1C" w:rsidRPr="0082068B" w:rsidRDefault="00950C1C" w:rsidP="007C6F01">
            <w:pPr>
              <w:spacing w:line="240" w:lineRule="auto"/>
              <w:ind w:firstLine="0"/>
              <w:rPr>
                <w:i/>
                <w:color w:val="auto"/>
                <w:sz w:val="20"/>
              </w:rPr>
            </w:pPr>
            <w:r w:rsidRPr="0082068B">
              <w:rPr>
                <w:i/>
                <w:color w:val="auto"/>
                <w:sz w:val="20"/>
              </w:rPr>
              <w:t>riskmean</w:t>
            </w:r>
          </w:p>
        </w:tc>
        <w:tc>
          <w:tcPr>
            <w:tcW w:w="7460" w:type="dxa"/>
            <w:shd w:val="clear" w:color="auto" w:fill="auto"/>
            <w:noWrap/>
          </w:tcPr>
          <w:p w14:paraId="2F616A4B" w14:textId="77777777" w:rsidR="00950C1C" w:rsidRPr="007C6F01" w:rsidRDefault="00950C1C" w:rsidP="007C6F01">
            <w:pPr>
              <w:spacing w:line="240" w:lineRule="auto"/>
              <w:ind w:firstLine="0"/>
              <w:rPr>
                <w:color w:val="auto"/>
                <w:sz w:val="20"/>
              </w:rPr>
            </w:pPr>
            <w:r w:rsidRPr="007C6F01">
              <w:rPr>
                <w:color w:val="auto"/>
                <w:sz w:val="20"/>
              </w:rPr>
              <w:t>Function for calculating risk means within intervals</w:t>
            </w:r>
            <w:r w:rsidRPr="007C6F01">
              <w:rPr>
                <w:rFonts w:hint="eastAsia"/>
                <w:color w:val="auto"/>
                <w:sz w:val="20"/>
              </w:rPr>
              <w:t xml:space="preserve"> and visualization</w:t>
            </w:r>
            <w:r w:rsidRPr="007C6F01">
              <w:rPr>
                <w:color w:val="auto"/>
                <w:sz w:val="20"/>
              </w:rPr>
              <w:t>.</w:t>
            </w:r>
          </w:p>
        </w:tc>
      </w:tr>
      <w:tr w:rsidR="004C13DC" w:rsidRPr="007C6F01" w14:paraId="10CD8D67" w14:textId="77777777" w:rsidTr="0082068B">
        <w:trPr>
          <w:trHeight w:val="320"/>
        </w:trPr>
        <w:tc>
          <w:tcPr>
            <w:tcW w:w="1560" w:type="dxa"/>
            <w:shd w:val="clear" w:color="auto" w:fill="auto"/>
            <w:noWrap/>
          </w:tcPr>
          <w:p w14:paraId="36C882E7" w14:textId="77777777" w:rsidR="00950C1C" w:rsidRPr="0082068B" w:rsidRDefault="00950C1C" w:rsidP="007C6F01">
            <w:pPr>
              <w:spacing w:line="240" w:lineRule="auto"/>
              <w:ind w:firstLine="0"/>
              <w:rPr>
                <w:i/>
                <w:color w:val="auto"/>
                <w:sz w:val="20"/>
              </w:rPr>
            </w:pPr>
            <w:r w:rsidRPr="0082068B">
              <w:rPr>
                <w:i/>
                <w:color w:val="auto"/>
                <w:sz w:val="20"/>
              </w:rPr>
              <w:t>gdrisk</w:t>
            </w:r>
          </w:p>
        </w:tc>
        <w:tc>
          <w:tcPr>
            <w:tcW w:w="7460" w:type="dxa"/>
            <w:shd w:val="clear" w:color="auto" w:fill="auto"/>
            <w:noWrap/>
          </w:tcPr>
          <w:p w14:paraId="4552B3EE" w14:textId="77777777" w:rsidR="00950C1C" w:rsidRPr="007C6F01" w:rsidRDefault="00950C1C" w:rsidP="007C6F01">
            <w:pPr>
              <w:spacing w:line="240" w:lineRule="auto"/>
              <w:ind w:firstLine="0"/>
              <w:rPr>
                <w:color w:val="auto"/>
                <w:sz w:val="20"/>
              </w:rPr>
            </w:pPr>
            <w:r w:rsidRPr="007C6F01">
              <w:rPr>
                <w:color w:val="auto"/>
                <w:sz w:val="20"/>
              </w:rPr>
              <w:t>Function for risk detector calculation</w:t>
            </w:r>
            <w:r w:rsidRPr="007C6F01">
              <w:rPr>
                <w:rFonts w:hint="eastAsia"/>
                <w:color w:val="auto"/>
                <w:sz w:val="20"/>
              </w:rPr>
              <w:t>, risk matrix and visualization</w:t>
            </w:r>
            <w:r w:rsidRPr="007C6F01">
              <w:rPr>
                <w:color w:val="auto"/>
                <w:sz w:val="20"/>
              </w:rPr>
              <w:t>.</w:t>
            </w:r>
          </w:p>
        </w:tc>
      </w:tr>
      <w:tr w:rsidR="004C13DC" w:rsidRPr="007C6F01" w14:paraId="07D4E1C9" w14:textId="77777777" w:rsidTr="0082068B">
        <w:trPr>
          <w:trHeight w:val="320"/>
        </w:trPr>
        <w:tc>
          <w:tcPr>
            <w:tcW w:w="1560" w:type="dxa"/>
            <w:shd w:val="clear" w:color="auto" w:fill="auto"/>
            <w:noWrap/>
          </w:tcPr>
          <w:p w14:paraId="38B65706" w14:textId="77777777" w:rsidR="00950C1C" w:rsidRPr="0082068B" w:rsidRDefault="00950C1C" w:rsidP="007C6F01">
            <w:pPr>
              <w:spacing w:line="240" w:lineRule="auto"/>
              <w:ind w:firstLine="0"/>
              <w:rPr>
                <w:i/>
                <w:color w:val="auto"/>
                <w:sz w:val="20"/>
              </w:rPr>
            </w:pPr>
            <w:r w:rsidRPr="0082068B">
              <w:rPr>
                <w:i/>
                <w:color w:val="auto"/>
                <w:sz w:val="20"/>
              </w:rPr>
              <w:t>gdinteract</w:t>
            </w:r>
          </w:p>
        </w:tc>
        <w:tc>
          <w:tcPr>
            <w:tcW w:w="7460" w:type="dxa"/>
            <w:shd w:val="clear" w:color="auto" w:fill="auto"/>
            <w:noWrap/>
          </w:tcPr>
          <w:p w14:paraId="46355A45" w14:textId="77777777" w:rsidR="00950C1C" w:rsidRPr="007C6F01" w:rsidRDefault="00950C1C" w:rsidP="007C6F01">
            <w:pPr>
              <w:spacing w:line="240" w:lineRule="auto"/>
              <w:ind w:firstLine="0"/>
              <w:rPr>
                <w:color w:val="auto"/>
                <w:sz w:val="20"/>
              </w:rPr>
            </w:pPr>
            <w:r w:rsidRPr="007C6F01">
              <w:rPr>
                <w:color w:val="auto"/>
                <w:sz w:val="20"/>
              </w:rPr>
              <w:t>Function for interaction detector calculation</w:t>
            </w:r>
            <w:r w:rsidRPr="007C6F01">
              <w:rPr>
                <w:rFonts w:hint="eastAsia"/>
                <w:color w:val="auto"/>
                <w:sz w:val="20"/>
              </w:rPr>
              <w:t xml:space="preserve"> and visualization</w:t>
            </w:r>
            <w:r w:rsidRPr="007C6F01">
              <w:rPr>
                <w:color w:val="auto"/>
                <w:sz w:val="20"/>
              </w:rPr>
              <w:t>.</w:t>
            </w:r>
          </w:p>
        </w:tc>
      </w:tr>
      <w:tr w:rsidR="004C13DC" w:rsidRPr="007C6F01" w14:paraId="025A3718" w14:textId="77777777" w:rsidTr="0082068B">
        <w:trPr>
          <w:trHeight w:val="320"/>
        </w:trPr>
        <w:tc>
          <w:tcPr>
            <w:tcW w:w="1560" w:type="dxa"/>
            <w:shd w:val="clear" w:color="auto" w:fill="auto"/>
            <w:noWrap/>
          </w:tcPr>
          <w:p w14:paraId="0CE691E5" w14:textId="77777777" w:rsidR="00950C1C" w:rsidRPr="0082068B" w:rsidRDefault="00950C1C" w:rsidP="007C6F01">
            <w:pPr>
              <w:spacing w:line="240" w:lineRule="auto"/>
              <w:ind w:firstLine="0"/>
              <w:rPr>
                <w:i/>
                <w:color w:val="auto"/>
                <w:sz w:val="20"/>
              </w:rPr>
            </w:pPr>
            <w:r w:rsidRPr="0082068B">
              <w:rPr>
                <w:i/>
                <w:color w:val="auto"/>
                <w:sz w:val="20"/>
              </w:rPr>
              <w:t>gdeco</w:t>
            </w:r>
          </w:p>
        </w:tc>
        <w:tc>
          <w:tcPr>
            <w:tcW w:w="7460" w:type="dxa"/>
            <w:shd w:val="clear" w:color="auto" w:fill="auto"/>
            <w:noWrap/>
          </w:tcPr>
          <w:p w14:paraId="0477C8AD" w14:textId="02968CA8" w:rsidR="00950C1C" w:rsidRPr="007C6F01" w:rsidRDefault="00950C1C" w:rsidP="007C6F01">
            <w:pPr>
              <w:spacing w:line="240" w:lineRule="auto"/>
              <w:ind w:firstLine="0"/>
              <w:rPr>
                <w:color w:val="auto"/>
                <w:sz w:val="20"/>
              </w:rPr>
            </w:pPr>
            <w:r w:rsidRPr="007C6F01">
              <w:rPr>
                <w:color w:val="auto"/>
                <w:sz w:val="20"/>
              </w:rPr>
              <w:t xml:space="preserve">Function for ecological detector calculation, ecological matrix and </w:t>
            </w:r>
            <w:r w:rsidR="00832834" w:rsidRPr="007C6F01">
              <w:rPr>
                <w:color w:val="auto"/>
                <w:sz w:val="20"/>
              </w:rPr>
              <w:t>visualization</w:t>
            </w:r>
            <w:r w:rsidRPr="007C6F01">
              <w:rPr>
                <w:color w:val="auto"/>
                <w:sz w:val="20"/>
              </w:rPr>
              <w:t>.</w:t>
            </w:r>
          </w:p>
        </w:tc>
      </w:tr>
      <w:tr w:rsidR="004C13DC" w:rsidRPr="007C6F01" w14:paraId="744A8596" w14:textId="77777777" w:rsidTr="0082068B">
        <w:trPr>
          <w:trHeight w:val="320"/>
        </w:trPr>
        <w:tc>
          <w:tcPr>
            <w:tcW w:w="1560" w:type="dxa"/>
            <w:shd w:val="clear" w:color="auto" w:fill="auto"/>
            <w:noWrap/>
            <w:hideMark/>
          </w:tcPr>
          <w:p w14:paraId="5A004791" w14:textId="77777777" w:rsidR="00950C1C" w:rsidRPr="0082068B" w:rsidRDefault="00950C1C" w:rsidP="007C6F01">
            <w:pPr>
              <w:spacing w:line="240" w:lineRule="auto"/>
              <w:ind w:firstLine="0"/>
              <w:rPr>
                <w:i/>
                <w:color w:val="auto"/>
                <w:sz w:val="20"/>
              </w:rPr>
            </w:pPr>
            <w:r w:rsidRPr="0082068B">
              <w:rPr>
                <w:rFonts w:hint="eastAsia"/>
                <w:i/>
                <w:color w:val="auto"/>
                <w:sz w:val="20"/>
              </w:rPr>
              <w:t>gdm</w:t>
            </w:r>
          </w:p>
        </w:tc>
        <w:tc>
          <w:tcPr>
            <w:tcW w:w="7460" w:type="dxa"/>
            <w:shd w:val="clear" w:color="auto" w:fill="auto"/>
            <w:noWrap/>
            <w:hideMark/>
          </w:tcPr>
          <w:p w14:paraId="57C67A31" w14:textId="77777777" w:rsidR="00950C1C" w:rsidRPr="007C6F01" w:rsidRDefault="00950C1C" w:rsidP="007C6F01">
            <w:pPr>
              <w:spacing w:line="240" w:lineRule="auto"/>
              <w:ind w:firstLine="0"/>
              <w:rPr>
                <w:color w:val="auto"/>
                <w:sz w:val="20"/>
              </w:rPr>
            </w:pPr>
            <w:r w:rsidRPr="007C6F01">
              <w:rPr>
                <w:rFonts w:hint="eastAsia"/>
                <w:color w:val="auto"/>
                <w:sz w:val="20"/>
              </w:rPr>
              <w:t>A one-step function for optimal discretization and geographical detectors for multiple variables and visualization</w:t>
            </w:r>
            <w:r w:rsidRPr="007C6F01">
              <w:rPr>
                <w:color w:val="auto"/>
                <w:sz w:val="20"/>
              </w:rPr>
              <w:t>.</w:t>
            </w:r>
          </w:p>
        </w:tc>
      </w:tr>
      <w:tr w:rsidR="004C13DC" w:rsidRPr="007C6F01" w14:paraId="58661313" w14:textId="77777777" w:rsidTr="0082068B">
        <w:trPr>
          <w:trHeight w:val="320"/>
        </w:trPr>
        <w:tc>
          <w:tcPr>
            <w:tcW w:w="1560" w:type="dxa"/>
            <w:shd w:val="clear" w:color="auto" w:fill="auto"/>
            <w:noWrap/>
            <w:hideMark/>
          </w:tcPr>
          <w:p w14:paraId="69F3B8E3" w14:textId="77777777" w:rsidR="00950C1C" w:rsidRPr="0082068B" w:rsidRDefault="00950C1C" w:rsidP="007C6F01">
            <w:pPr>
              <w:spacing w:line="240" w:lineRule="auto"/>
              <w:ind w:firstLine="0"/>
              <w:rPr>
                <w:i/>
                <w:color w:val="auto"/>
                <w:sz w:val="20"/>
              </w:rPr>
            </w:pPr>
            <w:r w:rsidRPr="0082068B">
              <w:rPr>
                <w:rFonts w:hint="eastAsia"/>
                <w:i/>
                <w:color w:val="auto"/>
                <w:sz w:val="20"/>
              </w:rPr>
              <w:t>ses</w:t>
            </w:r>
            <w:r w:rsidRPr="0082068B">
              <w:rPr>
                <w:i/>
                <w:color w:val="auto"/>
                <w:sz w:val="20"/>
              </w:rPr>
              <w:t>u</w:t>
            </w:r>
          </w:p>
        </w:tc>
        <w:tc>
          <w:tcPr>
            <w:tcW w:w="7460" w:type="dxa"/>
            <w:shd w:val="clear" w:color="auto" w:fill="auto"/>
            <w:noWrap/>
            <w:hideMark/>
          </w:tcPr>
          <w:p w14:paraId="4608BDCC" w14:textId="77777777" w:rsidR="00950C1C" w:rsidRPr="007C6F01" w:rsidRDefault="00950C1C" w:rsidP="007C6F01">
            <w:pPr>
              <w:spacing w:line="240" w:lineRule="auto"/>
              <w:ind w:firstLine="0"/>
              <w:rPr>
                <w:color w:val="auto"/>
                <w:sz w:val="20"/>
              </w:rPr>
            </w:pPr>
            <w:r w:rsidRPr="007C6F01">
              <w:rPr>
                <w:rFonts w:hint="eastAsia"/>
                <w:color w:val="auto"/>
                <w:sz w:val="20"/>
              </w:rPr>
              <w:t>Function for comparison of size effects of spatial units in spatial heterogeneity analysis</w:t>
            </w:r>
            <w:r w:rsidRPr="007C6F01">
              <w:rPr>
                <w:color w:val="auto"/>
                <w:sz w:val="20"/>
              </w:rPr>
              <w:t>.</w:t>
            </w:r>
          </w:p>
        </w:tc>
      </w:tr>
    </w:tbl>
    <w:p w14:paraId="7E3B2438" w14:textId="77777777" w:rsidR="0082068B" w:rsidRDefault="0082068B" w:rsidP="0082068B">
      <w:pPr>
        <w:ind w:firstLine="0"/>
        <w:rPr>
          <w:color w:val="auto"/>
        </w:rPr>
      </w:pPr>
    </w:p>
    <w:p w14:paraId="3EFD1634" w14:textId="50E8B754" w:rsidR="0082068B" w:rsidRPr="004C13DC" w:rsidRDefault="0082068B" w:rsidP="0082068B">
      <w:pPr>
        <w:outlineLvl w:val="0"/>
      </w:pPr>
      <w:r w:rsidRPr="004C13DC">
        <w:rPr>
          <w:b/>
        </w:rPr>
        <w:lastRenderedPageBreak/>
        <w:t xml:space="preserve">Table </w:t>
      </w:r>
      <w:r>
        <w:rPr>
          <w:rFonts w:hint="eastAsia"/>
          <w:b/>
        </w:rPr>
        <w:t>S2</w:t>
      </w:r>
      <w:r w:rsidRPr="004C13DC">
        <w:rPr>
          <w:b/>
        </w:rPr>
        <w:t>.</w:t>
      </w:r>
      <w:r w:rsidRPr="004C13DC">
        <w:t xml:space="preserve"> Usage of functions in the GD package</w:t>
      </w:r>
    </w:p>
    <w:tbl>
      <w:tblPr>
        <w:tblW w:w="9066"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134"/>
        <w:gridCol w:w="1701"/>
        <w:gridCol w:w="4814"/>
        <w:gridCol w:w="1417"/>
      </w:tblGrid>
      <w:tr w:rsidR="0082068B" w:rsidRPr="007C6F01" w14:paraId="0A0997B8" w14:textId="77777777" w:rsidTr="0082068B">
        <w:trPr>
          <w:trHeight w:val="320"/>
        </w:trPr>
        <w:tc>
          <w:tcPr>
            <w:tcW w:w="1134" w:type="dxa"/>
            <w:shd w:val="clear" w:color="auto" w:fill="auto"/>
            <w:noWrap/>
            <w:vAlign w:val="center"/>
            <w:hideMark/>
          </w:tcPr>
          <w:p w14:paraId="0E49ADF9" w14:textId="77777777" w:rsidR="0082068B" w:rsidRPr="007C6F01" w:rsidRDefault="0082068B" w:rsidP="0082068B">
            <w:pPr>
              <w:spacing w:line="240" w:lineRule="auto"/>
              <w:ind w:firstLine="0"/>
              <w:jc w:val="center"/>
              <w:rPr>
                <w:b/>
                <w:sz w:val="20"/>
              </w:rPr>
            </w:pPr>
            <w:r w:rsidRPr="007C6F01">
              <w:rPr>
                <w:b/>
                <w:sz w:val="20"/>
              </w:rPr>
              <w:t>Function</w:t>
            </w:r>
          </w:p>
        </w:tc>
        <w:tc>
          <w:tcPr>
            <w:tcW w:w="1701" w:type="dxa"/>
            <w:shd w:val="clear" w:color="auto" w:fill="auto"/>
            <w:noWrap/>
            <w:vAlign w:val="center"/>
            <w:hideMark/>
          </w:tcPr>
          <w:p w14:paraId="3BA3DE35" w14:textId="77777777" w:rsidR="0082068B" w:rsidRPr="007C6F01" w:rsidRDefault="0082068B" w:rsidP="0082068B">
            <w:pPr>
              <w:spacing w:line="240" w:lineRule="auto"/>
              <w:ind w:firstLine="0"/>
              <w:jc w:val="center"/>
              <w:rPr>
                <w:b/>
                <w:sz w:val="20"/>
              </w:rPr>
            </w:pPr>
            <w:r w:rsidRPr="007C6F01">
              <w:rPr>
                <w:b/>
                <w:sz w:val="20"/>
              </w:rPr>
              <w:t>Usage</w:t>
            </w:r>
          </w:p>
        </w:tc>
        <w:tc>
          <w:tcPr>
            <w:tcW w:w="4814" w:type="dxa"/>
            <w:shd w:val="clear" w:color="auto" w:fill="auto"/>
            <w:vAlign w:val="center"/>
          </w:tcPr>
          <w:p w14:paraId="18906C4D" w14:textId="77777777" w:rsidR="0082068B" w:rsidRPr="007C6F01" w:rsidRDefault="0082068B" w:rsidP="0082068B">
            <w:pPr>
              <w:spacing w:line="240" w:lineRule="auto"/>
              <w:ind w:firstLine="0"/>
              <w:jc w:val="center"/>
              <w:rPr>
                <w:b/>
                <w:sz w:val="20"/>
              </w:rPr>
            </w:pPr>
            <w:r w:rsidRPr="007C6F01">
              <w:rPr>
                <w:b/>
                <w:sz w:val="20"/>
              </w:rPr>
              <w:t>Arguments</w:t>
            </w:r>
          </w:p>
        </w:tc>
        <w:tc>
          <w:tcPr>
            <w:tcW w:w="1417" w:type="dxa"/>
            <w:shd w:val="clear" w:color="auto" w:fill="auto"/>
            <w:vAlign w:val="center"/>
          </w:tcPr>
          <w:p w14:paraId="77977FAA" w14:textId="77777777" w:rsidR="0082068B" w:rsidRPr="007C6F01" w:rsidRDefault="0082068B" w:rsidP="0082068B">
            <w:pPr>
              <w:spacing w:line="240" w:lineRule="auto"/>
              <w:ind w:firstLine="0"/>
              <w:jc w:val="center"/>
              <w:rPr>
                <w:b/>
                <w:sz w:val="20"/>
              </w:rPr>
            </w:pPr>
            <w:r w:rsidRPr="007C6F01">
              <w:rPr>
                <w:b/>
                <w:sz w:val="20"/>
              </w:rPr>
              <w:t>Output and visualization functions</w:t>
            </w:r>
          </w:p>
        </w:tc>
      </w:tr>
      <w:tr w:rsidR="0082068B" w:rsidRPr="007C6F01" w14:paraId="5E4D829D" w14:textId="77777777" w:rsidTr="0082068B">
        <w:trPr>
          <w:trHeight w:val="320"/>
        </w:trPr>
        <w:tc>
          <w:tcPr>
            <w:tcW w:w="1134" w:type="dxa"/>
            <w:shd w:val="clear" w:color="auto" w:fill="auto"/>
            <w:noWrap/>
            <w:vAlign w:val="center"/>
            <w:hideMark/>
          </w:tcPr>
          <w:p w14:paraId="2D0E242B" w14:textId="77777777" w:rsidR="0082068B" w:rsidRPr="0082068B" w:rsidRDefault="0082068B" w:rsidP="0082068B">
            <w:pPr>
              <w:spacing w:line="240" w:lineRule="auto"/>
              <w:ind w:firstLine="0"/>
              <w:rPr>
                <w:i/>
                <w:sz w:val="20"/>
              </w:rPr>
            </w:pPr>
            <w:r w:rsidRPr="0082068B">
              <w:rPr>
                <w:i/>
                <w:sz w:val="20"/>
              </w:rPr>
              <w:t>disc</w:t>
            </w:r>
          </w:p>
        </w:tc>
        <w:tc>
          <w:tcPr>
            <w:tcW w:w="1701" w:type="dxa"/>
            <w:shd w:val="clear" w:color="auto" w:fill="auto"/>
            <w:noWrap/>
            <w:vAlign w:val="center"/>
            <w:hideMark/>
          </w:tcPr>
          <w:p w14:paraId="128E538D" w14:textId="77777777" w:rsidR="0082068B" w:rsidRPr="0082068B" w:rsidRDefault="0082068B" w:rsidP="0082068B">
            <w:pPr>
              <w:spacing w:line="240" w:lineRule="auto"/>
              <w:ind w:firstLine="0"/>
              <w:jc w:val="left"/>
              <w:rPr>
                <w:i/>
                <w:sz w:val="20"/>
              </w:rPr>
            </w:pPr>
            <w:r w:rsidRPr="0082068B">
              <w:rPr>
                <w:i/>
                <w:sz w:val="20"/>
              </w:rPr>
              <w:t>disc(var, n, method = "quantile", ManualItv)</w:t>
            </w:r>
          </w:p>
        </w:tc>
        <w:tc>
          <w:tcPr>
            <w:tcW w:w="4814" w:type="dxa"/>
            <w:shd w:val="clear" w:color="auto" w:fill="auto"/>
            <w:vAlign w:val="center"/>
          </w:tcPr>
          <w:p w14:paraId="7927F819" w14:textId="77777777" w:rsidR="0082068B" w:rsidRPr="007C6F01" w:rsidRDefault="0082068B" w:rsidP="0082068B">
            <w:pPr>
              <w:spacing w:line="240" w:lineRule="auto"/>
              <w:ind w:firstLine="0"/>
              <w:rPr>
                <w:sz w:val="20"/>
              </w:rPr>
            </w:pPr>
            <w:r w:rsidRPr="007C6F01">
              <w:rPr>
                <w:b/>
                <w:i/>
                <w:sz w:val="20"/>
              </w:rPr>
              <w:t>var</w:t>
            </w:r>
            <w:r w:rsidRPr="007C6F01">
              <w:rPr>
                <w:sz w:val="20"/>
              </w:rPr>
              <w:t>: A numeric vector of continuous variable</w:t>
            </w:r>
          </w:p>
          <w:p w14:paraId="0D65D9E9" w14:textId="77777777" w:rsidR="0082068B" w:rsidRPr="007C6F01" w:rsidRDefault="0082068B" w:rsidP="0082068B">
            <w:pPr>
              <w:spacing w:line="240" w:lineRule="auto"/>
              <w:ind w:firstLine="0"/>
              <w:rPr>
                <w:sz w:val="20"/>
              </w:rPr>
            </w:pPr>
            <w:r w:rsidRPr="007C6F01">
              <w:rPr>
                <w:b/>
                <w:i/>
                <w:sz w:val="20"/>
              </w:rPr>
              <w:t>n</w:t>
            </w:r>
            <w:r w:rsidRPr="007C6F01">
              <w:rPr>
                <w:sz w:val="20"/>
              </w:rPr>
              <w:t>: The number of intervals</w:t>
            </w:r>
          </w:p>
          <w:p w14:paraId="176578D1" w14:textId="77777777" w:rsidR="0082068B" w:rsidRPr="007C6F01" w:rsidRDefault="0082068B" w:rsidP="0082068B">
            <w:pPr>
              <w:spacing w:line="240" w:lineRule="auto"/>
              <w:ind w:firstLine="0"/>
              <w:rPr>
                <w:sz w:val="20"/>
              </w:rPr>
            </w:pPr>
            <w:r w:rsidRPr="007C6F01">
              <w:rPr>
                <w:b/>
                <w:i/>
                <w:sz w:val="20"/>
              </w:rPr>
              <w:t>method</w:t>
            </w:r>
            <w:r w:rsidRPr="007C6F01">
              <w:rPr>
                <w:sz w:val="20"/>
              </w:rPr>
              <w:t>: A character of discretization method. Both supervised and unsupervised discretization methods are available in the function. The supervised discretization methods include equal breaks, natural breaks, quantile breaks, geometric breaks and standard deviation breaks, and the unsupervised method supports manually defined breaking intervals.</w:t>
            </w:r>
          </w:p>
          <w:p w14:paraId="2AD8B41B" w14:textId="77777777" w:rsidR="0082068B" w:rsidRPr="007C6F01" w:rsidRDefault="0082068B" w:rsidP="0082068B">
            <w:pPr>
              <w:spacing w:line="240" w:lineRule="auto"/>
              <w:ind w:firstLine="0"/>
              <w:rPr>
                <w:sz w:val="20"/>
              </w:rPr>
            </w:pPr>
            <w:r w:rsidRPr="007C6F01">
              <w:rPr>
                <w:b/>
                <w:i/>
                <w:sz w:val="20"/>
              </w:rPr>
              <w:t>ManualItv</w:t>
            </w:r>
            <w:r w:rsidRPr="007C6F01">
              <w:rPr>
                <w:sz w:val="20"/>
              </w:rPr>
              <w:t>: A numeric vector of manual intervals</w:t>
            </w:r>
          </w:p>
        </w:tc>
        <w:tc>
          <w:tcPr>
            <w:tcW w:w="1417" w:type="dxa"/>
            <w:shd w:val="clear" w:color="auto" w:fill="auto"/>
            <w:vAlign w:val="center"/>
          </w:tcPr>
          <w:p w14:paraId="568242E7" w14:textId="77777777" w:rsidR="0082068B" w:rsidRPr="007C6F01" w:rsidRDefault="0082068B" w:rsidP="0082068B">
            <w:pPr>
              <w:spacing w:line="240" w:lineRule="auto"/>
              <w:ind w:firstLine="0"/>
              <w:jc w:val="left"/>
              <w:rPr>
                <w:sz w:val="20"/>
              </w:rPr>
            </w:pPr>
            <w:r w:rsidRPr="007C6F01">
              <w:rPr>
                <w:b/>
                <w:i/>
                <w:sz w:val="20"/>
              </w:rPr>
              <w:t>print</w:t>
            </w:r>
            <w:r w:rsidRPr="007C6F01">
              <w:rPr>
                <w:sz w:val="20"/>
              </w:rPr>
              <w:t xml:space="preserve">() and </w:t>
            </w:r>
            <w:r w:rsidRPr="007C6F01">
              <w:rPr>
                <w:b/>
                <w:i/>
                <w:sz w:val="20"/>
              </w:rPr>
              <w:t>plot</w:t>
            </w:r>
            <w:r w:rsidRPr="007C6F01">
              <w:rPr>
                <w:sz w:val="20"/>
              </w:rPr>
              <w:t>()</w:t>
            </w:r>
          </w:p>
        </w:tc>
      </w:tr>
      <w:tr w:rsidR="0082068B" w:rsidRPr="007C6F01" w14:paraId="5179B963" w14:textId="77777777" w:rsidTr="0082068B">
        <w:trPr>
          <w:trHeight w:val="320"/>
        </w:trPr>
        <w:tc>
          <w:tcPr>
            <w:tcW w:w="1134" w:type="dxa"/>
            <w:shd w:val="clear" w:color="auto" w:fill="auto"/>
            <w:noWrap/>
            <w:vAlign w:val="center"/>
          </w:tcPr>
          <w:p w14:paraId="08D2F7F2" w14:textId="77777777" w:rsidR="0082068B" w:rsidRPr="0082068B" w:rsidRDefault="0082068B" w:rsidP="0082068B">
            <w:pPr>
              <w:spacing w:line="240" w:lineRule="auto"/>
              <w:ind w:firstLine="0"/>
              <w:rPr>
                <w:i/>
                <w:sz w:val="20"/>
              </w:rPr>
            </w:pPr>
            <w:r w:rsidRPr="0082068B">
              <w:rPr>
                <w:i/>
                <w:sz w:val="20"/>
              </w:rPr>
              <w:t>optidisc</w:t>
            </w:r>
          </w:p>
        </w:tc>
        <w:tc>
          <w:tcPr>
            <w:tcW w:w="1701" w:type="dxa"/>
            <w:shd w:val="clear" w:color="auto" w:fill="auto"/>
            <w:noWrap/>
            <w:vAlign w:val="center"/>
          </w:tcPr>
          <w:p w14:paraId="207EC75F" w14:textId="77777777" w:rsidR="0082068B" w:rsidRPr="0082068B" w:rsidRDefault="0082068B" w:rsidP="0082068B">
            <w:pPr>
              <w:spacing w:line="240" w:lineRule="auto"/>
              <w:ind w:firstLine="0"/>
              <w:jc w:val="left"/>
              <w:rPr>
                <w:i/>
                <w:sz w:val="20"/>
                <w:lang w:eastAsia="zh-CN"/>
              </w:rPr>
            </w:pPr>
            <w:r w:rsidRPr="0082068B">
              <w:rPr>
                <w:i/>
                <w:sz w:val="20"/>
              </w:rPr>
              <w:t>optidisc(formula, data, discmethod = discmethod, discitv = discitv)</w:t>
            </w:r>
          </w:p>
        </w:tc>
        <w:tc>
          <w:tcPr>
            <w:tcW w:w="4814" w:type="dxa"/>
            <w:shd w:val="clear" w:color="auto" w:fill="auto"/>
            <w:vAlign w:val="center"/>
          </w:tcPr>
          <w:p w14:paraId="3AB353CA" w14:textId="77777777" w:rsidR="0082068B" w:rsidRPr="007C6F01" w:rsidRDefault="0082068B" w:rsidP="0082068B">
            <w:pPr>
              <w:spacing w:line="240" w:lineRule="auto"/>
              <w:ind w:firstLine="0"/>
              <w:rPr>
                <w:sz w:val="20"/>
              </w:rPr>
            </w:pPr>
            <w:r w:rsidRPr="007C6F01">
              <w:rPr>
                <w:b/>
                <w:i/>
                <w:sz w:val="20"/>
              </w:rPr>
              <w:t>formula</w:t>
            </w:r>
            <w:r w:rsidRPr="007C6F01">
              <w:rPr>
                <w:sz w:val="20"/>
              </w:rPr>
              <w:t>: A formula of response and explanatory variables</w:t>
            </w:r>
          </w:p>
          <w:p w14:paraId="0CA242C7" w14:textId="77777777" w:rsidR="0082068B" w:rsidRPr="007C6F01" w:rsidRDefault="0082068B" w:rsidP="0082068B">
            <w:pPr>
              <w:spacing w:line="240" w:lineRule="auto"/>
              <w:ind w:firstLine="0"/>
              <w:rPr>
                <w:sz w:val="20"/>
              </w:rPr>
            </w:pPr>
            <w:r w:rsidRPr="007C6F01">
              <w:rPr>
                <w:b/>
                <w:i/>
                <w:sz w:val="20"/>
              </w:rPr>
              <w:t>data</w:t>
            </w:r>
            <w:r w:rsidRPr="007C6F01">
              <w:rPr>
                <w:sz w:val="20"/>
              </w:rPr>
              <w:t>: A data.frame includes response and explanatory variables</w:t>
            </w:r>
            <w:r w:rsidRPr="007C6F01">
              <w:rPr>
                <w:b/>
                <w:i/>
                <w:sz w:val="20"/>
              </w:rPr>
              <w:t xml:space="preserve"> discmethod</w:t>
            </w:r>
            <w:r w:rsidRPr="007C6F01">
              <w:rPr>
                <w:sz w:val="20"/>
              </w:rPr>
              <w:t>: A character vector of discretization methods</w:t>
            </w:r>
          </w:p>
          <w:p w14:paraId="47E89054" w14:textId="77777777" w:rsidR="0082068B" w:rsidRPr="007C6F01" w:rsidRDefault="0082068B" w:rsidP="0082068B">
            <w:pPr>
              <w:spacing w:line="240" w:lineRule="auto"/>
              <w:ind w:firstLine="0"/>
              <w:rPr>
                <w:sz w:val="20"/>
              </w:rPr>
            </w:pPr>
            <w:r w:rsidRPr="007C6F01">
              <w:rPr>
                <w:b/>
                <w:i/>
                <w:sz w:val="20"/>
              </w:rPr>
              <w:t>discitv</w:t>
            </w:r>
            <w:r w:rsidRPr="007C6F01">
              <w:rPr>
                <w:sz w:val="20"/>
              </w:rPr>
              <w:t>: A numeric vector of numbers of intervals</w:t>
            </w:r>
          </w:p>
        </w:tc>
        <w:tc>
          <w:tcPr>
            <w:tcW w:w="1417" w:type="dxa"/>
            <w:shd w:val="clear" w:color="auto" w:fill="auto"/>
            <w:vAlign w:val="center"/>
          </w:tcPr>
          <w:p w14:paraId="3FF5BDA8" w14:textId="77777777" w:rsidR="0082068B" w:rsidRPr="007C6F01" w:rsidRDefault="0082068B" w:rsidP="0082068B">
            <w:pPr>
              <w:spacing w:line="240" w:lineRule="auto"/>
              <w:ind w:firstLine="0"/>
              <w:jc w:val="left"/>
              <w:rPr>
                <w:sz w:val="20"/>
              </w:rPr>
            </w:pPr>
            <w:r w:rsidRPr="007C6F01">
              <w:rPr>
                <w:b/>
                <w:i/>
                <w:sz w:val="20"/>
              </w:rPr>
              <w:t>print</w:t>
            </w:r>
            <w:r w:rsidRPr="007C6F01">
              <w:rPr>
                <w:sz w:val="20"/>
              </w:rPr>
              <w:t xml:space="preserve">() and </w:t>
            </w:r>
            <w:r w:rsidRPr="007C6F01">
              <w:rPr>
                <w:b/>
                <w:i/>
                <w:sz w:val="20"/>
              </w:rPr>
              <w:t>plot</w:t>
            </w:r>
            <w:r w:rsidRPr="007C6F01">
              <w:rPr>
                <w:sz w:val="20"/>
              </w:rPr>
              <w:t>()</w:t>
            </w:r>
          </w:p>
        </w:tc>
      </w:tr>
      <w:tr w:rsidR="0082068B" w:rsidRPr="007C6F01" w14:paraId="10072288" w14:textId="77777777" w:rsidTr="0082068B">
        <w:trPr>
          <w:trHeight w:val="320"/>
        </w:trPr>
        <w:tc>
          <w:tcPr>
            <w:tcW w:w="1134" w:type="dxa"/>
            <w:shd w:val="clear" w:color="auto" w:fill="auto"/>
            <w:noWrap/>
            <w:vAlign w:val="center"/>
            <w:hideMark/>
          </w:tcPr>
          <w:p w14:paraId="45C9DF42" w14:textId="77777777" w:rsidR="0082068B" w:rsidRPr="0082068B" w:rsidRDefault="0082068B" w:rsidP="0082068B">
            <w:pPr>
              <w:spacing w:line="240" w:lineRule="auto"/>
              <w:ind w:firstLine="0"/>
              <w:rPr>
                <w:i/>
                <w:sz w:val="20"/>
              </w:rPr>
            </w:pPr>
            <w:r w:rsidRPr="0082068B">
              <w:rPr>
                <w:i/>
                <w:sz w:val="20"/>
              </w:rPr>
              <w:t>gd</w:t>
            </w:r>
          </w:p>
        </w:tc>
        <w:tc>
          <w:tcPr>
            <w:tcW w:w="1701" w:type="dxa"/>
            <w:shd w:val="clear" w:color="auto" w:fill="auto"/>
            <w:noWrap/>
            <w:vAlign w:val="center"/>
            <w:hideMark/>
          </w:tcPr>
          <w:p w14:paraId="6C86CE13" w14:textId="77777777" w:rsidR="0082068B" w:rsidRPr="0082068B" w:rsidRDefault="0082068B" w:rsidP="0082068B">
            <w:pPr>
              <w:spacing w:line="240" w:lineRule="auto"/>
              <w:ind w:firstLine="0"/>
              <w:jc w:val="left"/>
              <w:rPr>
                <w:i/>
                <w:sz w:val="20"/>
              </w:rPr>
            </w:pPr>
            <w:r w:rsidRPr="0082068B">
              <w:rPr>
                <w:i/>
                <w:sz w:val="20"/>
              </w:rPr>
              <w:t>gd(formula, data = NULL)</w:t>
            </w:r>
          </w:p>
        </w:tc>
        <w:tc>
          <w:tcPr>
            <w:tcW w:w="4814" w:type="dxa"/>
            <w:vMerge w:val="restart"/>
            <w:shd w:val="clear" w:color="auto" w:fill="auto"/>
            <w:vAlign w:val="center"/>
          </w:tcPr>
          <w:p w14:paraId="0A9CACB6" w14:textId="77777777" w:rsidR="0082068B" w:rsidRPr="007C6F01" w:rsidRDefault="0082068B" w:rsidP="0082068B">
            <w:pPr>
              <w:spacing w:line="240" w:lineRule="auto"/>
              <w:ind w:firstLine="0"/>
              <w:rPr>
                <w:sz w:val="20"/>
              </w:rPr>
            </w:pPr>
            <w:r w:rsidRPr="007C6F01">
              <w:rPr>
                <w:b/>
                <w:i/>
                <w:sz w:val="20"/>
              </w:rPr>
              <w:t>formula</w:t>
            </w:r>
            <w:r w:rsidRPr="007C6F01">
              <w:rPr>
                <w:sz w:val="20"/>
              </w:rPr>
              <w:t>: A formula of response and explanatory variables</w:t>
            </w:r>
          </w:p>
          <w:p w14:paraId="379A74B2" w14:textId="77777777" w:rsidR="0082068B" w:rsidRPr="007C6F01" w:rsidRDefault="0082068B" w:rsidP="0082068B">
            <w:pPr>
              <w:spacing w:line="240" w:lineRule="auto"/>
              <w:ind w:firstLine="0"/>
              <w:rPr>
                <w:sz w:val="20"/>
              </w:rPr>
            </w:pPr>
            <w:r w:rsidRPr="007C6F01">
              <w:rPr>
                <w:b/>
                <w:i/>
                <w:sz w:val="20"/>
              </w:rPr>
              <w:t>data</w:t>
            </w:r>
            <w:r w:rsidRPr="007C6F01">
              <w:rPr>
                <w:sz w:val="20"/>
              </w:rPr>
              <w:t>: A data.frame includes response and explanatory variables</w:t>
            </w:r>
          </w:p>
        </w:tc>
        <w:tc>
          <w:tcPr>
            <w:tcW w:w="1417" w:type="dxa"/>
            <w:vMerge w:val="restart"/>
            <w:shd w:val="clear" w:color="auto" w:fill="auto"/>
            <w:vAlign w:val="center"/>
          </w:tcPr>
          <w:p w14:paraId="3B7B9B71" w14:textId="77777777" w:rsidR="0082068B" w:rsidRPr="007C6F01" w:rsidRDefault="0082068B" w:rsidP="0082068B">
            <w:pPr>
              <w:spacing w:line="240" w:lineRule="auto"/>
              <w:ind w:firstLine="0"/>
              <w:jc w:val="left"/>
              <w:rPr>
                <w:sz w:val="20"/>
                <w:lang w:eastAsia="zh-CN"/>
              </w:rPr>
            </w:pPr>
            <w:r w:rsidRPr="007C6F01">
              <w:rPr>
                <w:b/>
                <w:i/>
                <w:sz w:val="20"/>
              </w:rPr>
              <w:t>print</w:t>
            </w:r>
            <w:r w:rsidRPr="007C6F01">
              <w:rPr>
                <w:sz w:val="20"/>
              </w:rPr>
              <w:t xml:space="preserve">() and </w:t>
            </w:r>
            <w:r w:rsidRPr="007C6F01">
              <w:rPr>
                <w:b/>
                <w:i/>
                <w:sz w:val="20"/>
              </w:rPr>
              <w:t>plot</w:t>
            </w:r>
            <w:r w:rsidRPr="007C6F01">
              <w:rPr>
                <w:sz w:val="20"/>
              </w:rPr>
              <w:t>()</w:t>
            </w:r>
          </w:p>
        </w:tc>
      </w:tr>
      <w:tr w:rsidR="0082068B" w:rsidRPr="007C6F01" w14:paraId="217009B1" w14:textId="77777777" w:rsidTr="0082068B">
        <w:trPr>
          <w:trHeight w:val="320"/>
        </w:trPr>
        <w:tc>
          <w:tcPr>
            <w:tcW w:w="1134" w:type="dxa"/>
            <w:shd w:val="clear" w:color="auto" w:fill="auto"/>
            <w:noWrap/>
            <w:vAlign w:val="center"/>
          </w:tcPr>
          <w:p w14:paraId="7CC48522" w14:textId="77777777" w:rsidR="0082068B" w:rsidRPr="0082068B" w:rsidRDefault="0082068B" w:rsidP="0082068B">
            <w:pPr>
              <w:spacing w:line="240" w:lineRule="auto"/>
              <w:ind w:firstLine="0"/>
              <w:rPr>
                <w:i/>
                <w:sz w:val="20"/>
              </w:rPr>
            </w:pPr>
            <w:r w:rsidRPr="0082068B">
              <w:rPr>
                <w:i/>
                <w:sz w:val="20"/>
              </w:rPr>
              <w:t>riskmean</w:t>
            </w:r>
          </w:p>
        </w:tc>
        <w:tc>
          <w:tcPr>
            <w:tcW w:w="1701" w:type="dxa"/>
            <w:shd w:val="clear" w:color="auto" w:fill="auto"/>
            <w:noWrap/>
            <w:vAlign w:val="center"/>
          </w:tcPr>
          <w:p w14:paraId="1A345F5E" w14:textId="77777777" w:rsidR="0082068B" w:rsidRPr="0082068B" w:rsidRDefault="0082068B" w:rsidP="0082068B">
            <w:pPr>
              <w:spacing w:line="240" w:lineRule="auto"/>
              <w:ind w:firstLine="0"/>
              <w:jc w:val="left"/>
              <w:rPr>
                <w:i/>
                <w:sz w:val="20"/>
              </w:rPr>
            </w:pPr>
            <w:r w:rsidRPr="0082068B">
              <w:rPr>
                <w:i/>
                <w:sz w:val="20"/>
              </w:rPr>
              <w:t>riskmean(formula, data = NULL)</w:t>
            </w:r>
          </w:p>
        </w:tc>
        <w:tc>
          <w:tcPr>
            <w:tcW w:w="4814" w:type="dxa"/>
            <w:vMerge/>
            <w:shd w:val="clear" w:color="auto" w:fill="auto"/>
            <w:vAlign w:val="center"/>
          </w:tcPr>
          <w:p w14:paraId="663B4FEB" w14:textId="77777777" w:rsidR="0082068B" w:rsidRPr="007C6F01" w:rsidRDefault="0082068B" w:rsidP="0082068B">
            <w:pPr>
              <w:spacing w:line="240" w:lineRule="auto"/>
              <w:ind w:firstLine="0"/>
              <w:rPr>
                <w:sz w:val="20"/>
              </w:rPr>
            </w:pPr>
          </w:p>
        </w:tc>
        <w:tc>
          <w:tcPr>
            <w:tcW w:w="1417" w:type="dxa"/>
            <w:vMerge/>
            <w:shd w:val="clear" w:color="auto" w:fill="auto"/>
            <w:vAlign w:val="center"/>
          </w:tcPr>
          <w:p w14:paraId="0C75E21C" w14:textId="77777777" w:rsidR="0082068B" w:rsidRPr="007C6F01" w:rsidRDefault="0082068B" w:rsidP="0082068B">
            <w:pPr>
              <w:spacing w:line="240" w:lineRule="auto"/>
              <w:ind w:firstLine="0"/>
              <w:jc w:val="left"/>
              <w:rPr>
                <w:sz w:val="20"/>
              </w:rPr>
            </w:pPr>
          </w:p>
        </w:tc>
      </w:tr>
      <w:tr w:rsidR="0082068B" w:rsidRPr="007C6F01" w14:paraId="602A4EE3" w14:textId="77777777" w:rsidTr="0082068B">
        <w:trPr>
          <w:trHeight w:val="320"/>
        </w:trPr>
        <w:tc>
          <w:tcPr>
            <w:tcW w:w="1134" w:type="dxa"/>
            <w:shd w:val="clear" w:color="auto" w:fill="auto"/>
            <w:noWrap/>
            <w:vAlign w:val="center"/>
          </w:tcPr>
          <w:p w14:paraId="623083A5" w14:textId="77777777" w:rsidR="0082068B" w:rsidRPr="0082068B" w:rsidRDefault="0082068B" w:rsidP="0082068B">
            <w:pPr>
              <w:spacing w:line="240" w:lineRule="auto"/>
              <w:ind w:firstLine="0"/>
              <w:rPr>
                <w:i/>
                <w:sz w:val="20"/>
              </w:rPr>
            </w:pPr>
            <w:r w:rsidRPr="0082068B">
              <w:rPr>
                <w:i/>
                <w:sz w:val="20"/>
              </w:rPr>
              <w:t>gdrisk</w:t>
            </w:r>
          </w:p>
        </w:tc>
        <w:tc>
          <w:tcPr>
            <w:tcW w:w="1701" w:type="dxa"/>
            <w:shd w:val="clear" w:color="auto" w:fill="auto"/>
            <w:noWrap/>
            <w:vAlign w:val="center"/>
          </w:tcPr>
          <w:p w14:paraId="7A37418E" w14:textId="77777777" w:rsidR="0082068B" w:rsidRPr="0082068B" w:rsidRDefault="0082068B" w:rsidP="0082068B">
            <w:pPr>
              <w:spacing w:line="240" w:lineRule="auto"/>
              <w:ind w:firstLine="0"/>
              <w:jc w:val="left"/>
              <w:rPr>
                <w:i/>
                <w:sz w:val="20"/>
              </w:rPr>
            </w:pPr>
            <w:r w:rsidRPr="0082068B">
              <w:rPr>
                <w:i/>
                <w:sz w:val="20"/>
              </w:rPr>
              <w:t>gdrisk(formula, data = NULL)</w:t>
            </w:r>
          </w:p>
        </w:tc>
        <w:tc>
          <w:tcPr>
            <w:tcW w:w="4814" w:type="dxa"/>
            <w:vMerge/>
            <w:shd w:val="clear" w:color="auto" w:fill="auto"/>
            <w:vAlign w:val="center"/>
          </w:tcPr>
          <w:p w14:paraId="34DAE504" w14:textId="77777777" w:rsidR="0082068B" w:rsidRPr="007C6F01" w:rsidRDefault="0082068B" w:rsidP="0082068B">
            <w:pPr>
              <w:spacing w:line="240" w:lineRule="auto"/>
              <w:ind w:firstLine="0"/>
              <w:rPr>
                <w:sz w:val="20"/>
              </w:rPr>
            </w:pPr>
          </w:p>
        </w:tc>
        <w:tc>
          <w:tcPr>
            <w:tcW w:w="1417" w:type="dxa"/>
            <w:vMerge/>
            <w:shd w:val="clear" w:color="auto" w:fill="auto"/>
            <w:vAlign w:val="center"/>
          </w:tcPr>
          <w:p w14:paraId="4C908AD1" w14:textId="77777777" w:rsidR="0082068B" w:rsidRPr="007C6F01" w:rsidRDefault="0082068B" w:rsidP="0082068B">
            <w:pPr>
              <w:spacing w:line="240" w:lineRule="auto"/>
              <w:ind w:firstLine="0"/>
              <w:jc w:val="left"/>
              <w:rPr>
                <w:sz w:val="20"/>
              </w:rPr>
            </w:pPr>
          </w:p>
        </w:tc>
      </w:tr>
      <w:tr w:rsidR="0082068B" w:rsidRPr="007C6F01" w14:paraId="52D7CF0E" w14:textId="77777777" w:rsidTr="0082068B">
        <w:trPr>
          <w:trHeight w:val="320"/>
        </w:trPr>
        <w:tc>
          <w:tcPr>
            <w:tcW w:w="1134" w:type="dxa"/>
            <w:shd w:val="clear" w:color="auto" w:fill="auto"/>
            <w:noWrap/>
            <w:vAlign w:val="center"/>
          </w:tcPr>
          <w:p w14:paraId="522147EF" w14:textId="77777777" w:rsidR="0082068B" w:rsidRPr="0082068B" w:rsidRDefault="0082068B" w:rsidP="0082068B">
            <w:pPr>
              <w:spacing w:line="240" w:lineRule="auto"/>
              <w:ind w:firstLine="0"/>
              <w:rPr>
                <w:i/>
                <w:sz w:val="20"/>
              </w:rPr>
            </w:pPr>
            <w:r w:rsidRPr="0082068B">
              <w:rPr>
                <w:i/>
                <w:sz w:val="20"/>
              </w:rPr>
              <w:t>gdinteract</w:t>
            </w:r>
          </w:p>
        </w:tc>
        <w:tc>
          <w:tcPr>
            <w:tcW w:w="1701" w:type="dxa"/>
            <w:shd w:val="clear" w:color="auto" w:fill="auto"/>
            <w:noWrap/>
            <w:vAlign w:val="center"/>
          </w:tcPr>
          <w:p w14:paraId="61D1841F" w14:textId="77777777" w:rsidR="0082068B" w:rsidRPr="0082068B" w:rsidRDefault="0082068B" w:rsidP="0082068B">
            <w:pPr>
              <w:spacing w:line="240" w:lineRule="auto"/>
              <w:ind w:firstLine="0"/>
              <w:jc w:val="left"/>
              <w:rPr>
                <w:i/>
                <w:sz w:val="20"/>
              </w:rPr>
            </w:pPr>
            <w:r w:rsidRPr="0082068B">
              <w:rPr>
                <w:i/>
                <w:sz w:val="20"/>
              </w:rPr>
              <w:t>gdinteract(formula, data = NULL)</w:t>
            </w:r>
          </w:p>
        </w:tc>
        <w:tc>
          <w:tcPr>
            <w:tcW w:w="4814" w:type="dxa"/>
            <w:vMerge/>
            <w:shd w:val="clear" w:color="auto" w:fill="auto"/>
            <w:vAlign w:val="center"/>
          </w:tcPr>
          <w:p w14:paraId="3DC69378" w14:textId="77777777" w:rsidR="0082068B" w:rsidRPr="007C6F01" w:rsidRDefault="0082068B" w:rsidP="0082068B">
            <w:pPr>
              <w:spacing w:line="240" w:lineRule="auto"/>
              <w:ind w:firstLine="0"/>
              <w:rPr>
                <w:sz w:val="20"/>
              </w:rPr>
            </w:pPr>
          </w:p>
        </w:tc>
        <w:tc>
          <w:tcPr>
            <w:tcW w:w="1417" w:type="dxa"/>
            <w:vMerge/>
            <w:shd w:val="clear" w:color="auto" w:fill="auto"/>
            <w:vAlign w:val="center"/>
          </w:tcPr>
          <w:p w14:paraId="06144641" w14:textId="77777777" w:rsidR="0082068B" w:rsidRPr="007C6F01" w:rsidRDefault="0082068B" w:rsidP="0082068B">
            <w:pPr>
              <w:spacing w:line="240" w:lineRule="auto"/>
              <w:ind w:firstLine="0"/>
              <w:jc w:val="left"/>
              <w:rPr>
                <w:sz w:val="20"/>
              </w:rPr>
            </w:pPr>
          </w:p>
        </w:tc>
      </w:tr>
      <w:tr w:rsidR="0082068B" w:rsidRPr="007C6F01" w14:paraId="0A363310" w14:textId="77777777" w:rsidTr="0082068B">
        <w:trPr>
          <w:trHeight w:val="320"/>
        </w:trPr>
        <w:tc>
          <w:tcPr>
            <w:tcW w:w="1134" w:type="dxa"/>
            <w:shd w:val="clear" w:color="auto" w:fill="auto"/>
            <w:noWrap/>
            <w:vAlign w:val="center"/>
          </w:tcPr>
          <w:p w14:paraId="3C2F22B4" w14:textId="77777777" w:rsidR="0082068B" w:rsidRPr="0082068B" w:rsidRDefault="0082068B" w:rsidP="0082068B">
            <w:pPr>
              <w:spacing w:line="240" w:lineRule="auto"/>
              <w:ind w:firstLine="0"/>
              <w:rPr>
                <w:i/>
                <w:sz w:val="20"/>
              </w:rPr>
            </w:pPr>
            <w:r w:rsidRPr="0082068B">
              <w:rPr>
                <w:i/>
                <w:sz w:val="20"/>
              </w:rPr>
              <w:t>gdeco</w:t>
            </w:r>
          </w:p>
        </w:tc>
        <w:tc>
          <w:tcPr>
            <w:tcW w:w="1701" w:type="dxa"/>
            <w:shd w:val="clear" w:color="auto" w:fill="auto"/>
            <w:noWrap/>
            <w:vAlign w:val="center"/>
          </w:tcPr>
          <w:p w14:paraId="77532C54" w14:textId="77777777" w:rsidR="0082068B" w:rsidRPr="0082068B" w:rsidRDefault="0082068B" w:rsidP="0082068B">
            <w:pPr>
              <w:spacing w:line="240" w:lineRule="auto"/>
              <w:ind w:firstLine="0"/>
              <w:jc w:val="left"/>
              <w:rPr>
                <w:i/>
                <w:sz w:val="20"/>
              </w:rPr>
            </w:pPr>
            <w:r w:rsidRPr="0082068B">
              <w:rPr>
                <w:i/>
                <w:sz w:val="20"/>
              </w:rPr>
              <w:t>gdeco(formula, data = NULL)</w:t>
            </w:r>
          </w:p>
        </w:tc>
        <w:tc>
          <w:tcPr>
            <w:tcW w:w="4814" w:type="dxa"/>
            <w:vMerge/>
            <w:shd w:val="clear" w:color="auto" w:fill="auto"/>
            <w:vAlign w:val="center"/>
          </w:tcPr>
          <w:p w14:paraId="4CD883A8" w14:textId="77777777" w:rsidR="0082068B" w:rsidRPr="007C6F01" w:rsidRDefault="0082068B" w:rsidP="0082068B">
            <w:pPr>
              <w:spacing w:line="240" w:lineRule="auto"/>
              <w:ind w:firstLine="0"/>
              <w:rPr>
                <w:sz w:val="20"/>
              </w:rPr>
            </w:pPr>
          </w:p>
        </w:tc>
        <w:tc>
          <w:tcPr>
            <w:tcW w:w="1417" w:type="dxa"/>
            <w:vMerge/>
            <w:shd w:val="clear" w:color="auto" w:fill="auto"/>
            <w:vAlign w:val="center"/>
          </w:tcPr>
          <w:p w14:paraId="293FA8A9" w14:textId="77777777" w:rsidR="0082068B" w:rsidRPr="007C6F01" w:rsidRDefault="0082068B" w:rsidP="0082068B">
            <w:pPr>
              <w:spacing w:line="240" w:lineRule="auto"/>
              <w:ind w:firstLine="0"/>
              <w:jc w:val="left"/>
              <w:rPr>
                <w:sz w:val="20"/>
              </w:rPr>
            </w:pPr>
          </w:p>
        </w:tc>
      </w:tr>
      <w:tr w:rsidR="0082068B" w:rsidRPr="007C6F01" w14:paraId="602C1963" w14:textId="77777777" w:rsidTr="0082068B">
        <w:trPr>
          <w:trHeight w:val="320"/>
        </w:trPr>
        <w:tc>
          <w:tcPr>
            <w:tcW w:w="1134" w:type="dxa"/>
            <w:shd w:val="clear" w:color="auto" w:fill="auto"/>
            <w:noWrap/>
            <w:vAlign w:val="center"/>
            <w:hideMark/>
          </w:tcPr>
          <w:p w14:paraId="5C51B438" w14:textId="77777777" w:rsidR="0082068B" w:rsidRPr="0082068B" w:rsidRDefault="0082068B" w:rsidP="0082068B">
            <w:pPr>
              <w:spacing w:line="240" w:lineRule="auto"/>
              <w:ind w:firstLine="0"/>
              <w:rPr>
                <w:i/>
                <w:sz w:val="20"/>
              </w:rPr>
            </w:pPr>
            <w:r w:rsidRPr="0082068B">
              <w:rPr>
                <w:i/>
                <w:sz w:val="20"/>
              </w:rPr>
              <w:t>gdm</w:t>
            </w:r>
          </w:p>
        </w:tc>
        <w:tc>
          <w:tcPr>
            <w:tcW w:w="1701" w:type="dxa"/>
            <w:shd w:val="clear" w:color="auto" w:fill="auto"/>
            <w:noWrap/>
            <w:vAlign w:val="center"/>
            <w:hideMark/>
          </w:tcPr>
          <w:p w14:paraId="457BA627" w14:textId="77777777" w:rsidR="0082068B" w:rsidRPr="0082068B" w:rsidRDefault="0082068B" w:rsidP="0082068B">
            <w:pPr>
              <w:spacing w:line="240" w:lineRule="auto"/>
              <w:ind w:firstLine="0"/>
              <w:jc w:val="left"/>
              <w:rPr>
                <w:i/>
                <w:sz w:val="20"/>
              </w:rPr>
            </w:pPr>
            <w:r w:rsidRPr="0082068B">
              <w:rPr>
                <w:i/>
                <w:sz w:val="20"/>
              </w:rPr>
              <w:t>gdm(formula, continuous_variable = NULL, data = NULL, discmethod, discitv)</w:t>
            </w:r>
          </w:p>
        </w:tc>
        <w:tc>
          <w:tcPr>
            <w:tcW w:w="4814" w:type="dxa"/>
            <w:shd w:val="clear" w:color="auto" w:fill="auto"/>
            <w:vAlign w:val="center"/>
          </w:tcPr>
          <w:p w14:paraId="33A20FE5" w14:textId="77777777" w:rsidR="0082068B" w:rsidRPr="007C6F01" w:rsidRDefault="0082068B" w:rsidP="0082068B">
            <w:pPr>
              <w:spacing w:line="240" w:lineRule="auto"/>
              <w:ind w:firstLine="0"/>
              <w:rPr>
                <w:sz w:val="20"/>
              </w:rPr>
            </w:pPr>
            <w:r w:rsidRPr="007C6F01">
              <w:rPr>
                <w:b/>
                <w:i/>
                <w:sz w:val="20"/>
              </w:rPr>
              <w:t>formula</w:t>
            </w:r>
            <w:r w:rsidRPr="007C6F01">
              <w:rPr>
                <w:sz w:val="20"/>
              </w:rPr>
              <w:t>: A formula of response and explanatory variables</w:t>
            </w:r>
          </w:p>
          <w:p w14:paraId="6B4882FB" w14:textId="77777777" w:rsidR="0082068B" w:rsidRPr="007C6F01" w:rsidRDefault="0082068B" w:rsidP="0082068B">
            <w:pPr>
              <w:spacing w:line="240" w:lineRule="auto"/>
              <w:ind w:firstLine="0"/>
              <w:rPr>
                <w:sz w:val="20"/>
              </w:rPr>
            </w:pPr>
            <w:r w:rsidRPr="007C6F01">
              <w:rPr>
                <w:b/>
                <w:i/>
                <w:sz w:val="20"/>
              </w:rPr>
              <w:t>continuous_variable</w:t>
            </w:r>
            <w:r w:rsidRPr="007C6F01">
              <w:rPr>
                <w:sz w:val="20"/>
              </w:rPr>
              <w:t>: A vector of continuous variable names</w:t>
            </w:r>
          </w:p>
          <w:p w14:paraId="57D5B943" w14:textId="77777777" w:rsidR="0082068B" w:rsidRPr="007C6F01" w:rsidRDefault="0082068B" w:rsidP="0082068B">
            <w:pPr>
              <w:spacing w:line="240" w:lineRule="auto"/>
              <w:ind w:firstLine="0"/>
              <w:rPr>
                <w:sz w:val="20"/>
              </w:rPr>
            </w:pPr>
            <w:r w:rsidRPr="007C6F01">
              <w:rPr>
                <w:b/>
                <w:i/>
                <w:sz w:val="20"/>
              </w:rPr>
              <w:t>data</w:t>
            </w:r>
            <w:r w:rsidRPr="007C6F01">
              <w:rPr>
                <w:sz w:val="20"/>
              </w:rPr>
              <w:t>: A data.frame includes response and explanatory variables</w:t>
            </w:r>
          </w:p>
          <w:p w14:paraId="3D3136B3" w14:textId="77777777" w:rsidR="0082068B" w:rsidRPr="007C6F01" w:rsidRDefault="0082068B" w:rsidP="0082068B">
            <w:pPr>
              <w:spacing w:line="240" w:lineRule="auto"/>
              <w:ind w:firstLine="0"/>
              <w:rPr>
                <w:sz w:val="20"/>
              </w:rPr>
            </w:pPr>
            <w:r w:rsidRPr="007C6F01">
              <w:rPr>
                <w:b/>
                <w:i/>
                <w:sz w:val="20"/>
              </w:rPr>
              <w:t>discmethod</w:t>
            </w:r>
            <w:r w:rsidRPr="007C6F01">
              <w:rPr>
                <w:sz w:val="20"/>
              </w:rPr>
              <w:t>: A character vector of discretization methods</w:t>
            </w:r>
          </w:p>
          <w:p w14:paraId="240C586E" w14:textId="77777777" w:rsidR="0082068B" w:rsidRPr="007C6F01" w:rsidRDefault="0082068B" w:rsidP="0082068B">
            <w:pPr>
              <w:spacing w:line="240" w:lineRule="auto"/>
              <w:ind w:firstLine="0"/>
              <w:rPr>
                <w:sz w:val="20"/>
              </w:rPr>
            </w:pPr>
            <w:r w:rsidRPr="007C6F01">
              <w:rPr>
                <w:b/>
                <w:i/>
                <w:sz w:val="20"/>
              </w:rPr>
              <w:t>discitv</w:t>
            </w:r>
            <w:r w:rsidRPr="007C6F01">
              <w:rPr>
                <w:sz w:val="20"/>
              </w:rPr>
              <w:t>: A numeric vector of numbers of intervals</w:t>
            </w:r>
          </w:p>
        </w:tc>
        <w:tc>
          <w:tcPr>
            <w:tcW w:w="1417" w:type="dxa"/>
            <w:shd w:val="clear" w:color="auto" w:fill="auto"/>
            <w:vAlign w:val="center"/>
          </w:tcPr>
          <w:p w14:paraId="08A940EA" w14:textId="77777777" w:rsidR="0082068B" w:rsidRPr="007C6F01" w:rsidRDefault="0082068B" w:rsidP="0082068B">
            <w:pPr>
              <w:spacing w:line="240" w:lineRule="auto"/>
              <w:ind w:firstLine="0"/>
              <w:jc w:val="left"/>
              <w:rPr>
                <w:sz w:val="20"/>
              </w:rPr>
            </w:pPr>
            <w:r w:rsidRPr="007C6F01">
              <w:rPr>
                <w:b/>
                <w:i/>
                <w:sz w:val="20"/>
              </w:rPr>
              <w:t>print</w:t>
            </w:r>
            <w:r w:rsidRPr="007C6F01">
              <w:rPr>
                <w:sz w:val="20"/>
              </w:rPr>
              <w:t xml:space="preserve">() and </w:t>
            </w:r>
            <w:r w:rsidRPr="007C6F01">
              <w:rPr>
                <w:b/>
                <w:i/>
                <w:sz w:val="20"/>
              </w:rPr>
              <w:t>plot</w:t>
            </w:r>
            <w:r w:rsidRPr="007C6F01">
              <w:rPr>
                <w:sz w:val="20"/>
              </w:rPr>
              <w:t>()</w:t>
            </w:r>
          </w:p>
        </w:tc>
      </w:tr>
      <w:tr w:rsidR="0082068B" w:rsidRPr="007C6F01" w14:paraId="1BCDA374" w14:textId="77777777" w:rsidTr="0082068B">
        <w:trPr>
          <w:trHeight w:val="320"/>
        </w:trPr>
        <w:tc>
          <w:tcPr>
            <w:tcW w:w="1134" w:type="dxa"/>
            <w:shd w:val="clear" w:color="auto" w:fill="auto"/>
            <w:noWrap/>
            <w:vAlign w:val="center"/>
            <w:hideMark/>
          </w:tcPr>
          <w:p w14:paraId="16D6D6A4" w14:textId="77777777" w:rsidR="0082068B" w:rsidRPr="0082068B" w:rsidRDefault="0082068B" w:rsidP="0082068B">
            <w:pPr>
              <w:spacing w:line="240" w:lineRule="auto"/>
              <w:ind w:firstLine="0"/>
              <w:rPr>
                <w:i/>
                <w:sz w:val="20"/>
              </w:rPr>
            </w:pPr>
            <w:r w:rsidRPr="0082068B">
              <w:rPr>
                <w:i/>
                <w:sz w:val="20"/>
              </w:rPr>
              <w:t>sesu</w:t>
            </w:r>
          </w:p>
        </w:tc>
        <w:tc>
          <w:tcPr>
            <w:tcW w:w="1701" w:type="dxa"/>
            <w:shd w:val="clear" w:color="auto" w:fill="auto"/>
            <w:noWrap/>
            <w:vAlign w:val="center"/>
            <w:hideMark/>
          </w:tcPr>
          <w:p w14:paraId="4AF505BA" w14:textId="77777777" w:rsidR="0082068B" w:rsidRPr="0082068B" w:rsidRDefault="0082068B" w:rsidP="0082068B">
            <w:pPr>
              <w:spacing w:line="240" w:lineRule="auto"/>
              <w:ind w:firstLine="0"/>
              <w:jc w:val="left"/>
              <w:rPr>
                <w:i/>
                <w:sz w:val="20"/>
              </w:rPr>
            </w:pPr>
            <w:r w:rsidRPr="0082068B">
              <w:rPr>
                <w:i/>
                <w:sz w:val="20"/>
              </w:rPr>
              <w:t>sesu(gdlist, su)</w:t>
            </w:r>
          </w:p>
        </w:tc>
        <w:tc>
          <w:tcPr>
            <w:tcW w:w="4814" w:type="dxa"/>
            <w:shd w:val="clear" w:color="auto" w:fill="auto"/>
            <w:vAlign w:val="center"/>
          </w:tcPr>
          <w:p w14:paraId="34E99A98" w14:textId="77777777" w:rsidR="0082068B" w:rsidRPr="007C6F01" w:rsidRDefault="0082068B" w:rsidP="0082068B">
            <w:pPr>
              <w:spacing w:line="240" w:lineRule="auto"/>
              <w:ind w:firstLine="0"/>
              <w:rPr>
                <w:sz w:val="20"/>
              </w:rPr>
            </w:pPr>
            <w:r w:rsidRPr="007C6F01">
              <w:rPr>
                <w:b/>
                <w:i/>
                <w:sz w:val="20"/>
              </w:rPr>
              <w:t>gdlist</w:t>
            </w:r>
            <w:r w:rsidRPr="007C6F01">
              <w:rPr>
                <w:sz w:val="20"/>
              </w:rPr>
              <w:t>: A list of gdm result or gd result</w:t>
            </w:r>
          </w:p>
          <w:p w14:paraId="00DC93E3" w14:textId="77777777" w:rsidR="0082068B" w:rsidRPr="007C6F01" w:rsidRDefault="0082068B" w:rsidP="0082068B">
            <w:pPr>
              <w:spacing w:line="240" w:lineRule="auto"/>
              <w:ind w:firstLine="0"/>
              <w:rPr>
                <w:sz w:val="20"/>
              </w:rPr>
            </w:pPr>
            <w:r w:rsidRPr="007C6F01">
              <w:rPr>
                <w:b/>
                <w:i/>
                <w:sz w:val="20"/>
              </w:rPr>
              <w:t>su</w:t>
            </w:r>
            <w:r w:rsidRPr="007C6F01">
              <w:rPr>
                <w:sz w:val="20"/>
              </w:rPr>
              <w:t>: A vector of sizes of spatial units</w:t>
            </w:r>
          </w:p>
        </w:tc>
        <w:tc>
          <w:tcPr>
            <w:tcW w:w="1417" w:type="dxa"/>
            <w:shd w:val="clear" w:color="auto" w:fill="auto"/>
          </w:tcPr>
          <w:p w14:paraId="292216B3" w14:textId="77777777" w:rsidR="0082068B" w:rsidRPr="007C6F01" w:rsidRDefault="0082068B" w:rsidP="0082068B">
            <w:pPr>
              <w:spacing w:line="240" w:lineRule="auto"/>
              <w:ind w:firstLine="0"/>
              <w:jc w:val="left"/>
              <w:rPr>
                <w:sz w:val="20"/>
              </w:rPr>
            </w:pPr>
          </w:p>
        </w:tc>
      </w:tr>
    </w:tbl>
    <w:p w14:paraId="3DE97061" w14:textId="77777777" w:rsidR="0082068B" w:rsidRDefault="0082068B" w:rsidP="0082068B">
      <w:pPr>
        <w:ind w:firstLine="0"/>
        <w:rPr>
          <w:color w:val="auto"/>
        </w:rPr>
      </w:pPr>
    </w:p>
    <w:p w14:paraId="21F83683" w14:textId="0A780943" w:rsidR="009E6B76" w:rsidRPr="004C13DC" w:rsidRDefault="00904748" w:rsidP="00E13113">
      <w:pPr>
        <w:rPr>
          <w:color w:val="auto"/>
        </w:rPr>
      </w:pPr>
      <w:r w:rsidRPr="004C13DC">
        <w:rPr>
          <w:color w:val="auto"/>
        </w:rPr>
        <w:t xml:space="preserve">If the explanatory variables contain continuous variables, the continuous variables should be </w:t>
      </w:r>
      <w:r w:rsidR="00E13113" w:rsidRPr="004C13DC">
        <w:rPr>
          <w:color w:val="auto"/>
        </w:rPr>
        <w:t xml:space="preserve">discretized. The </w:t>
      </w:r>
      <w:r w:rsidR="00E13113" w:rsidRPr="00F6060D">
        <w:rPr>
          <w:color w:val="auto"/>
        </w:rPr>
        <w:t>GD</w:t>
      </w:r>
      <w:r w:rsidR="00E13113" w:rsidRPr="004C13DC">
        <w:rPr>
          <w:color w:val="auto"/>
        </w:rPr>
        <w:t xml:space="preserve"> package provides two options of discretization: discretization </w:t>
      </w:r>
      <w:r w:rsidR="00E13113" w:rsidRPr="004C13DC">
        <w:rPr>
          <w:color w:val="auto"/>
        </w:rPr>
        <w:lastRenderedPageBreak/>
        <w:t xml:space="preserve">with the user defined parameters, i.e. the combination of a discretization method and a </w:t>
      </w:r>
      <w:r w:rsidR="0082068B">
        <w:rPr>
          <w:rFonts w:hint="eastAsia"/>
          <w:color w:val="auto"/>
        </w:rPr>
        <w:t>break number</w:t>
      </w:r>
      <w:r w:rsidR="00E13113" w:rsidRPr="004C13DC">
        <w:rPr>
          <w:color w:val="auto"/>
        </w:rPr>
        <w:t xml:space="preserve">, and optimal discretization that the best parameter combination is selected from a series of combinations. </w:t>
      </w:r>
    </w:p>
    <w:p w14:paraId="7561F3C5" w14:textId="3A0811CD" w:rsidR="00B92C3A" w:rsidRPr="004C13DC" w:rsidRDefault="00E13113" w:rsidP="004C13DC">
      <w:pPr>
        <w:numPr>
          <w:ilvl w:val="0"/>
          <w:numId w:val="7"/>
        </w:numPr>
        <w:rPr>
          <w:color w:val="auto"/>
        </w:rPr>
      </w:pPr>
      <w:r w:rsidRPr="004C13DC">
        <w:rPr>
          <w:color w:val="auto"/>
        </w:rPr>
        <w:t xml:space="preserve">For the discretization with the user defined parameters, the </w:t>
      </w:r>
      <w:r w:rsidRPr="004C13DC">
        <w:rPr>
          <w:b/>
          <w:i/>
          <w:color w:val="auto"/>
        </w:rPr>
        <w:t>disc</w:t>
      </w:r>
      <w:r w:rsidRPr="004C13DC">
        <w:rPr>
          <w:color w:val="auto"/>
        </w:rPr>
        <w:t xml:space="preserve"> function provides five supervised discretization methods, including equal breaks, natural breaks, quantile breaks, geometric breaks and standard deviation breaks, and the unsupervised methods that the breaking intervals can be manually defined. The </w:t>
      </w:r>
      <w:r w:rsidRPr="004C13DC">
        <w:rPr>
          <w:b/>
          <w:i/>
          <w:color w:val="auto"/>
        </w:rPr>
        <w:t>disc</w:t>
      </w:r>
      <w:r w:rsidRPr="004C13DC">
        <w:rPr>
          <w:color w:val="auto"/>
        </w:rPr>
        <w:t xml:space="preserve"> function also visualizes the discretization results. </w:t>
      </w:r>
    </w:p>
    <w:p w14:paraId="7A4A2D43" w14:textId="49D1B757" w:rsidR="00E13113" w:rsidRPr="004C13DC" w:rsidRDefault="00E13113" w:rsidP="004C13DC">
      <w:pPr>
        <w:numPr>
          <w:ilvl w:val="0"/>
          <w:numId w:val="7"/>
        </w:numPr>
        <w:rPr>
          <w:color w:val="auto"/>
        </w:rPr>
      </w:pPr>
      <w:r w:rsidRPr="004C13DC">
        <w:rPr>
          <w:color w:val="auto"/>
        </w:rPr>
        <w:t xml:space="preserve">For the optimal discretization process, users can provide a series of combinations of the discretization methods and the numbers of intervals, then utilize the </w:t>
      </w:r>
      <w:r w:rsidRPr="004C13DC">
        <w:rPr>
          <w:b/>
          <w:i/>
          <w:color w:val="auto"/>
        </w:rPr>
        <w:t>optidisc</w:t>
      </w:r>
      <w:r w:rsidRPr="004C13DC">
        <w:rPr>
          <w:color w:val="auto"/>
        </w:rPr>
        <w:t xml:space="preserve"> function to select the best parameter combinations for discretizing variables. In addition, the process of selecting the best parameter combinations and the discretization results can be visualized with the </w:t>
      </w:r>
      <w:r w:rsidRPr="004C13DC">
        <w:rPr>
          <w:b/>
          <w:i/>
          <w:color w:val="auto"/>
        </w:rPr>
        <w:t>optidisc</w:t>
      </w:r>
      <w:r w:rsidRPr="004C13DC">
        <w:rPr>
          <w:color w:val="auto"/>
        </w:rPr>
        <w:t xml:space="preserve"> function.</w:t>
      </w:r>
    </w:p>
    <w:p w14:paraId="4E485791" w14:textId="3996806B" w:rsidR="0061524B" w:rsidRPr="004C13DC" w:rsidRDefault="00E13113" w:rsidP="00E13113">
      <w:pPr>
        <w:rPr>
          <w:color w:val="auto"/>
        </w:rPr>
      </w:pPr>
      <w:r w:rsidRPr="004C13DC">
        <w:rPr>
          <w:color w:val="auto"/>
        </w:rPr>
        <w:t xml:space="preserve">Once the continuous variables are discretized, the next step is to perform the four parts of geographical detectors: factor detector, interactive detector, risk detector and ecological detector. </w:t>
      </w:r>
      <w:r w:rsidR="00B92C3A" w:rsidRPr="004C13DC">
        <w:rPr>
          <w:color w:val="auto"/>
        </w:rPr>
        <w:t>Functions in the four parts of geographical detectors are explained as follows.</w:t>
      </w:r>
    </w:p>
    <w:p w14:paraId="72A1D3E7" w14:textId="77777777" w:rsidR="00B92C3A" w:rsidRPr="004C13DC" w:rsidRDefault="00E13113" w:rsidP="004C13DC">
      <w:pPr>
        <w:numPr>
          <w:ilvl w:val="0"/>
          <w:numId w:val="8"/>
        </w:numPr>
        <w:rPr>
          <w:color w:val="auto"/>
        </w:rPr>
      </w:pPr>
      <w:r w:rsidRPr="004C13DC">
        <w:rPr>
          <w:color w:val="auto"/>
        </w:rPr>
        <w:t xml:space="preserve">The </w:t>
      </w:r>
      <w:r w:rsidRPr="004C13DC">
        <w:rPr>
          <w:b/>
          <w:i/>
          <w:color w:val="auto"/>
        </w:rPr>
        <w:t>gd</w:t>
      </w:r>
      <w:r w:rsidRPr="004C13DC">
        <w:rPr>
          <w:color w:val="auto"/>
        </w:rPr>
        <w:t xml:space="preserve"> function is used to calculate </w:t>
      </w:r>
      <m:oMath>
        <m:r>
          <w:rPr>
            <w:rFonts w:ascii="Cambria Math" w:hAnsi="Cambria Math"/>
            <w:color w:val="auto"/>
          </w:rPr>
          <m:t>Q</m:t>
        </m:r>
      </m:oMath>
      <w:r w:rsidRPr="004C13DC">
        <w:rPr>
          <w:color w:val="auto"/>
        </w:rPr>
        <w:t xml:space="preserve"> values of variables, together with the significance level. </w:t>
      </w:r>
    </w:p>
    <w:p w14:paraId="47DE8108" w14:textId="77777777" w:rsidR="00B92C3A" w:rsidRPr="004C13DC" w:rsidRDefault="00E13113" w:rsidP="004C13DC">
      <w:pPr>
        <w:numPr>
          <w:ilvl w:val="0"/>
          <w:numId w:val="8"/>
        </w:numPr>
        <w:rPr>
          <w:color w:val="auto"/>
        </w:rPr>
      </w:pPr>
      <w:r w:rsidRPr="004C13DC">
        <w:rPr>
          <w:color w:val="auto"/>
        </w:rPr>
        <w:t xml:space="preserve">For the risk detector, the </w:t>
      </w:r>
      <w:r w:rsidRPr="004C13DC">
        <w:rPr>
          <w:b/>
          <w:i/>
          <w:color w:val="auto"/>
        </w:rPr>
        <w:t>riskmean</w:t>
      </w:r>
      <w:r w:rsidRPr="004C13DC">
        <w:rPr>
          <w:color w:val="auto"/>
        </w:rPr>
        <w:t xml:space="preserve"> function generates the mean risk values of sub-regions, and the </w:t>
      </w:r>
      <w:r w:rsidRPr="004C13DC">
        <w:rPr>
          <w:b/>
          <w:i/>
          <w:color w:val="auto"/>
        </w:rPr>
        <w:t>gdrisk</w:t>
      </w:r>
      <w:r w:rsidRPr="004C13DC">
        <w:rPr>
          <w:color w:val="auto"/>
        </w:rPr>
        <w:t xml:space="preserve"> function assesses the significant difference of risks among sub-regions with the results of t-test value, degree of freedom, significance and the risk factor of two sub-regions. If the difference between two sub-regions is significant within a threshold of significance level (e.g. 0.05), the risk factor of two sub-regions is marked with “Y”, otherwise, it is marked with “N”. The function also forms a matrix of the risk factors and visualizes the matrix. </w:t>
      </w:r>
    </w:p>
    <w:p w14:paraId="3397872E" w14:textId="77777777" w:rsidR="00B92C3A" w:rsidRPr="004C13DC" w:rsidRDefault="00E13113" w:rsidP="004C13DC">
      <w:pPr>
        <w:numPr>
          <w:ilvl w:val="0"/>
          <w:numId w:val="8"/>
        </w:numPr>
        <w:rPr>
          <w:color w:val="auto"/>
        </w:rPr>
      </w:pPr>
      <w:r w:rsidRPr="004C13DC">
        <w:rPr>
          <w:color w:val="auto"/>
        </w:rPr>
        <w:t xml:space="preserve">The </w:t>
      </w:r>
      <w:r w:rsidRPr="004C13DC">
        <w:rPr>
          <w:b/>
          <w:i/>
          <w:color w:val="auto"/>
        </w:rPr>
        <w:t>gdinteract</w:t>
      </w:r>
      <w:r w:rsidRPr="004C13DC">
        <w:rPr>
          <w:color w:val="auto"/>
        </w:rPr>
        <w:t xml:space="preserve"> function is applied on computing the interactive impact of two variables. The results include the respective </w:t>
      </w:r>
      <m:oMath>
        <m:r>
          <w:rPr>
            <w:rFonts w:ascii="Cambria Math" w:hAnsi="Cambria Math"/>
            <w:color w:val="auto"/>
          </w:rPr>
          <m:t>Q</m:t>
        </m:r>
      </m:oMath>
      <w:r w:rsidRPr="004C13DC">
        <w:rPr>
          <w:color w:val="auto"/>
        </w:rPr>
        <w:t xml:space="preserve"> values of two variables, the </w:t>
      </w:r>
      <m:oMath>
        <m:r>
          <w:rPr>
            <w:rFonts w:ascii="Cambria Math" w:hAnsi="Cambria Math"/>
            <w:color w:val="auto"/>
          </w:rPr>
          <m:t>Q</m:t>
        </m:r>
      </m:oMath>
      <w:r w:rsidRPr="004C13DC">
        <w:rPr>
          <w:color w:val="auto"/>
        </w:rPr>
        <w:t xml:space="preserve"> value of the interaction, and the type of interaction, such as nonlinear enhance. </w:t>
      </w:r>
    </w:p>
    <w:p w14:paraId="4DF01944" w14:textId="5729B132" w:rsidR="0061524B" w:rsidRPr="004C13DC" w:rsidRDefault="00E13113" w:rsidP="004C13DC">
      <w:pPr>
        <w:numPr>
          <w:ilvl w:val="0"/>
          <w:numId w:val="8"/>
        </w:numPr>
        <w:rPr>
          <w:color w:val="auto"/>
        </w:rPr>
      </w:pPr>
      <w:r w:rsidRPr="004C13DC">
        <w:rPr>
          <w:color w:val="auto"/>
        </w:rPr>
        <w:lastRenderedPageBreak/>
        <w:t xml:space="preserve">For the ecological detector, the </w:t>
      </w:r>
      <w:r w:rsidRPr="004C13DC">
        <w:rPr>
          <w:b/>
          <w:i/>
          <w:color w:val="auto"/>
        </w:rPr>
        <w:t>gdeco</w:t>
      </w:r>
      <w:r w:rsidRPr="004C13DC">
        <w:rPr>
          <w:color w:val="auto"/>
        </w:rPr>
        <w:t xml:space="preserve"> function evaluates if the impacts of two explanatory variables are significantly different with the results of F-test value, significance and the ecological factor of two variables. The function also generates a matrix of ecological factors and visualizes the matrix. </w:t>
      </w:r>
    </w:p>
    <w:p w14:paraId="47CCD926" w14:textId="43376240" w:rsidR="00F00EA7" w:rsidRPr="004C13DC" w:rsidRDefault="00E13113" w:rsidP="00E13113">
      <w:pPr>
        <w:rPr>
          <w:color w:val="auto"/>
        </w:rPr>
      </w:pPr>
      <w:r w:rsidRPr="004C13DC">
        <w:rPr>
          <w:color w:val="auto"/>
        </w:rPr>
        <w:t xml:space="preserve">In addition, for ease of use the package, a one-step </w:t>
      </w:r>
      <w:r w:rsidR="0082068B">
        <w:rPr>
          <w:rFonts w:hint="eastAsia"/>
          <w:color w:val="auto"/>
        </w:rPr>
        <w:t xml:space="preserve">function </w:t>
      </w:r>
      <w:r w:rsidR="0082068B" w:rsidRPr="004C13DC">
        <w:rPr>
          <w:b/>
          <w:i/>
          <w:color w:val="auto"/>
        </w:rPr>
        <w:t>gd</w:t>
      </w:r>
      <w:r w:rsidR="0082068B">
        <w:rPr>
          <w:rFonts w:hint="eastAsia"/>
          <w:b/>
          <w:i/>
          <w:color w:val="auto"/>
        </w:rPr>
        <w:t>m</w:t>
      </w:r>
      <w:r w:rsidRPr="004C13DC">
        <w:rPr>
          <w:color w:val="auto"/>
        </w:rPr>
        <w:t xml:space="preserve"> is provided for straight forward performing both optimal discretization and geographical detectors to derive all analysis results and visualizations.</w:t>
      </w:r>
      <w:r w:rsidR="005C3A4C" w:rsidRPr="005C3A4C">
        <w:rPr>
          <w:rFonts w:hint="eastAsia"/>
          <w:color w:val="auto"/>
        </w:rPr>
        <w:t xml:space="preserve"> </w:t>
      </w:r>
      <w:r w:rsidR="005C3A4C">
        <w:rPr>
          <w:color w:val="auto"/>
        </w:rPr>
        <w:t>Results</w:t>
      </w:r>
      <w:r w:rsidR="005C3A4C">
        <w:rPr>
          <w:rFonts w:hint="eastAsia"/>
          <w:color w:val="auto"/>
        </w:rPr>
        <w:t xml:space="preserve"> of the one-step </w:t>
      </w:r>
      <w:r w:rsidR="005C3A4C">
        <w:rPr>
          <w:color w:val="auto"/>
        </w:rPr>
        <w:t>function</w:t>
      </w:r>
      <w:r w:rsidR="005C3A4C">
        <w:rPr>
          <w:rFonts w:hint="eastAsia"/>
          <w:color w:val="auto"/>
        </w:rPr>
        <w:t xml:space="preserve"> contains all </w:t>
      </w:r>
      <w:r w:rsidR="005C3A4C" w:rsidRPr="004C13DC">
        <w:rPr>
          <w:rFonts w:hint="eastAsia"/>
          <w:color w:val="auto"/>
        </w:rPr>
        <w:t xml:space="preserve">intermediate </w:t>
      </w:r>
      <w:r w:rsidR="005C3A4C">
        <w:rPr>
          <w:rFonts w:hint="eastAsia"/>
          <w:color w:val="auto"/>
        </w:rPr>
        <w:t>computation processes and the OPGD-based analysis</w:t>
      </w:r>
      <w:r w:rsidR="005C3A4C" w:rsidRPr="004C13DC">
        <w:rPr>
          <w:rFonts w:hint="eastAsia"/>
          <w:color w:val="auto"/>
        </w:rPr>
        <w:t>.</w:t>
      </w:r>
    </w:p>
    <w:p w14:paraId="4A423792" w14:textId="629FC3BB" w:rsidR="009217EB" w:rsidRPr="004C13DC" w:rsidRDefault="009217EB" w:rsidP="0082068B">
      <w:pPr>
        <w:ind w:firstLine="0"/>
        <w:rPr>
          <w:rFonts w:eastAsia="SimSun"/>
          <w:color w:val="auto"/>
        </w:rPr>
      </w:pPr>
    </w:p>
    <w:sectPr w:rsidR="009217EB" w:rsidRPr="004C13DC" w:rsidSect="00F6060D">
      <w:headerReference w:type="even" r:id="rId8"/>
      <w:headerReference w:type="default" r:id="rId9"/>
      <w:footerReference w:type="even" r:id="rId10"/>
      <w:footerReference w:type="default" r:id="rId11"/>
      <w:footerReference w:type="first" r:id="rId12"/>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84C01B" w14:textId="77777777" w:rsidR="00AA5FE0" w:rsidRDefault="00AA5FE0">
      <w:pPr>
        <w:spacing w:line="240" w:lineRule="auto"/>
      </w:pPr>
      <w:r>
        <w:separator/>
      </w:r>
    </w:p>
  </w:endnote>
  <w:endnote w:type="continuationSeparator" w:id="0">
    <w:p w14:paraId="35F0A412" w14:textId="77777777" w:rsidR="00AA5FE0" w:rsidRDefault="00AA5F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panose1 w:val="02010600030101010101"/>
    <w:charset w:val="86"/>
    <w:family w:val="auto"/>
    <w:pitch w:val="variable"/>
    <w:sig w:usb0="00000003" w:usb1="288F0000" w:usb2="00000016" w:usb3="00000000" w:csb0="00040001" w:csb1="00000000"/>
  </w:font>
  <w:font w:name="方正姚体">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华文新魏">
    <w:charset w:val="86"/>
    <w:family w:val="auto"/>
    <w:pitch w:val="variable"/>
    <w:sig w:usb0="00000001" w:usb1="080F0000" w:usb2="00000010" w:usb3="00000000" w:csb0="0004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C756C" w14:textId="77777777" w:rsidR="00EB2926" w:rsidRDefault="00EB2926" w:rsidP="003B723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F51CBF" w14:textId="77777777" w:rsidR="00EB2926" w:rsidRDefault="00EB2926" w:rsidP="003C3E3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18641" w14:textId="77777777" w:rsidR="00EB2926" w:rsidRDefault="00EB2926" w:rsidP="003B723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F5B92">
      <w:rPr>
        <w:rStyle w:val="PageNumber"/>
        <w:noProof/>
      </w:rPr>
      <w:t>4</w:t>
    </w:r>
    <w:r>
      <w:rPr>
        <w:rStyle w:val="PageNumber"/>
      </w:rPr>
      <w:fldChar w:fldCharType="end"/>
    </w:r>
  </w:p>
  <w:p w14:paraId="5965C437" w14:textId="77777777" w:rsidR="00EB2926" w:rsidRPr="00BF6588" w:rsidRDefault="00EB2926" w:rsidP="003C3E3F">
    <w:pPr>
      <w:pStyle w:val="Footer"/>
      <w:spacing w:line="240" w:lineRule="auto"/>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10241" w14:textId="77777777" w:rsidR="00EB2926" w:rsidRDefault="00EB2926" w:rsidP="003B723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F5B92">
      <w:rPr>
        <w:rStyle w:val="PageNumber"/>
        <w:noProof/>
      </w:rPr>
      <w:t>1</w:t>
    </w:r>
    <w:r>
      <w:rPr>
        <w:rStyle w:val="PageNumber"/>
      </w:rPr>
      <w:fldChar w:fldCharType="end"/>
    </w:r>
  </w:p>
  <w:p w14:paraId="0525E9A3" w14:textId="1C825CA5" w:rsidR="00EB2926" w:rsidRPr="00372FCD" w:rsidRDefault="00EB2926" w:rsidP="003C3E3F">
    <w:pPr>
      <w:tabs>
        <w:tab w:val="right" w:pos="8844"/>
      </w:tabs>
      <w:adjustRightInd w:val="0"/>
      <w:snapToGrid w:val="0"/>
      <w:spacing w:before="120" w:line="240" w:lineRule="auto"/>
      <w:ind w:right="360"/>
      <w:rPr>
        <w:rFonts w:ascii="Palatino Linotype" w:hAnsi="Palatino Linotype"/>
        <w:sz w:val="16"/>
        <w:szCs w:val="16"/>
        <w:lang w:val="fr-CH"/>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483B42" w14:textId="77777777" w:rsidR="00AA5FE0" w:rsidRDefault="00AA5FE0">
      <w:pPr>
        <w:spacing w:line="240" w:lineRule="auto"/>
      </w:pPr>
      <w:r>
        <w:separator/>
      </w:r>
    </w:p>
  </w:footnote>
  <w:footnote w:type="continuationSeparator" w:id="0">
    <w:p w14:paraId="7A8E61EC" w14:textId="77777777" w:rsidR="00AA5FE0" w:rsidRDefault="00AA5FE0">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84FC6" w14:textId="77777777" w:rsidR="00EB2926" w:rsidRDefault="00EB2926" w:rsidP="00A61FBB">
    <w:pPr>
      <w:pStyle w:val="Header"/>
      <w:pBdr>
        <w:bottom w:val="none" w:sz="0" w:space="0" w:color="auto"/>
      </w:pBd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52A86" w14:textId="11897EFD" w:rsidR="00EB2926" w:rsidRPr="005C28F9" w:rsidRDefault="00EB2926" w:rsidP="009B1A78">
    <w:pPr>
      <w:tabs>
        <w:tab w:val="right" w:pos="8844"/>
      </w:tabs>
      <w:adjustRightInd w:val="0"/>
      <w:snapToGrid w:val="0"/>
      <w:spacing w:after="240" w:line="240" w:lineRule="auto"/>
      <w:rPr>
        <w:rFonts w:ascii="Palatino Linotype" w:hAnsi="Palatino Linotype"/>
        <w:sz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1C0B4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F7812E2"/>
    <w:multiLevelType w:val="hybridMultilevel"/>
    <w:tmpl w:val="222438E6"/>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
    <w:nsid w:val="1126107F"/>
    <w:multiLevelType w:val="hybridMultilevel"/>
    <w:tmpl w:val="F2B22A1C"/>
    <w:lvl w:ilvl="0" w:tplc="6854BEB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DA53C2"/>
    <w:multiLevelType w:val="hybridMultilevel"/>
    <w:tmpl w:val="DD4C53D8"/>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6">
    <w:nsid w:val="2EC046C7"/>
    <w:multiLevelType w:val="hybridMultilevel"/>
    <w:tmpl w:val="FF667C80"/>
    <w:lvl w:ilvl="0" w:tplc="6854BEB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5"/>
  </w:num>
  <w:num w:numId="2">
    <w:abstractNumId w:val="7"/>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isplayBackgroundShape/>
  <w:bordersDoNotSurroundHeader/>
  <w:bordersDoNotSurroundFooter/>
  <w:defaultTabStop w:val="420"/>
  <w:drawingGridHorizontalSpacing w:val="11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Chicago 16th Author-Date&lt;/Style&gt;&lt;LeftDelim&gt;{&lt;/LeftDelim&gt;&lt;RightDelim&gt;}&lt;/RightDelim&gt;&lt;FontName&gt;Palatino Linotype&lt;/FontName&gt;&lt;FontSize&gt;9&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wev2wasefxv9yes52e5rd9c0arzsr5ww5ez&quot;&gt;Zack AUS EndNote Library&lt;record-ids&gt;&lt;item&gt;1213&lt;/item&gt;&lt;item&gt;1626&lt;/item&gt;&lt;item&gt;1627&lt;/item&gt;&lt;item&gt;1634&lt;/item&gt;&lt;item&gt;1635&lt;/item&gt;&lt;item&gt;1813&lt;/item&gt;&lt;item&gt;1814&lt;/item&gt;&lt;item&gt;1815&lt;/item&gt;&lt;item&gt;1816&lt;/item&gt;&lt;item&gt;1817&lt;/item&gt;&lt;item&gt;1818&lt;/item&gt;&lt;item&gt;1820&lt;/item&gt;&lt;item&gt;1821&lt;/item&gt;&lt;item&gt;1836&lt;/item&gt;&lt;/record-ids&gt;&lt;/item&gt;&lt;/Libraries&gt;"/>
  </w:docVars>
  <w:rsids>
    <w:rsidRoot w:val="00616B38"/>
    <w:rsid w:val="00004FF9"/>
    <w:rsid w:val="0000714B"/>
    <w:rsid w:val="000136AF"/>
    <w:rsid w:val="000234DD"/>
    <w:rsid w:val="00025BE7"/>
    <w:rsid w:val="00027C4E"/>
    <w:rsid w:val="0003163C"/>
    <w:rsid w:val="00037E4A"/>
    <w:rsid w:val="00056509"/>
    <w:rsid w:val="00067788"/>
    <w:rsid w:val="00090298"/>
    <w:rsid w:val="00090628"/>
    <w:rsid w:val="000934C0"/>
    <w:rsid w:val="000959BD"/>
    <w:rsid w:val="000A4247"/>
    <w:rsid w:val="000A67E6"/>
    <w:rsid w:val="000B5A70"/>
    <w:rsid w:val="000B680F"/>
    <w:rsid w:val="000B75BF"/>
    <w:rsid w:val="000D0C52"/>
    <w:rsid w:val="000D2358"/>
    <w:rsid w:val="000D61D7"/>
    <w:rsid w:val="000E1BE8"/>
    <w:rsid w:val="000E49AC"/>
    <w:rsid w:val="000F04C4"/>
    <w:rsid w:val="000F3B8E"/>
    <w:rsid w:val="001009C8"/>
    <w:rsid w:val="00102A1C"/>
    <w:rsid w:val="001068F6"/>
    <w:rsid w:val="00112AA8"/>
    <w:rsid w:val="001236B7"/>
    <w:rsid w:val="00125F77"/>
    <w:rsid w:val="00131889"/>
    <w:rsid w:val="00143077"/>
    <w:rsid w:val="001435D2"/>
    <w:rsid w:val="00147569"/>
    <w:rsid w:val="0015125F"/>
    <w:rsid w:val="00153291"/>
    <w:rsid w:val="00157E53"/>
    <w:rsid w:val="00164E18"/>
    <w:rsid w:val="00177C3C"/>
    <w:rsid w:val="00182D53"/>
    <w:rsid w:val="001856BF"/>
    <w:rsid w:val="00190841"/>
    <w:rsid w:val="001A5D5F"/>
    <w:rsid w:val="001B26F5"/>
    <w:rsid w:val="001C68C2"/>
    <w:rsid w:val="001D50F6"/>
    <w:rsid w:val="001E2AEB"/>
    <w:rsid w:val="001E3F74"/>
    <w:rsid w:val="001F3364"/>
    <w:rsid w:val="001F5B92"/>
    <w:rsid w:val="00201FBA"/>
    <w:rsid w:val="00206CA9"/>
    <w:rsid w:val="002108B3"/>
    <w:rsid w:val="00210DBA"/>
    <w:rsid w:val="0021538A"/>
    <w:rsid w:val="00222F99"/>
    <w:rsid w:val="002261B3"/>
    <w:rsid w:val="00236543"/>
    <w:rsid w:val="00237308"/>
    <w:rsid w:val="002465B3"/>
    <w:rsid w:val="00247422"/>
    <w:rsid w:val="00251293"/>
    <w:rsid w:val="00261476"/>
    <w:rsid w:val="00264979"/>
    <w:rsid w:val="002771B6"/>
    <w:rsid w:val="00283AB4"/>
    <w:rsid w:val="002861A8"/>
    <w:rsid w:val="00287163"/>
    <w:rsid w:val="00291E22"/>
    <w:rsid w:val="00293CB2"/>
    <w:rsid w:val="002A47A3"/>
    <w:rsid w:val="002B1BDF"/>
    <w:rsid w:val="002B29F6"/>
    <w:rsid w:val="002B378F"/>
    <w:rsid w:val="002C763E"/>
    <w:rsid w:val="002D009D"/>
    <w:rsid w:val="002D1DFE"/>
    <w:rsid w:val="002D709C"/>
    <w:rsid w:val="002E4323"/>
    <w:rsid w:val="002E5021"/>
    <w:rsid w:val="002E5EC9"/>
    <w:rsid w:val="002E6F31"/>
    <w:rsid w:val="002E72CF"/>
    <w:rsid w:val="002F3EA0"/>
    <w:rsid w:val="00300E31"/>
    <w:rsid w:val="0030502C"/>
    <w:rsid w:val="0031172D"/>
    <w:rsid w:val="00315D0A"/>
    <w:rsid w:val="00326141"/>
    <w:rsid w:val="00337F13"/>
    <w:rsid w:val="00343F15"/>
    <w:rsid w:val="0035298F"/>
    <w:rsid w:val="003544C4"/>
    <w:rsid w:val="00354B2F"/>
    <w:rsid w:val="003604ED"/>
    <w:rsid w:val="003628AD"/>
    <w:rsid w:val="0036545C"/>
    <w:rsid w:val="00371AD0"/>
    <w:rsid w:val="00383863"/>
    <w:rsid w:val="00384958"/>
    <w:rsid w:val="003A2D6C"/>
    <w:rsid w:val="003A4B34"/>
    <w:rsid w:val="003B7233"/>
    <w:rsid w:val="003C09F5"/>
    <w:rsid w:val="003C1F87"/>
    <w:rsid w:val="003C3E3F"/>
    <w:rsid w:val="003C51BC"/>
    <w:rsid w:val="003D0F33"/>
    <w:rsid w:val="003D2A30"/>
    <w:rsid w:val="003F2028"/>
    <w:rsid w:val="00401D30"/>
    <w:rsid w:val="00406789"/>
    <w:rsid w:val="004108B3"/>
    <w:rsid w:val="00411072"/>
    <w:rsid w:val="00420355"/>
    <w:rsid w:val="00423210"/>
    <w:rsid w:val="00426C0C"/>
    <w:rsid w:val="00431B79"/>
    <w:rsid w:val="004525EB"/>
    <w:rsid w:val="00464473"/>
    <w:rsid w:val="00464741"/>
    <w:rsid w:val="00466BEA"/>
    <w:rsid w:val="004734C4"/>
    <w:rsid w:val="0048652C"/>
    <w:rsid w:val="004870ED"/>
    <w:rsid w:val="004879F0"/>
    <w:rsid w:val="00487C74"/>
    <w:rsid w:val="00491320"/>
    <w:rsid w:val="004A335F"/>
    <w:rsid w:val="004A77BD"/>
    <w:rsid w:val="004B3F7F"/>
    <w:rsid w:val="004B6338"/>
    <w:rsid w:val="004B79C0"/>
    <w:rsid w:val="004C13DC"/>
    <w:rsid w:val="004C15B4"/>
    <w:rsid w:val="004C1DB5"/>
    <w:rsid w:val="004D0D44"/>
    <w:rsid w:val="004D1546"/>
    <w:rsid w:val="004D7375"/>
    <w:rsid w:val="004E2FF6"/>
    <w:rsid w:val="004E507D"/>
    <w:rsid w:val="004F067D"/>
    <w:rsid w:val="004F7E44"/>
    <w:rsid w:val="00512514"/>
    <w:rsid w:val="00513284"/>
    <w:rsid w:val="00515041"/>
    <w:rsid w:val="0052142E"/>
    <w:rsid w:val="00525A1B"/>
    <w:rsid w:val="00527288"/>
    <w:rsid w:val="00530020"/>
    <w:rsid w:val="00535B60"/>
    <w:rsid w:val="005362C2"/>
    <w:rsid w:val="005406E1"/>
    <w:rsid w:val="00560533"/>
    <w:rsid w:val="00560595"/>
    <w:rsid w:val="005660E2"/>
    <w:rsid w:val="0057155A"/>
    <w:rsid w:val="00572CC4"/>
    <w:rsid w:val="0057314D"/>
    <w:rsid w:val="00575FFE"/>
    <w:rsid w:val="00577A60"/>
    <w:rsid w:val="00581830"/>
    <w:rsid w:val="00581C54"/>
    <w:rsid w:val="00594BC3"/>
    <w:rsid w:val="005955F6"/>
    <w:rsid w:val="005A146D"/>
    <w:rsid w:val="005A7E97"/>
    <w:rsid w:val="005C36FF"/>
    <w:rsid w:val="005C3A4C"/>
    <w:rsid w:val="005D5143"/>
    <w:rsid w:val="005E0D01"/>
    <w:rsid w:val="005E366B"/>
    <w:rsid w:val="005E6EF6"/>
    <w:rsid w:val="005F0075"/>
    <w:rsid w:val="005F0747"/>
    <w:rsid w:val="005F2991"/>
    <w:rsid w:val="005F2C58"/>
    <w:rsid w:val="005F7B56"/>
    <w:rsid w:val="00601D2F"/>
    <w:rsid w:val="006066A9"/>
    <w:rsid w:val="00611CC8"/>
    <w:rsid w:val="0061328B"/>
    <w:rsid w:val="0061524B"/>
    <w:rsid w:val="00616B38"/>
    <w:rsid w:val="00620EB9"/>
    <w:rsid w:val="00622639"/>
    <w:rsid w:val="00630A66"/>
    <w:rsid w:val="0063332D"/>
    <w:rsid w:val="00635A84"/>
    <w:rsid w:val="00641054"/>
    <w:rsid w:val="006411DF"/>
    <w:rsid w:val="00641F38"/>
    <w:rsid w:val="00650FAC"/>
    <w:rsid w:val="00673DD2"/>
    <w:rsid w:val="00676FDF"/>
    <w:rsid w:val="00677232"/>
    <w:rsid w:val="00686E7B"/>
    <w:rsid w:val="00687586"/>
    <w:rsid w:val="00687D75"/>
    <w:rsid w:val="00692393"/>
    <w:rsid w:val="00695BB8"/>
    <w:rsid w:val="006962CA"/>
    <w:rsid w:val="0069631C"/>
    <w:rsid w:val="006A4A5D"/>
    <w:rsid w:val="006B0E60"/>
    <w:rsid w:val="006C1953"/>
    <w:rsid w:val="006C1B9B"/>
    <w:rsid w:val="006D7623"/>
    <w:rsid w:val="006F368F"/>
    <w:rsid w:val="006F5E00"/>
    <w:rsid w:val="00703073"/>
    <w:rsid w:val="007058B3"/>
    <w:rsid w:val="007126E8"/>
    <w:rsid w:val="00712E84"/>
    <w:rsid w:val="00713D40"/>
    <w:rsid w:val="00727B4C"/>
    <w:rsid w:val="0073560E"/>
    <w:rsid w:val="00735FB2"/>
    <w:rsid w:val="007401D6"/>
    <w:rsid w:val="00744B02"/>
    <w:rsid w:val="0074606B"/>
    <w:rsid w:val="00772C27"/>
    <w:rsid w:val="00773F66"/>
    <w:rsid w:val="00775EB9"/>
    <w:rsid w:val="00781D1C"/>
    <w:rsid w:val="00782B91"/>
    <w:rsid w:val="00784783"/>
    <w:rsid w:val="00785852"/>
    <w:rsid w:val="00794EF4"/>
    <w:rsid w:val="007A5CD3"/>
    <w:rsid w:val="007B06F1"/>
    <w:rsid w:val="007B3554"/>
    <w:rsid w:val="007B6022"/>
    <w:rsid w:val="007C6F01"/>
    <w:rsid w:val="007D6577"/>
    <w:rsid w:val="007D6604"/>
    <w:rsid w:val="007E47A6"/>
    <w:rsid w:val="007E4C9D"/>
    <w:rsid w:val="00802869"/>
    <w:rsid w:val="00806D66"/>
    <w:rsid w:val="0080752D"/>
    <w:rsid w:val="008121B3"/>
    <w:rsid w:val="00813DDD"/>
    <w:rsid w:val="0082066C"/>
    <w:rsid w:val="0082068B"/>
    <w:rsid w:val="0082364D"/>
    <w:rsid w:val="008302DC"/>
    <w:rsid w:val="00832834"/>
    <w:rsid w:val="008728BD"/>
    <w:rsid w:val="0087479A"/>
    <w:rsid w:val="0087482A"/>
    <w:rsid w:val="0087655F"/>
    <w:rsid w:val="00880334"/>
    <w:rsid w:val="008916FE"/>
    <w:rsid w:val="008A0B00"/>
    <w:rsid w:val="008A304C"/>
    <w:rsid w:val="008A31AD"/>
    <w:rsid w:val="008B4CA1"/>
    <w:rsid w:val="008B5D20"/>
    <w:rsid w:val="008C0E57"/>
    <w:rsid w:val="008C730F"/>
    <w:rsid w:val="008D0B70"/>
    <w:rsid w:val="008D0DBB"/>
    <w:rsid w:val="008D24B1"/>
    <w:rsid w:val="008E153E"/>
    <w:rsid w:val="008E692D"/>
    <w:rsid w:val="008F2AA5"/>
    <w:rsid w:val="008F4CDF"/>
    <w:rsid w:val="00901E1B"/>
    <w:rsid w:val="00904748"/>
    <w:rsid w:val="009217EB"/>
    <w:rsid w:val="009259E3"/>
    <w:rsid w:val="00926359"/>
    <w:rsid w:val="00950C1C"/>
    <w:rsid w:val="0095643F"/>
    <w:rsid w:val="00965387"/>
    <w:rsid w:val="00986D74"/>
    <w:rsid w:val="009903DC"/>
    <w:rsid w:val="009959B6"/>
    <w:rsid w:val="009A46F0"/>
    <w:rsid w:val="009B1A78"/>
    <w:rsid w:val="009B7A48"/>
    <w:rsid w:val="009C2558"/>
    <w:rsid w:val="009C3AFA"/>
    <w:rsid w:val="009E0981"/>
    <w:rsid w:val="009E1129"/>
    <w:rsid w:val="009E3E09"/>
    <w:rsid w:val="009E6B76"/>
    <w:rsid w:val="009F1417"/>
    <w:rsid w:val="009F34C7"/>
    <w:rsid w:val="009F4EE7"/>
    <w:rsid w:val="009F70E6"/>
    <w:rsid w:val="00A05C0F"/>
    <w:rsid w:val="00A309E4"/>
    <w:rsid w:val="00A34FC3"/>
    <w:rsid w:val="00A52D99"/>
    <w:rsid w:val="00A55B9C"/>
    <w:rsid w:val="00A565D0"/>
    <w:rsid w:val="00A61FBB"/>
    <w:rsid w:val="00A6424E"/>
    <w:rsid w:val="00A73A46"/>
    <w:rsid w:val="00A74655"/>
    <w:rsid w:val="00A7670F"/>
    <w:rsid w:val="00A82669"/>
    <w:rsid w:val="00A839A6"/>
    <w:rsid w:val="00AA5381"/>
    <w:rsid w:val="00AA5FE0"/>
    <w:rsid w:val="00AA6A81"/>
    <w:rsid w:val="00AB0576"/>
    <w:rsid w:val="00AC0B30"/>
    <w:rsid w:val="00AC4319"/>
    <w:rsid w:val="00AD3678"/>
    <w:rsid w:val="00AD3A3C"/>
    <w:rsid w:val="00AE261B"/>
    <w:rsid w:val="00AF5212"/>
    <w:rsid w:val="00B00977"/>
    <w:rsid w:val="00B04888"/>
    <w:rsid w:val="00B0619F"/>
    <w:rsid w:val="00B104F0"/>
    <w:rsid w:val="00B11017"/>
    <w:rsid w:val="00B16AAD"/>
    <w:rsid w:val="00B17DDE"/>
    <w:rsid w:val="00B2049C"/>
    <w:rsid w:val="00B32483"/>
    <w:rsid w:val="00B355F8"/>
    <w:rsid w:val="00B50B23"/>
    <w:rsid w:val="00B550C3"/>
    <w:rsid w:val="00B7345E"/>
    <w:rsid w:val="00B87E20"/>
    <w:rsid w:val="00B92C3A"/>
    <w:rsid w:val="00BB303D"/>
    <w:rsid w:val="00BC4969"/>
    <w:rsid w:val="00BC4EFB"/>
    <w:rsid w:val="00BE3BFC"/>
    <w:rsid w:val="00BE3DE6"/>
    <w:rsid w:val="00BF30F1"/>
    <w:rsid w:val="00BF6BDE"/>
    <w:rsid w:val="00C023C2"/>
    <w:rsid w:val="00C13518"/>
    <w:rsid w:val="00C20605"/>
    <w:rsid w:val="00C23755"/>
    <w:rsid w:val="00C23F92"/>
    <w:rsid w:val="00C24451"/>
    <w:rsid w:val="00C25C80"/>
    <w:rsid w:val="00C260E5"/>
    <w:rsid w:val="00C33F70"/>
    <w:rsid w:val="00C3734D"/>
    <w:rsid w:val="00C40C8A"/>
    <w:rsid w:val="00C41E31"/>
    <w:rsid w:val="00C551E6"/>
    <w:rsid w:val="00C55AB3"/>
    <w:rsid w:val="00C56BD6"/>
    <w:rsid w:val="00C76B1E"/>
    <w:rsid w:val="00C8112D"/>
    <w:rsid w:val="00C81CCA"/>
    <w:rsid w:val="00C81FE7"/>
    <w:rsid w:val="00C8451C"/>
    <w:rsid w:val="00C84742"/>
    <w:rsid w:val="00C855E4"/>
    <w:rsid w:val="00C92714"/>
    <w:rsid w:val="00CA0D2F"/>
    <w:rsid w:val="00CA7AEC"/>
    <w:rsid w:val="00CB1559"/>
    <w:rsid w:val="00CB2191"/>
    <w:rsid w:val="00CB33FE"/>
    <w:rsid w:val="00CB5430"/>
    <w:rsid w:val="00CB7257"/>
    <w:rsid w:val="00CC02F6"/>
    <w:rsid w:val="00CC3DFF"/>
    <w:rsid w:val="00CD0641"/>
    <w:rsid w:val="00CD735E"/>
    <w:rsid w:val="00CE76FD"/>
    <w:rsid w:val="00D11A96"/>
    <w:rsid w:val="00D266E1"/>
    <w:rsid w:val="00D34F01"/>
    <w:rsid w:val="00D42883"/>
    <w:rsid w:val="00D458C0"/>
    <w:rsid w:val="00D606C8"/>
    <w:rsid w:val="00D6182B"/>
    <w:rsid w:val="00D63E9C"/>
    <w:rsid w:val="00D760B6"/>
    <w:rsid w:val="00D87EDA"/>
    <w:rsid w:val="00D91438"/>
    <w:rsid w:val="00D927E8"/>
    <w:rsid w:val="00D94065"/>
    <w:rsid w:val="00DB3FC7"/>
    <w:rsid w:val="00DB41E9"/>
    <w:rsid w:val="00DC46BC"/>
    <w:rsid w:val="00DC64FA"/>
    <w:rsid w:val="00DD3115"/>
    <w:rsid w:val="00DE3C56"/>
    <w:rsid w:val="00DE426D"/>
    <w:rsid w:val="00DE4DDA"/>
    <w:rsid w:val="00DE77E3"/>
    <w:rsid w:val="00DF228A"/>
    <w:rsid w:val="00DF5A66"/>
    <w:rsid w:val="00E1137A"/>
    <w:rsid w:val="00E11858"/>
    <w:rsid w:val="00E13113"/>
    <w:rsid w:val="00E15404"/>
    <w:rsid w:val="00E16AEA"/>
    <w:rsid w:val="00E25EDB"/>
    <w:rsid w:val="00E2793B"/>
    <w:rsid w:val="00E27BEE"/>
    <w:rsid w:val="00E332ED"/>
    <w:rsid w:val="00E4055C"/>
    <w:rsid w:val="00E41276"/>
    <w:rsid w:val="00E413AD"/>
    <w:rsid w:val="00E42ABD"/>
    <w:rsid w:val="00E43C5B"/>
    <w:rsid w:val="00E51FA1"/>
    <w:rsid w:val="00E53F46"/>
    <w:rsid w:val="00E57CBC"/>
    <w:rsid w:val="00E62FF9"/>
    <w:rsid w:val="00E63702"/>
    <w:rsid w:val="00E72A47"/>
    <w:rsid w:val="00E72DAC"/>
    <w:rsid w:val="00E75DF0"/>
    <w:rsid w:val="00E76EC5"/>
    <w:rsid w:val="00E8278C"/>
    <w:rsid w:val="00EA6E8B"/>
    <w:rsid w:val="00EB2926"/>
    <w:rsid w:val="00EC49AA"/>
    <w:rsid w:val="00EC5A42"/>
    <w:rsid w:val="00ED7112"/>
    <w:rsid w:val="00EE0004"/>
    <w:rsid w:val="00EE4DB8"/>
    <w:rsid w:val="00EF02DF"/>
    <w:rsid w:val="00EF1943"/>
    <w:rsid w:val="00EF6D99"/>
    <w:rsid w:val="00F00BA5"/>
    <w:rsid w:val="00F00EA7"/>
    <w:rsid w:val="00F06FE8"/>
    <w:rsid w:val="00F152A6"/>
    <w:rsid w:val="00F22FCF"/>
    <w:rsid w:val="00F45B14"/>
    <w:rsid w:val="00F52A01"/>
    <w:rsid w:val="00F6060D"/>
    <w:rsid w:val="00F6087A"/>
    <w:rsid w:val="00F95AC2"/>
    <w:rsid w:val="00FA0987"/>
    <w:rsid w:val="00FA0D3D"/>
    <w:rsid w:val="00FA183E"/>
    <w:rsid w:val="00FA2B82"/>
    <w:rsid w:val="00FA6886"/>
    <w:rsid w:val="00FC677A"/>
    <w:rsid w:val="00FD1548"/>
    <w:rsid w:val="00FE1E77"/>
    <w:rsid w:val="00FE4686"/>
    <w:rsid w:val="00FF59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68119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6060D"/>
    <w:pPr>
      <w:spacing w:line="360" w:lineRule="auto"/>
      <w:ind w:firstLine="420"/>
      <w:jc w:val="both"/>
    </w:pPr>
    <w:rPr>
      <w:rFonts w:ascii="Times New Roman" w:eastAsia="Times New Roman" w:hAnsi="Times New Roman"/>
      <w:color w:val="000000"/>
      <w:sz w:val="24"/>
      <w:lang w:eastAsia="de-DE"/>
    </w:rPr>
  </w:style>
  <w:style w:type="paragraph" w:styleId="Heading1">
    <w:name w:val="heading 1"/>
    <w:basedOn w:val="Normal"/>
    <w:next w:val="Normal"/>
    <w:link w:val="Heading1Char"/>
    <w:uiPriority w:val="9"/>
    <w:qFormat/>
    <w:rsid w:val="003B7233"/>
    <w:pPr>
      <w:keepNext/>
      <w:keepLines/>
      <w:spacing w:before="240"/>
      <w:ind w:firstLine="0"/>
      <w:outlineLvl w:val="0"/>
    </w:pPr>
    <w:rPr>
      <w:rFonts w:eastAsiaTheme="majorEastAsia" w:cstheme="majorBidi"/>
      <w:b/>
      <w:color w:val="auto"/>
      <w:sz w:val="28"/>
      <w:szCs w:val="32"/>
    </w:rPr>
  </w:style>
  <w:style w:type="paragraph" w:styleId="Heading2">
    <w:name w:val="heading 2"/>
    <w:basedOn w:val="Normal"/>
    <w:next w:val="Normal"/>
    <w:link w:val="Heading2Char"/>
    <w:uiPriority w:val="9"/>
    <w:unhideWhenUsed/>
    <w:qFormat/>
    <w:rsid w:val="003B7233"/>
    <w:pPr>
      <w:keepNext/>
      <w:keepLines/>
      <w:spacing w:before="40"/>
      <w:ind w:firstLine="0"/>
      <w:outlineLvl w:val="1"/>
    </w:pPr>
    <w:rPr>
      <w:rFonts w:eastAsiaTheme="majorEastAsia" w:cstheme="majorBidi"/>
      <w:b/>
      <w:color w:val="auto"/>
      <w:szCs w:val="26"/>
    </w:rPr>
  </w:style>
  <w:style w:type="paragraph" w:styleId="Heading3">
    <w:name w:val="heading 3"/>
    <w:basedOn w:val="Normal"/>
    <w:next w:val="Normal"/>
    <w:link w:val="Heading3Char"/>
    <w:uiPriority w:val="9"/>
    <w:unhideWhenUsed/>
    <w:qFormat/>
    <w:rsid w:val="007C6F01"/>
    <w:pPr>
      <w:keepNext/>
      <w:keepLines/>
      <w:spacing w:before="40"/>
      <w:ind w:firstLine="0"/>
      <w:outlineLvl w:val="2"/>
    </w:pPr>
    <w:rPr>
      <w:rFonts w:eastAsiaTheme="majorEastAsia" w:cstheme="majorBidi"/>
      <w:b/>
      <w:i/>
      <w:color w:val="auto"/>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7233"/>
    <w:rPr>
      <w:rFonts w:ascii="Times New Roman" w:eastAsiaTheme="majorEastAsia" w:hAnsi="Times New Roman" w:cstheme="majorBidi"/>
      <w:b/>
      <w:sz w:val="28"/>
      <w:szCs w:val="32"/>
      <w:lang w:eastAsia="de-DE"/>
    </w:rPr>
  </w:style>
  <w:style w:type="character" w:customStyle="1" w:styleId="Heading2Char">
    <w:name w:val="Heading 2 Char"/>
    <w:basedOn w:val="DefaultParagraphFont"/>
    <w:link w:val="Heading2"/>
    <w:uiPriority w:val="9"/>
    <w:rsid w:val="003B7233"/>
    <w:rPr>
      <w:rFonts w:ascii="Times New Roman" w:eastAsiaTheme="majorEastAsia" w:hAnsi="Times New Roman" w:cstheme="majorBidi"/>
      <w:b/>
      <w:sz w:val="24"/>
      <w:szCs w:val="26"/>
      <w:lang w:eastAsia="de-DE"/>
    </w:rPr>
  </w:style>
  <w:style w:type="table" w:customStyle="1" w:styleId="Mdeck5tablebodythreelines">
    <w:name w:val="M_deck_5_table_body_three_lines"/>
    <w:basedOn w:val="TableNormal"/>
    <w:uiPriority w:val="99"/>
    <w:rsid w:val="00F00EA7"/>
    <w:pPr>
      <w:adjustRightInd w:val="0"/>
      <w:snapToGrid w:val="0"/>
      <w:spacing w:line="300" w:lineRule="exact"/>
      <w:jc w:val="center"/>
    </w:pPr>
    <w:rPr>
      <w:rFonts w:ascii="Times New Roman" w:hAnsi="Times New Roman"/>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F00EA7"/>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F00EA7"/>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F00EA7"/>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F00EA7"/>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F00EA7"/>
    <w:rPr>
      <w:rFonts w:ascii="Times New Roman" w:eastAsia="Times New Roman" w:hAnsi="Times New Roman" w:cs="Times New Roman"/>
      <w:color w:val="000000"/>
      <w:kern w:val="0"/>
      <w:sz w:val="18"/>
      <w:szCs w:val="18"/>
      <w:lang w:eastAsia="de-DE"/>
    </w:rPr>
  </w:style>
  <w:style w:type="paragraph" w:styleId="BalloonText">
    <w:name w:val="Balloon Text"/>
    <w:basedOn w:val="Normal"/>
    <w:link w:val="BalloonTextChar"/>
    <w:uiPriority w:val="99"/>
    <w:semiHidden/>
    <w:unhideWhenUsed/>
    <w:rsid w:val="00F00EA7"/>
    <w:pPr>
      <w:spacing w:line="240" w:lineRule="auto"/>
    </w:pPr>
    <w:rPr>
      <w:sz w:val="18"/>
      <w:szCs w:val="18"/>
    </w:rPr>
  </w:style>
  <w:style w:type="character" w:customStyle="1" w:styleId="BalloonTextChar">
    <w:name w:val="Balloon Text Char"/>
    <w:link w:val="BalloonText"/>
    <w:uiPriority w:val="99"/>
    <w:semiHidden/>
    <w:rsid w:val="00F00EA7"/>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F00EA7"/>
  </w:style>
  <w:style w:type="table" w:customStyle="1" w:styleId="MDPI41threelinetable">
    <w:name w:val="MDPI_4.1_three_line_table"/>
    <w:basedOn w:val="TableNormal"/>
    <w:uiPriority w:val="99"/>
    <w:rsid w:val="00CA0D2F"/>
    <w:pPr>
      <w:adjustRightInd w:val="0"/>
      <w:snapToGrid w:val="0"/>
      <w:jc w:val="center"/>
    </w:pPr>
    <w:rPr>
      <w:rFonts w:ascii="Palatino Linotype" w:hAnsi="Palatino Linotype"/>
      <w:color w:val="000000"/>
    </w:r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unhideWhenUsed/>
    <w:rsid w:val="002E72CF"/>
    <w:rPr>
      <w:color w:val="0563C1"/>
      <w:u w:val="single"/>
    </w:rPr>
  </w:style>
  <w:style w:type="character" w:customStyle="1" w:styleId="UnresolvedMention">
    <w:name w:val="Unresolved Mention"/>
    <w:uiPriority w:val="99"/>
    <w:semiHidden/>
    <w:unhideWhenUsed/>
    <w:rsid w:val="004879F0"/>
    <w:rPr>
      <w:color w:val="605E5C"/>
      <w:shd w:val="clear" w:color="auto" w:fill="E1DFDD"/>
    </w:rPr>
  </w:style>
  <w:style w:type="table" w:styleId="PlainTable4">
    <w:name w:val="Plain Table 4"/>
    <w:basedOn w:val="TableNormal"/>
    <w:uiPriority w:val="44"/>
    <w:rsid w:val="009F1417"/>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EndNoteBibliographyTitle">
    <w:name w:val="EndNote Bibliography Title"/>
    <w:basedOn w:val="Normal"/>
    <w:rsid w:val="002108B3"/>
    <w:pPr>
      <w:jc w:val="center"/>
    </w:pPr>
    <w:rPr>
      <w:rFonts w:ascii="Palatino Linotype" w:hAnsi="Palatino Linotype"/>
      <w:sz w:val="18"/>
      <w:lang w:val="de-DE"/>
    </w:rPr>
  </w:style>
  <w:style w:type="paragraph" w:customStyle="1" w:styleId="EndNoteBibliography">
    <w:name w:val="EndNote Bibliography"/>
    <w:basedOn w:val="Normal"/>
    <w:rsid w:val="002108B3"/>
    <w:pPr>
      <w:spacing w:line="240" w:lineRule="atLeast"/>
    </w:pPr>
    <w:rPr>
      <w:rFonts w:ascii="Palatino Linotype" w:hAnsi="Palatino Linotype"/>
      <w:sz w:val="18"/>
      <w:lang w:val="de-DE"/>
    </w:rPr>
  </w:style>
  <w:style w:type="character" w:styleId="PageNumber">
    <w:name w:val="page number"/>
    <w:basedOn w:val="DefaultParagraphFont"/>
    <w:uiPriority w:val="99"/>
    <w:semiHidden/>
    <w:unhideWhenUsed/>
    <w:rsid w:val="003C3E3F"/>
  </w:style>
  <w:style w:type="character" w:customStyle="1" w:styleId="Heading3Char">
    <w:name w:val="Heading 3 Char"/>
    <w:basedOn w:val="DefaultParagraphFont"/>
    <w:link w:val="Heading3"/>
    <w:uiPriority w:val="9"/>
    <w:rsid w:val="007C6F01"/>
    <w:rPr>
      <w:rFonts w:ascii="Times New Roman" w:eastAsiaTheme="majorEastAsia" w:hAnsi="Times New Roman" w:cstheme="majorBidi"/>
      <w:b/>
      <w:i/>
      <w:sz w:val="22"/>
      <w:szCs w:val="24"/>
      <w:lang w:eastAsia="de-DE"/>
    </w:rPr>
  </w:style>
  <w:style w:type="paragraph" w:styleId="ListParagraph">
    <w:name w:val="List Paragraph"/>
    <w:basedOn w:val="Normal"/>
    <w:uiPriority w:val="34"/>
    <w:qFormat/>
    <w:rsid w:val="00E72DAC"/>
    <w:pPr>
      <w:ind w:left="720"/>
      <w:contextualSpacing/>
    </w:pPr>
  </w:style>
  <w:style w:type="character" w:styleId="CommentReference">
    <w:name w:val="annotation reference"/>
    <w:basedOn w:val="DefaultParagraphFont"/>
    <w:uiPriority w:val="99"/>
    <w:semiHidden/>
    <w:unhideWhenUsed/>
    <w:rsid w:val="00D6182B"/>
    <w:rPr>
      <w:sz w:val="18"/>
      <w:szCs w:val="18"/>
    </w:rPr>
  </w:style>
  <w:style w:type="paragraph" w:styleId="CommentText">
    <w:name w:val="annotation text"/>
    <w:basedOn w:val="Normal"/>
    <w:link w:val="CommentTextChar"/>
    <w:uiPriority w:val="99"/>
    <w:semiHidden/>
    <w:unhideWhenUsed/>
    <w:rsid w:val="00D6182B"/>
    <w:pPr>
      <w:spacing w:line="240" w:lineRule="auto"/>
    </w:pPr>
    <w:rPr>
      <w:szCs w:val="24"/>
    </w:rPr>
  </w:style>
  <w:style w:type="character" w:customStyle="1" w:styleId="CommentTextChar">
    <w:name w:val="Comment Text Char"/>
    <w:basedOn w:val="DefaultParagraphFont"/>
    <w:link w:val="CommentText"/>
    <w:uiPriority w:val="99"/>
    <w:semiHidden/>
    <w:rsid w:val="00D6182B"/>
    <w:rPr>
      <w:rFonts w:ascii="Times New Roman" w:eastAsia="Times New Roman" w:hAnsi="Times New Roman"/>
      <w:color w:val="000000"/>
      <w:sz w:val="24"/>
      <w:szCs w:val="24"/>
      <w:lang w:eastAsia="de-DE"/>
    </w:rPr>
  </w:style>
  <w:style w:type="paragraph" w:styleId="CommentSubject">
    <w:name w:val="annotation subject"/>
    <w:basedOn w:val="CommentText"/>
    <w:next w:val="CommentText"/>
    <w:link w:val="CommentSubjectChar"/>
    <w:uiPriority w:val="99"/>
    <w:semiHidden/>
    <w:unhideWhenUsed/>
    <w:rsid w:val="00D6182B"/>
    <w:rPr>
      <w:b/>
      <w:bCs/>
      <w:sz w:val="20"/>
      <w:szCs w:val="20"/>
    </w:rPr>
  </w:style>
  <w:style w:type="character" w:customStyle="1" w:styleId="CommentSubjectChar">
    <w:name w:val="Comment Subject Char"/>
    <w:basedOn w:val="CommentTextChar"/>
    <w:link w:val="CommentSubject"/>
    <w:uiPriority w:val="99"/>
    <w:semiHidden/>
    <w:rsid w:val="00D6182B"/>
    <w:rPr>
      <w:rFonts w:ascii="Times New Roman" w:eastAsia="Times New Roman" w:hAnsi="Times New Roman"/>
      <w:b/>
      <w:bCs/>
      <w:color w:val="00000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iso-8859-6"/>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tif"/><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Facet">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Normal.dotm</Template>
  <TotalTime>43</TotalTime>
  <Pages>5</Pages>
  <Words>1024</Words>
  <Characters>5839</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6850</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Yongze Song</dc:creator>
  <cp:keywords/>
  <dc:description/>
  <cp:lastModifiedBy>Yongze Song</cp:lastModifiedBy>
  <cp:revision>89</cp:revision>
  <dcterms:created xsi:type="dcterms:W3CDTF">2019-08-05T06:23:00Z</dcterms:created>
  <dcterms:modified xsi:type="dcterms:W3CDTF">2019-10-19T07:56:00Z</dcterms:modified>
</cp:coreProperties>
</file>