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C9B" w:rsidRDefault="00207C9B" w:rsidP="00207C9B">
      <w:pPr>
        <w:pStyle w:val="Heading1"/>
        <w:numPr>
          <w:ilvl w:val="0"/>
          <w:numId w:val="0"/>
        </w:numPr>
      </w:pPr>
      <w:bookmarkStart w:id="0" w:name="_Toc266022959"/>
      <w:r>
        <w:t>Text S6 Computing Thermodynamic Equilibrium of Large Complexes</w:t>
      </w:r>
      <w:bookmarkEnd w:id="0"/>
    </w:p>
    <w:p w:rsidR="00207C9B" w:rsidRDefault="00207C9B" w:rsidP="00207C9B"/>
    <w:p w:rsidR="00207C9B" w:rsidRDefault="00207C9B" w:rsidP="00207C9B">
      <w:pPr>
        <w:spacing w:line="480" w:lineRule="auto"/>
        <w:ind w:firstLine="720"/>
      </w:pPr>
      <w:r>
        <w:t xml:space="preserve">This section describes the algorithm used to compute the concentrations of components, intermediates and complexes at equilibrium for larger (16 and 25 component) complexes. We start with an initial guess of component and complex concentrations that preserves mass balance among reaction components with respect to the initial conditions of the reaction. The algorithm then chooses a reaction at random (with equal probability to choose any reaction in the list of possible reactions), and zeros the net reaction rate by computing the change in the species concentrations that would give the concentration of species at equilibrium. </w:t>
      </w:r>
    </w:p>
    <w:p w:rsidR="00207C9B" w:rsidRDefault="00207C9B" w:rsidP="00207C9B">
      <w:pPr>
        <w:spacing w:line="480" w:lineRule="auto"/>
        <w:ind w:firstLine="720"/>
      </w:pPr>
      <w:r>
        <w:t xml:space="preserve">For a given reaction </w:t>
      </w:r>
      <m:oMath>
        <m:r>
          <w:rPr>
            <w:rFonts w:ascii="Cambria Math" w:hAnsi="Cambria Math"/>
          </w:rPr>
          <m:t>A+B</m:t>
        </m:r>
        <m:box>
          <m:boxPr>
            <m:opEmu m:val="1"/>
            <m:ctrlPr>
              <w:rPr>
                <w:rFonts w:ascii="Cambria Math" w:hAnsi="Cambria Math"/>
                <w:i/>
              </w:rPr>
            </m:ctrlPr>
          </m:boxPr>
          <m:e>
            <m:r>
              <w:rPr>
                <w:rFonts w:ascii="Cambria Math" w:hAnsi="Cambria Math"/>
              </w:rPr>
              <m:t>⇋C</m:t>
            </m:r>
          </m:e>
        </m:box>
      </m:oMath>
      <w:r>
        <w:t xml:space="preserve">, the equilibrium constant, </w:t>
      </w:r>
      <m:oMath>
        <m:sSub>
          <m:sSubPr>
            <m:ctrlPr>
              <w:rPr>
                <w:rFonts w:ascii="Cambria Math" w:hAnsi="Cambria Math"/>
                <w:i/>
              </w:rPr>
            </m:ctrlPr>
          </m:sSubPr>
          <m:e>
            <m:r>
              <w:rPr>
                <w:rFonts w:ascii="Cambria Math" w:hAnsi="Cambria Math"/>
              </w:rPr>
              <m:t>K</m:t>
            </m:r>
          </m:e>
          <m:sub>
            <m:r>
              <w:rPr>
                <w:rFonts w:ascii="Cambria Math" w:hAnsi="Cambria Math"/>
              </w:rPr>
              <m:t>eq</m:t>
            </m:r>
          </m:sub>
        </m:sSub>
      </m:oMath>
      <w:r>
        <w:t>, is given by:</w:t>
      </w:r>
    </w:p>
    <w:p w:rsidR="00207C9B" w:rsidRDefault="00207C9B" w:rsidP="00207C9B">
      <w:pPr>
        <w:jc w:val="both"/>
      </w:pPr>
    </w:p>
    <w:tbl>
      <w:tblPr>
        <w:tblStyle w:val="TableGrid"/>
        <w:tblW w:w="8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2"/>
        <w:gridCol w:w="3456"/>
        <w:gridCol w:w="2340"/>
      </w:tblGrid>
      <w:tr w:rsidR="00207C9B" w:rsidTr="00D435C6">
        <w:tc>
          <w:tcPr>
            <w:tcW w:w="2862" w:type="dxa"/>
            <w:shd w:val="clear" w:color="auto" w:fill="auto"/>
          </w:tcPr>
          <w:p w:rsidR="00207C9B" w:rsidRDefault="00207C9B" w:rsidP="00D435C6">
            <w:pPr>
              <w:pStyle w:val="CommentText"/>
              <w:jc w:val="both"/>
            </w:pPr>
          </w:p>
        </w:tc>
        <w:tc>
          <w:tcPr>
            <w:tcW w:w="3456" w:type="dxa"/>
            <w:shd w:val="clear" w:color="auto" w:fill="auto"/>
          </w:tcPr>
          <w:p w:rsidR="00207C9B" w:rsidRPr="00520669" w:rsidRDefault="00207C9B" w:rsidP="00D435C6">
            <w:pPr>
              <w:jc w:val="both"/>
            </w:pPr>
            <m:oMathPara>
              <m:oMath>
                <m:sSub>
                  <m:sSubPr>
                    <m:ctrlPr>
                      <w:rPr>
                        <w:rFonts w:ascii="Cambria Math" w:hAnsi="Cambria Math"/>
                        <w:i/>
                      </w:rPr>
                    </m:ctrlPr>
                  </m:sSubPr>
                  <m:e>
                    <m:r>
                      <w:rPr>
                        <w:rFonts w:ascii="Cambria Math" w:hAnsi="Cambria Math"/>
                      </w:rPr>
                      <m:t>K</m:t>
                    </m:r>
                  </m:e>
                  <m:sub>
                    <m:r>
                      <w:rPr>
                        <w:rFonts w:ascii="Cambria Math" w:hAnsi="Cambria Math"/>
                      </w:rPr>
                      <m:t>eq</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on</m:t>
                        </m:r>
                      </m:sub>
                    </m:sSub>
                  </m:num>
                  <m:den>
                    <m:sSub>
                      <m:sSubPr>
                        <m:ctrlPr>
                          <w:rPr>
                            <w:rFonts w:ascii="Cambria Math" w:hAnsi="Cambria Math"/>
                            <w:i/>
                          </w:rPr>
                        </m:ctrlPr>
                      </m:sSubPr>
                      <m:e>
                        <m:r>
                          <w:rPr>
                            <w:rFonts w:ascii="Cambria Math" w:hAnsi="Cambria Math"/>
                          </w:rPr>
                          <m:t>k</m:t>
                        </m:r>
                      </m:e>
                      <m:sub>
                        <m:r>
                          <w:rPr>
                            <w:rFonts w:ascii="Cambria Math" w:hAnsi="Cambria Math"/>
                          </w:rPr>
                          <m:t>off,</m:t>
                        </m:r>
                        <m:sSub>
                          <m:sSubPr>
                            <m:ctrlPr>
                              <w:rPr>
                                <w:rFonts w:ascii="Cambria Math" w:hAnsi="Cambria Math"/>
                                <w:i/>
                              </w:rPr>
                            </m:ctrlPr>
                          </m:sSubPr>
                          <m:e>
                            <m:r>
                              <w:rPr>
                                <w:rFonts w:ascii="Cambria Math" w:hAnsi="Cambria Math"/>
                              </w:rPr>
                              <m:t>b</m:t>
                            </m:r>
                          </m:e>
                          <m:sub>
                            <m:r>
                              <w:rPr>
                                <w:rFonts w:ascii="Cambria Math" w:hAnsi="Cambria Math"/>
                              </w:rPr>
                              <m:t>i</m:t>
                            </m:r>
                          </m:sub>
                        </m:sSub>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eq</m:t>
                        </m:r>
                      </m:sub>
                    </m:sSub>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eq</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eq</m:t>
                        </m:r>
                      </m:sub>
                    </m:sSub>
                  </m:den>
                </m:f>
                <m:r>
                  <w:rPr>
                    <w:rFonts w:ascii="Cambria Math" w:hAnsi="Cambria Math"/>
                  </w:rPr>
                  <m:t>.</m:t>
                </m:r>
              </m:oMath>
            </m:oMathPara>
          </w:p>
          <w:p w:rsidR="00207C9B" w:rsidRDefault="00207C9B" w:rsidP="00D435C6">
            <w:pPr>
              <w:pStyle w:val="CommentText"/>
              <w:jc w:val="both"/>
            </w:pPr>
          </w:p>
        </w:tc>
        <w:tc>
          <w:tcPr>
            <w:tcW w:w="2340" w:type="dxa"/>
            <w:shd w:val="clear" w:color="auto" w:fill="auto"/>
          </w:tcPr>
          <w:p w:rsidR="00207C9B" w:rsidRDefault="00207C9B" w:rsidP="00D435C6">
            <w:pPr>
              <w:pStyle w:val="CommentText"/>
              <w:jc w:val="right"/>
            </w:pPr>
          </w:p>
          <w:p w:rsidR="00207C9B" w:rsidRDefault="00207C9B" w:rsidP="00D435C6">
            <w:pPr>
              <w:pStyle w:val="CommentText"/>
              <w:jc w:val="right"/>
            </w:pPr>
            <w:r>
              <w:t>(12)</w:t>
            </w:r>
          </w:p>
        </w:tc>
      </w:tr>
    </w:tbl>
    <w:p w:rsidR="00207C9B" w:rsidRDefault="00207C9B" w:rsidP="00207C9B">
      <w:pPr>
        <w:spacing w:line="480" w:lineRule="auto"/>
      </w:pPr>
      <w:r>
        <w:t xml:space="preserve">The equilibrium concentrations of the species will be </w:t>
      </w: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eq</m:t>
            </m:r>
          </m:sub>
        </m:sSub>
        <m:r>
          <w:rPr>
            <w:rFonts w:ascii="Cambria Math" w:hAnsi="Cambria Math"/>
          </w:rPr>
          <m:t>=</m:t>
        </m:r>
        <m:d>
          <m:dPr>
            <m:begChr m:val="["/>
            <m:endChr m:val="]"/>
            <m:ctrlPr>
              <w:rPr>
                <w:rFonts w:ascii="Cambria Math" w:hAnsi="Cambria Math"/>
                <w:i/>
              </w:rPr>
            </m:ctrlPr>
          </m:dPr>
          <m:e>
            <m:r>
              <w:rPr>
                <w:rFonts w:ascii="Cambria Math" w:hAnsi="Cambria Math"/>
              </w:rPr>
              <m:t>A</m:t>
            </m:r>
          </m:e>
        </m:d>
        <m:r>
          <w:rPr>
            <w:rFonts w:ascii="Cambria Math" w:hAnsi="Cambria Math"/>
          </w:rPr>
          <m:t>-δ</m:t>
        </m:r>
      </m:oMath>
      <w:r>
        <w:t xml:space="preserve">, </w:t>
      </w: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eq</m:t>
            </m:r>
          </m:sub>
        </m:sSub>
        <m:r>
          <w:rPr>
            <w:rFonts w:ascii="Cambria Math" w:hAnsi="Cambria Math"/>
          </w:rPr>
          <m:t>=</m:t>
        </m:r>
        <m:d>
          <m:dPr>
            <m:begChr m:val="["/>
            <m:endChr m:val="]"/>
            <m:ctrlPr>
              <w:rPr>
                <w:rFonts w:ascii="Cambria Math" w:hAnsi="Cambria Math"/>
                <w:i/>
              </w:rPr>
            </m:ctrlPr>
          </m:dPr>
          <m:e>
            <m:r>
              <w:rPr>
                <w:rFonts w:ascii="Cambria Math" w:hAnsi="Cambria Math"/>
              </w:rPr>
              <m:t>B</m:t>
            </m:r>
          </m:e>
        </m:d>
        <m:r>
          <w:rPr>
            <w:rFonts w:ascii="Cambria Math" w:hAnsi="Cambria Math"/>
          </w:rPr>
          <m:t>-δ</m:t>
        </m:r>
      </m:oMath>
      <w:r>
        <w:t xml:space="preserve"> and </w:t>
      </w: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eq</m:t>
            </m:r>
          </m:sub>
        </m:sSub>
        <m:r>
          <w:rPr>
            <w:rFonts w:ascii="Cambria Math" w:hAnsi="Cambria Math"/>
          </w:rPr>
          <m:t>=</m:t>
        </m:r>
        <m:d>
          <m:dPr>
            <m:begChr m:val="["/>
            <m:endChr m:val="]"/>
            <m:ctrlPr>
              <w:rPr>
                <w:rFonts w:ascii="Cambria Math" w:hAnsi="Cambria Math"/>
                <w:i/>
              </w:rPr>
            </m:ctrlPr>
          </m:dPr>
          <m:e>
            <m:r>
              <w:rPr>
                <w:rFonts w:ascii="Cambria Math" w:hAnsi="Cambria Math"/>
              </w:rPr>
              <m:t>C</m:t>
            </m:r>
          </m:e>
        </m:d>
        <m:r>
          <w:rPr>
            <w:rFonts w:ascii="Cambria Math" w:hAnsi="Cambria Math"/>
          </w:rPr>
          <m:t>+δ</m:t>
        </m:r>
      </m:oMath>
      <w:r>
        <w:t xml:space="preserve">, where </w:t>
      </w:r>
      <m:oMath>
        <m:r>
          <w:rPr>
            <w:rFonts w:ascii="Cambria Math" w:hAnsi="Cambria Math"/>
          </w:rPr>
          <m:t>δ</m:t>
        </m:r>
      </m:oMath>
      <w:r>
        <w:t xml:space="preserve"> is some change in concentration and, </w:t>
      </w:r>
      <m:oMath>
        <m:d>
          <m:dPr>
            <m:begChr m:val="["/>
            <m:endChr m:val="]"/>
            <m:ctrlPr>
              <w:rPr>
                <w:rFonts w:ascii="Cambria Math" w:hAnsi="Cambria Math"/>
                <w:i/>
              </w:rPr>
            </m:ctrlPr>
          </m:dPr>
          <m:e>
            <m:r>
              <w:rPr>
                <w:rFonts w:ascii="Cambria Math" w:hAnsi="Cambria Math"/>
              </w:rPr>
              <m:t>A</m:t>
            </m:r>
          </m:e>
        </m:d>
        <m:r>
          <w:rPr>
            <w:rFonts w:ascii="Cambria Math" w:hAnsi="Cambria Math"/>
          </w:rPr>
          <m:t xml:space="preserve">, </m:t>
        </m:r>
        <m:d>
          <m:dPr>
            <m:begChr m:val="["/>
            <m:endChr m:val="]"/>
            <m:ctrlPr>
              <w:rPr>
                <w:rFonts w:ascii="Cambria Math" w:hAnsi="Cambria Math"/>
                <w:i/>
              </w:rPr>
            </m:ctrlPr>
          </m:dPr>
          <m:e>
            <m:r>
              <w:rPr>
                <w:rFonts w:ascii="Cambria Math" w:hAnsi="Cambria Math"/>
              </w:rPr>
              <m:t>B</m:t>
            </m:r>
          </m:e>
        </m:d>
      </m:oMath>
      <w:r>
        <w:t xml:space="preserve"> and </w:t>
      </w:r>
      <m:oMath>
        <m:r>
          <w:rPr>
            <w:rFonts w:ascii="Cambria Math" w:hAnsi="Cambria Math"/>
          </w:rPr>
          <m:t>[C]</m:t>
        </m:r>
      </m:oMath>
      <w:r>
        <w:t xml:space="preserve"> are current species concentrations. One can solve for </w:t>
      </w:r>
      <m:oMath>
        <m:r>
          <w:rPr>
            <w:rFonts w:ascii="Cambria Math" w:hAnsi="Cambria Math"/>
          </w:rPr>
          <m:t>δ</m:t>
        </m:r>
      </m:oMath>
      <w:r>
        <w:t xml:space="preserve"> using the quadratic formula. We update the species concentrations if </w:t>
      </w:r>
      <m:oMath>
        <m:r>
          <w:rPr>
            <w:rFonts w:ascii="Cambria Math" w:hAnsi="Cambria Math"/>
          </w:rPr>
          <m:t>δ</m:t>
        </m:r>
      </m:oMath>
      <w:r>
        <w:t xml:space="preserve"> is both larger than a small threshold value and as a fraction of current species concentration</w:t>
      </w:r>
      <m:oMath>
        <m:r>
          <w:rPr>
            <w:rFonts w:ascii="Cambria Math" w:hAnsi="Cambria Math"/>
          </w:rPr>
          <m:t xml:space="preserve"> δ</m:t>
        </m:r>
      </m:oMath>
      <w:r>
        <w:t xml:space="preserve"> is larger than a small tolerance value. If neither is the case, we deem the reaction to be at equilibrium. </w:t>
      </w:r>
    </w:p>
    <w:p w:rsidR="00207C9B" w:rsidRDefault="00207C9B" w:rsidP="00207C9B">
      <w:pPr>
        <w:spacing w:line="480" w:lineRule="auto"/>
        <w:ind w:firstLine="720"/>
      </w:pPr>
      <w:r>
        <w:t xml:space="preserve">This process of randomly selecting reactions and determining whether the species have achieved their equilibrium concentration continues until enough consecutive sampled reactions (roughly </w:t>
      </w:r>
      <m:oMath>
        <m:sSup>
          <m:sSupPr>
            <m:ctrlPr>
              <w:rPr>
                <w:rFonts w:ascii="Cambria Math" w:hAnsi="Cambria Math"/>
                <w:i/>
              </w:rPr>
            </m:ctrlPr>
          </m:sSupPr>
          <m:e>
            <m:r>
              <w:rPr>
                <w:rFonts w:ascii="Cambria Math" w:hAnsi="Cambria Math"/>
              </w:rPr>
              <m:t>n</m:t>
            </m:r>
          </m:e>
          <m:sup>
            <m:r>
              <w:rPr>
                <w:rFonts w:ascii="Cambria Math" w:hAnsi="Cambria Math"/>
              </w:rPr>
              <m:t>2</m:t>
            </m:r>
          </m:sup>
        </m:sSup>
      </m:oMath>
      <w:r>
        <w:t xml:space="preserve"> for </w:t>
      </w:r>
      <m:oMath>
        <m:r>
          <w:rPr>
            <w:rFonts w:ascii="Cambria Math" w:hAnsi="Cambria Math"/>
          </w:rPr>
          <m:t>n</m:t>
        </m:r>
      </m:oMath>
      <w:r>
        <w:t xml:space="preserve"> reactions) are within the tolerance </w:t>
      </w:r>
      <w:r>
        <w:lastRenderedPageBreak/>
        <w:t xml:space="preserve">value of the equilibrium point. This ensures that all reactions are equilibrated with high probability. At this point the algorithm terminates. </w:t>
      </w:r>
    </w:p>
    <w:p w:rsidR="009E3C22" w:rsidRPr="00207C9B" w:rsidRDefault="009E3C22" w:rsidP="00207C9B">
      <w:bookmarkStart w:id="1" w:name="_GoBack"/>
      <w:bookmarkEnd w:id="1"/>
    </w:p>
    <w:sectPr w:rsidR="009E3C22" w:rsidRPr="00207C9B" w:rsidSect="007204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5DE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6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C9B"/>
    <w:rsid w:val="00207C9B"/>
    <w:rsid w:val="00720483"/>
    <w:rsid w:val="00780DFB"/>
    <w:rsid w:val="009E3C22"/>
    <w:rsid w:val="00AF0D00"/>
    <w:rsid w:val="00C1226F"/>
    <w:rsid w:val="00C1268E"/>
    <w:rsid w:val="00C20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EBA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7C9B"/>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207C9B"/>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07C9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7C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7C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7C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7C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7C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7C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C9B"/>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207C9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07C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7C9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07C9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07C9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07C9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07C9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07C9B"/>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unhideWhenUsed/>
    <w:rsid w:val="00207C9B"/>
  </w:style>
  <w:style w:type="character" w:customStyle="1" w:styleId="CommentTextChar">
    <w:name w:val="Comment Text Char"/>
    <w:basedOn w:val="DefaultParagraphFont"/>
    <w:link w:val="CommentText"/>
    <w:uiPriority w:val="99"/>
    <w:rsid w:val="00207C9B"/>
  </w:style>
  <w:style w:type="table" w:styleId="TableGrid">
    <w:name w:val="Table Grid"/>
    <w:basedOn w:val="TableNormal"/>
    <w:uiPriority w:val="59"/>
    <w:rsid w:val="00207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7C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C9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7C9B"/>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207C9B"/>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07C9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7C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7C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7C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7C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7C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7C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C9B"/>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207C9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07C9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07C9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07C9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07C9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07C9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07C9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07C9B"/>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unhideWhenUsed/>
    <w:rsid w:val="00207C9B"/>
  </w:style>
  <w:style w:type="character" w:customStyle="1" w:styleId="CommentTextChar">
    <w:name w:val="Comment Text Char"/>
    <w:basedOn w:val="DefaultParagraphFont"/>
    <w:link w:val="CommentText"/>
    <w:uiPriority w:val="99"/>
    <w:rsid w:val="00207C9B"/>
  </w:style>
  <w:style w:type="table" w:styleId="TableGrid">
    <w:name w:val="Table Grid"/>
    <w:basedOn w:val="TableNormal"/>
    <w:uiPriority w:val="59"/>
    <w:rsid w:val="00207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7C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C9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1512</Characters>
  <Application>Microsoft Macintosh Word</Application>
  <DocSecurity>0</DocSecurity>
  <Lines>12</Lines>
  <Paragraphs>3</Paragraphs>
  <ScaleCrop>false</ScaleCrop>
  <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Zenk</dc:creator>
  <cp:keywords/>
  <dc:description/>
  <cp:lastModifiedBy>John Zenk</cp:lastModifiedBy>
  <cp:revision>1</cp:revision>
  <dcterms:created xsi:type="dcterms:W3CDTF">2014-10-02T17:53:00Z</dcterms:created>
  <dcterms:modified xsi:type="dcterms:W3CDTF">2014-10-02T17:53:00Z</dcterms:modified>
</cp:coreProperties>
</file>