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7BB" w:rsidRDefault="000D1D42" w:rsidP="00665117">
      <w:pPr>
        <w:widowControl/>
        <w:spacing w:afterLines="150" w:after="468"/>
        <w:jc w:val="center"/>
        <w:rPr>
          <w:rFonts w:ascii="Times New Roman" w:hAnsi="Times New Roman" w:cs="Times New Roman"/>
          <w:b/>
        </w:rPr>
      </w:pPr>
      <w:r w:rsidRPr="000D1D42">
        <w:rPr>
          <w:rFonts w:ascii="Shaker2Lancet-Bold" w:hAnsi="Shaker2Lancet-Bold"/>
          <w:b/>
          <w:bCs/>
          <w:color w:val="242021"/>
          <w:sz w:val="36"/>
          <w:szCs w:val="36"/>
        </w:rPr>
        <w:t>Supplementary</w:t>
      </w:r>
      <w:r w:rsidR="004B0BF2">
        <w:rPr>
          <w:rFonts w:ascii="Shaker2Lancet-Bold" w:hAnsi="Shaker2Lancet-Bold"/>
          <w:b/>
          <w:bCs/>
          <w:color w:val="242021"/>
          <w:sz w:val="36"/>
          <w:szCs w:val="36"/>
        </w:rPr>
        <w:t xml:space="preserve"> Information</w:t>
      </w:r>
    </w:p>
    <w:p w:rsidR="000D1D42" w:rsidRDefault="004B0BF2" w:rsidP="00665117">
      <w:pPr>
        <w:widowControl/>
        <w:adjustRightInd w:val="0"/>
        <w:snapToGrid w:val="0"/>
        <w:spacing w:afterLines="50" w:after="156"/>
        <w:jc w:val="left"/>
        <w:rPr>
          <w:rFonts w:ascii="Times New Roman" w:hAnsi="Times New Roman" w:cs="Times New Roman"/>
          <w:b/>
          <w:sz w:val="28"/>
        </w:rPr>
      </w:pPr>
      <w:r w:rsidRPr="004B0BF2">
        <w:rPr>
          <w:rFonts w:ascii="Times New Roman" w:hAnsi="Times New Roman" w:cs="Times New Roman"/>
          <w:b/>
          <w:sz w:val="28"/>
        </w:rPr>
        <w:t>Section 1:</w:t>
      </w:r>
      <w:r>
        <w:rPr>
          <w:rFonts w:ascii="Times New Roman" w:hAnsi="Times New Roman" w:cs="Times New Roman"/>
          <w:b/>
          <w:sz w:val="28"/>
        </w:rPr>
        <w:t xml:space="preserve"> C</w:t>
      </w:r>
      <w:r w:rsidR="000D1D42" w:rsidRPr="000D1D42">
        <w:rPr>
          <w:rFonts w:ascii="Times New Roman" w:hAnsi="Times New Roman" w:cs="Times New Roman"/>
          <w:b/>
          <w:sz w:val="28"/>
        </w:rPr>
        <w:t>ause of death data standardisation, processing and estimation</w:t>
      </w:r>
    </w:p>
    <w:p w:rsidR="004B0BF2" w:rsidRPr="000D1D42" w:rsidRDefault="000D1D42" w:rsidP="004B0BF2">
      <w:pPr>
        <w:widowControl/>
        <w:jc w:val="center"/>
        <w:rPr>
          <w:rFonts w:ascii="Times New Roman" w:hAnsi="Times New Roman" w:cs="Times New Roman"/>
          <w:b/>
          <w:sz w:val="28"/>
        </w:rPr>
      </w:pPr>
      <w:r>
        <w:rPr>
          <w:rFonts w:ascii="Times New Roman" w:hAnsi="Times New Roman" w:cs="Times New Roman"/>
          <w:b/>
          <w:noProof/>
          <w:sz w:val="28"/>
        </w:rPr>
        <w:drawing>
          <wp:inline distT="0" distB="0" distL="0" distR="0">
            <wp:extent cx="4408098" cy="56425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数据处理流程.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61369" cy="5710774"/>
                    </a:xfrm>
                    <a:prstGeom prst="rect">
                      <a:avLst/>
                    </a:prstGeom>
                  </pic:spPr>
                </pic:pic>
              </a:graphicData>
            </a:graphic>
          </wp:inline>
        </w:drawing>
      </w:r>
    </w:p>
    <w:p w:rsidR="004F57BB" w:rsidRPr="00665117" w:rsidRDefault="004F57BB" w:rsidP="004F57BB">
      <w:pPr>
        <w:widowControl/>
        <w:jc w:val="left"/>
        <w:rPr>
          <w:rFonts w:ascii="Times New Roman" w:hAnsi="Times New Roman" w:cs="Times New Roman"/>
          <w:b/>
          <w:sz w:val="28"/>
        </w:rPr>
      </w:pPr>
      <w:r w:rsidRPr="00665117">
        <w:rPr>
          <w:rFonts w:ascii="Times New Roman" w:hAnsi="Times New Roman" w:cs="Times New Roman"/>
          <w:b/>
          <w:sz w:val="28"/>
        </w:rPr>
        <w:t>Step 1. Standardise input data</w:t>
      </w:r>
    </w:p>
    <w:p w:rsidR="003605E9" w:rsidRPr="004F57BB" w:rsidRDefault="004F57BB" w:rsidP="003605E9">
      <w:pPr>
        <w:widowControl/>
        <w:rPr>
          <w:rFonts w:ascii="Times New Roman" w:hAnsi="Times New Roman" w:cs="Times New Roman"/>
        </w:rPr>
      </w:pPr>
      <w:r w:rsidRPr="004F57BB">
        <w:rPr>
          <w:rFonts w:ascii="Times New Roman" w:hAnsi="Times New Roman" w:cs="Times New Roman" w:hint="eastAsia"/>
        </w:rPr>
        <w:t>The methods of cause</w:t>
      </w:r>
      <w:r w:rsidR="003605E9">
        <w:rPr>
          <w:rFonts w:ascii="Times New Roman" w:hAnsi="Times New Roman" w:cs="Times New Roman" w:hint="eastAsia"/>
        </w:rPr>
        <w:t>-</w:t>
      </w:r>
      <w:r w:rsidRPr="004F57BB">
        <w:rPr>
          <w:rFonts w:ascii="Times New Roman" w:hAnsi="Times New Roman" w:cs="Times New Roman" w:hint="eastAsia"/>
        </w:rPr>
        <w:t>of</w:t>
      </w:r>
      <w:r w:rsidR="003605E9">
        <w:rPr>
          <w:rFonts w:ascii="Times New Roman" w:hAnsi="Times New Roman" w:cs="Times New Roman" w:hint="eastAsia"/>
        </w:rPr>
        <w:t>-</w:t>
      </w:r>
      <w:r w:rsidRPr="004F57BB">
        <w:rPr>
          <w:rFonts w:ascii="Times New Roman" w:hAnsi="Times New Roman" w:cs="Times New Roman" w:hint="eastAsia"/>
        </w:rPr>
        <w:t xml:space="preserve">death assignment and data collection </w:t>
      </w:r>
      <w:r w:rsidR="003605E9">
        <w:rPr>
          <w:rFonts w:ascii="Times New Roman" w:hAnsi="Times New Roman" w:cs="Times New Roman" w:hint="eastAsia"/>
        </w:rPr>
        <w:t xml:space="preserve">are reviewed to determine which </w:t>
      </w:r>
      <w:r w:rsidRPr="004F57BB">
        <w:rPr>
          <w:rFonts w:ascii="Times New Roman" w:hAnsi="Times New Roman" w:cs="Times New Roman"/>
        </w:rPr>
        <w:t>source type to assign; for example, we distinguish sibling history data from surveys with a verb</w:t>
      </w:r>
      <w:r w:rsidR="003605E9">
        <w:rPr>
          <w:rFonts w:ascii="Times New Roman" w:hAnsi="Times New Roman" w:cs="Times New Roman"/>
        </w:rPr>
        <w:t>al autopsy</w:t>
      </w:r>
      <w:r w:rsidR="003605E9">
        <w:rPr>
          <w:rFonts w:ascii="Times New Roman" w:hAnsi="Times New Roman" w:cs="Times New Roman" w:hint="eastAsia"/>
        </w:rPr>
        <w:t xml:space="preserve"> </w:t>
      </w:r>
      <w:r w:rsidRPr="004F57BB">
        <w:rPr>
          <w:rFonts w:ascii="Times New Roman" w:hAnsi="Times New Roman" w:cs="Times New Roman"/>
        </w:rPr>
        <w:t>module. Only data at the most detailed level of the Global Burden of Disea</w:t>
      </w:r>
      <w:r w:rsidR="003605E9">
        <w:rPr>
          <w:rFonts w:ascii="Times New Roman" w:hAnsi="Times New Roman" w:cs="Times New Roman"/>
        </w:rPr>
        <w:t>se location hierarchy are used.</w:t>
      </w:r>
      <w:r w:rsidR="003605E9">
        <w:rPr>
          <w:rFonts w:ascii="Times New Roman" w:hAnsi="Times New Roman" w:cs="Times New Roman" w:hint="eastAsia"/>
        </w:rPr>
        <w:t xml:space="preserve"> </w:t>
      </w:r>
      <w:r w:rsidRPr="004F57BB">
        <w:rPr>
          <w:rFonts w:ascii="Times New Roman" w:hAnsi="Times New Roman" w:cs="Times New Roman"/>
        </w:rPr>
        <w:t>Documentation from the source is reviewed to determine if the popu</w:t>
      </w:r>
      <w:r w:rsidR="003605E9">
        <w:rPr>
          <w:rFonts w:ascii="Times New Roman" w:hAnsi="Times New Roman" w:cs="Times New Roman"/>
        </w:rPr>
        <w:t>lation is representative of the</w:t>
      </w:r>
      <w:r w:rsidR="003605E9">
        <w:rPr>
          <w:rFonts w:ascii="Times New Roman" w:hAnsi="Times New Roman" w:cs="Times New Roman" w:hint="eastAsia"/>
        </w:rPr>
        <w:t xml:space="preserve"> </w:t>
      </w:r>
      <w:r w:rsidRPr="004F57BB">
        <w:rPr>
          <w:rFonts w:ascii="Times New Roman" w:hAnsi="Times New Roman" w:cs="Times New Roman"/>
        </w:rPr>
        <w:t>location or only a subset of the population in that location</w:t>
      </w:r>
      <w:r w:rsidR="003605E9">
        <w:rPr>
          <w:rFonts w:ascii="Times New Roman" w:hAnsi="Times New Roman" w:cs="Times New Roman"/>
        </w:rPr>
        <w:t xml:space="preserve"> which </w:t>
      </w:r>
      <w:r w:rsidRPr="004F57BB">
        <w:rPr>
          <w:rFonts w:ascii="Times New Roman" w:hAnsi="Times New Roman" w:cs="Times New Roman" w:hint="eastAsia"/>
        </w:rPr>
        <w:t>is used by</w:t>
      </w:r>
      <w:r w:rsidR="003605E9">
        <w:rPr>
          <w:rFonts w:ascii="Times New Roman" w:hAnsi="Times New Roman" w:cs="Times New Roman" w:hint="eastAsia"/>
        </w:rPr>
        <w:t xml:space="preserve"> CODEm to increase the variance </w:t>
      </w:r>
      <w:r w:rsidRPr="004F57BB">
        <w:rPr>
          <w:rFonts w:ascii="Times New Roman" w:hAnsi="Times New Roman" w:cs="Times New Roman"/>
        </w:rPr>
        <w:t>associated with such data points.</w:t>
      </w:r>
    </w:p>
    <w:p w:rsidR="004F57BB" w:rsidRPr="004F57BB" w:rsidRDefault="003605E9" w:rsidP="003605E9">
      <w:pPr>
        <w:widowControl/>
        <w:rPr>
          <w:rFonts w:ascii="Times New Roman" w:hAnsi="Times New Roman" w:cs="Times New Roman"/>
        </w:rPr>
      </w:pPr>
      <w:r>
        <w:rPr>
          <w:rFonts w:ascii="Times New Roman" w:hAnsi="Times New Roman" w:cs="Times New Roman"/>
        </w:rPr>
        <w:t>D</w:t>
      </w:r>
      <w:r w:rsidR="004F57BB" w:rsidRPr="004F57BB">
        <w:rPr>
          <w:rFonts w:ascii="Times New Roman" w:hAnsi="Times New Roman" w:cs="Times New Roman"/>
        </w:rPr>
        <w:t>iagnostics are reviewed at this stage to avoid sending cleani</w:t>
      </w:r>
      <w:r>
        <w:rPr>
          <w:rFonts w:ascii="Times New Roman" w:hAnsi="Times New Roman" w:cs="Times New Roman"/>
        </w:rPr>
        <w:t>ng errors downstream. We review</w:t>
      </w:r>
      <w:r>
        <w:rPr>
          <w:rFonts w:ascii="Times New Roman" w:hAnsi="Times New Roman" w:cs="Times New Roman" w:hint="eastAsia"/>
        </w:rPr>
        <w:t xml:space="preserve"> </w:t>
      </w:r>
      <w:r w:rsidR="004F57BB" w:rsidRPr="004F57BB">
        <w:rPr>
          <w:rFonts w:ascii="Times New Roman" w:hAnsi="Times New Roman" w:cs="Times New Roman" w:hint="eastAsia"/>
        </w:rPr>
        <w:t>cause</w:t>
      </w:r>
      <w:r>
        <w:rPr>
          <w:rFonts w:ascii="Times New Roman" w:hAnsi="Times New Roman" w:cs="Times New Roman" w:hint="eastAsia"/>
        </w:rPr>
        <w:t>-</w:t>
      </w:r>
      <w:r w:rsidR="004F57BB" w:rsidRPr="004F57BB">
        <w:rPr>
          <w:rFonts w:ascii="Times New Roman" w:hAnsi="Times New Roman" w:cs="Times New Roman" w:hint="eastAsia"/>
        </w:rPr>
        <w:t>specific deaths for each demographic group to ensure the data are</w:t>
      </w:r>
      <w:r>
        <w:rPr>
          <w:rFonts w:ascii="Times New Roman" w:hAnsi="Times New Roman" w:cs="Times New Roman" w:hint="eastAsia"/>
        </w:rPr>
        <w:t xml:space="preserve"> reasonable. For example, it is </w:t>
      </w:r>
      <w:r w:rsidR="004F57BB" w:rsidRPr="004F57BB">
        <w:rPr>
          <w:rFonts w:ascii="Times New Roman" w:hAnsi="Times New Roman" w:cs="Times New Roman"/>
        </w:rPr>
        <w:t>unlikely that male breast cancer deaths are higher than female breast</w:t>
      </w:r>
      <w:r>
        <w:rPr>
          <w:rFonts w:ascii="Times New Roman" w:hAnsi="Times New Roman" w:cs="Times New Roman"/>
        </w:rPr>
        <w:t xml:space="preserve"> cancer or deaths from neonatal</w:t>
      </w:r>
      <w:r>
        <w:rPr>
          <w:rFonts w:ascii="Times New Roman" w:hAnsi="Times New Roman" w:cs="Times New Roman" w:hint="eastAsia"/>
        </w:rPr>
        <w:t xml:space="preserve"> </w:t>
      </w:r>
      <w:r w:rsidR="004F57BB" w:rsidRPr="004F57BB">
        <w:rPr>
          <w:rFonts w:ascii="Times New Roman" w:hAnsi="Times New Roman" w:cs="Times New Roman" w:hint="eastAsia"/>
        </w:rPr>
        <w:t>causes occur in age groups over one year. All deaths totals are compared with the sum of cause</w:t>
      </w:r>
      <w:r>
        <w:rPr>
          <w:rFonts w:ascii="Times New Roman" w:hAnsi="Times New Roman" w:cs="Times New Roman" w:hint="eastAsia"/>
        </w:rPr>
        <w:t xml:space="preserve">-specific </w:t>
      </w:r>
      <w:r w:rsidR="004F57BB" w:rsidRPr="004F57BB">
        <w:rPr>
          <w:rFonts w:ascii="Times New Roman" w:hAnsi="Times New Roman" w:cs="Times New Roman"/>
        </w:rPr>
        <w:t>deaths to ensure the observed deaths are accounted for and sample size is complete.</w:t>
      </w:r>
    </w:p>
    <w:p w:rsidR="004F57BB" w:rsidRDefault="004F57BB" w:rsidP="004F57BB">
      <w:pPr>
        <w:widowControl/>
        <w:jc w:val="left"/>
        <w:rPr>
          <w:rFonts w:ascii="Times New Roman" w:hAnsi="Times New Roman" w:cs="Times New Roman"/>
          <w:b/>
        </w:rPr>
      </w:pPr>
    </w:p>
    <w:p w:rsidR="00665117" w:rsidRDefault="00665117" w:rsidP="004F57BB">
      <w:pPr>
        <w:widowControl/>
        <w:jc w:val="left"/>
        <w:rPr>
          <w:rFonts w:ascii="Times New Roman" w:hAnsi="Times New Roman" w:cs="Times New Roman"/>
          <w:b/>
          <w:sz w:val="28"/>
        </w:rPr>
      </w:pPr>
    </w:p>
    <w:p w:rsidR="004F57BB" w:rsidRPr="00665117" w:rsidRDefault="00CF5E2C" w:rsidP="004F57BB">
      <w:pPr>
        <w:widowControl/>
        <w:jc w:val="left"/>
        <w:rPr>
          <w:rFonts w:ascii="Times New Roman" w:hAnsi="Times New Roman" w:cs="Times New Roman"/>
          <w:b/>
          <w:sz w:val="28"/>
        </w:rPr>
      </w:pPr>
      <w:r w:rsidRPr="00665117">
        <w:rPr>
          <w:rFonts w:ascii="Times New Roman" w:hAnsi="Times New Roman" w:cs="Times New Roman"/>
          <w:b/>
          <w:sz w:val="28"/>
        </w:rPr>
        <w:lastRenderedPageBreak/>
        <w:t xml:space="preserve">Step 2. </w:t>
      </w:r>
      <w:r w:rsidR="004F57BB" w:rsidRPr="00665117">
        <w:rPr>
          <w:rFonts w:ascii="Times New Roman" w:hAnsi="Times New Roman" w:cs="Times New Roman"/>
          <w:b/>
          <w:sz w:val="28"/>
        </w:rPr>
        <w:t>Cause of death mapping and disaggregation</w:t>
      </w:r>
    </w:p>
    <w:p w:rsidR="004F57BB" w:rsidRPr="004F57BB" w:rsidRDefault="004F57BB" w:rsidP="004F57BB">
      <w:pPr>
        <w:widowControl/>
        <w:rPr>
          <w:rFonts w:ascii="Times New Roman" w:hAnsi="Times New Roman" w:cs="Times New Roman"/>
        </w:rPr>
      </w:pPr>
      <w:r w:rsidRPr="004F57BB">
        <w:rPr>
          <w:rFonts w:ascii="Times New Roman" w:hAnsi="Times New Roman" w:cs="Times New Roman"/>
        </w:rPr>
        <w:t>The two primary sources of data for China are surveillance data from</w:t>
      </w:r>
      <w:r>
        <w:rPr>
          <w:rFonts w:ascii="Times New Roman" w:hAnsi="Times New Roman" w:cs="Times New Roman"/>
        </w:rPr>
        <w:t xml:space="preserve"> the China Disease Surveillance</w:t>
      </w:r>
      <w:r>
        <w:rPr>
          <w:rFonts w:ascii="Times New Roman" w:hAnsi="Times New Roman" w:cs="Times New Roman" w:hint="eastAsia"/>
        </w:rPr>
        <w:t xml:space="preserve"> </w:t>
      </w:r>
      <w:r w:rsidRPr="004F57BB">
        <w:rPr>
          <w:rFonts w:ascii="Times New Roman" w:hAnsi="Times New Roman" w:cs="Times New Roman"/>
        </w:rPr>
        <w:t>Points (DSP) system and vital registration data collected by the Chinese</w:t>
      </w:r>
      <w:r>
        <w:rPr>
          <w:rFonts w:ascii="Times New Roman" w:hAnsi="Times New Roman" w:cs="Times New Roman"/>
        </w:rPr>
        <w:t xml:space="preserve"> Center for Disease Control and</w:t>
      </w:r>
      <w:r>
        <w:rPr>
          <w:rFonts w:ascii="Times New Roman" w:hAnsi="Times New Roman" w:cs="Times New Roman" w:hint="eastAsia"/>
        </w:rPr>
        <w:t xml:space="preserve"> </w:t>
      </w:r>
      <w:r w:rsidRPr="004F57BB">
        <w:rPr>
          <w:rFonts w:ascii="Times New Roman" w:hAnsi="Times New Roman" w:cs="Times New Roman"/>
        </w:rPr>
        <w:t xml:space="preserve">Prevention (CDC). In the China DSP data, deaths were reported across </w:t>
      </w:r>
      <w:r>
        <w:rPr>
          <w:rFonts w:ascii="Times New Roman" w:hAnsi="Times New Roman" w:cs="Times New Roman"/>
        </w:rPr>
        <w:t>145 disease surveillance points</w:t>
      </w:r>
      <w:r>
        <w:rPr>
          <w:rFonts w:ascii="Times New Roman" w:hAnsi="Times New Roman" w:cs="Times New Roman" w:hint="eastAsia"/>
        </w:rPr>
        <w:t xml:space="preserve"> </w:t>
      </w:r>
      <w:r w:rsidRPr="004F57BB">
        <w:rPr>
          <w:rFonts w:ascii="Times New Roman" w:hAnsi="Times New Roman" w:cs="Times New Roman"/>
        </w:rPr>
        <w:t>used from 1991 to 2003, 161 points used from 2004 to 2007, and 605 d</w:t>
      </w:r>
      <w:r>
        <w:rPr>
          <w:rFonts w:ascii="Times New Roman" w:hAnsi="Times New Roman" w:cs="Times New Roman"/>
        </w:rPr>
        <w:t>isease surveillance points from</w:t>
      </w:r>
      <w:r>
        <w:rPr>
          <w:rFonts w:ascii="Times New Roman" w:hAnsi="Times New Roman" w:cs="Times New Roman" w:hint="eastAsia"/>
        </w:rPr>
        <w:t xml:space="preserve"> </w:t>
      </w:r>
      <w:r w:rsidRPr="004F57BB">
        <w:rPr>
          <w:rFonts w:ascii="Times New Roman" w:hAnsi="Times New Roman" w:cs="Times New Roman"/>
        </w:rPr>
        <w:t>2008 to 2015. While China DSP with ICD10 coding is considered sample vital</w:t>
      </w:r>
      <w:r>
        <w:rPr>
          <w:rFonts w:ascii="Times New Roman" w:hAnsi="Times New Roman" w:cs="Times New Roman"/>
        </w:rPr>
        <w:t xml:space="preserve"> registration data, it provides</w:t>
      </w:r>
      <w:r>
        <w:rPr>
          <w:rFonts w:ascii="Times New Roman" w:hAnsi="Times New Roman" w:cs="Times New Roman" w:hint="eastAsia"/>
        </w:rPr>
        <w:t xml:space="preserve"> </w:t>
      </w:r>
      <w:r w:rsidRPr="004F57BB">
        <w:rPr>
          <w:rFonts w:ascii="Times New Roman" w:hAnsi="Times New Roman" w:cs="Times New Roman"/>
        </w:rPr>
        <w:t>national coverage and cause detail. Thus it receives similar processing</w:t>
      </w:r>
      <w:r>
        <w:rPr>
          <w:rFonts w:ascii="Times New Roman" w:hAnsi="Times New Roman" w:cs="Times New Roman"/>
        </w:rPr>
        <w:t xml:space="preserve"> and treatment to the China CDC</w:t>
      </w:r>
      <w:r>
        <w:rPr>
          <w:rFonts w:ascii="Times New Roman" w:hAnsi="Times New Roman" w:cs="Times New Roman" w:hint="eastAsia"/>
        </w:rPr>
        <w:t xml:space="preserve"> </w:t>
      </w:r>
      <w:r w:rsidRPr="004F57BB">
        <w:rPr>
          <w:rFonts w:ascii="Times New Roman" w:hAnsi="Times New Roman" w:cs="Times New Roman"/>
        </w:rPr>
        <w:t>vital registration from 2008 to 2015. From 2008 to 2015, all of the deaths and cause of death informat</w:t>
      </w:r>
      <w:r>
        <w:rPr>
          <w:rFonts w:ascii="Times New Roman" w:hAnsi="Times New Roman" w:cs="Times New Roman"/>
        </w:rPr>
        <w:t>ion</w:t>
      </w:r>
      <w:r>
        <w:rPr>
          <w:rFonts w:ascii="Times New Roman" w:hAnsi="Times New Roman" w:cs="Times New Roman" w:hint="eastAsia"/>
        </w:rPr>
        <w:t xml:space="preserve"> </w:t>
      </w:r>
      <w:r w:rsidRPr="004F57BB">
        <w:rPr>
          <w:rFonts w:ascii="Times New Roman" w:hAnsi="Times New Roman" w:cs="Times New Roman"/>
        </w:rPr>
        <w:t xml:space="preserve">from the Disease Surveillance Points system and other system points </w:t>
      </w:r>
      <w:r>
        <w:rPr>
          <w:rFonts w:ascii="Times New Roman" w:hAnsi="Times New Roman" w:cs="Times New Roman"/>
        </w:rPr>
        <w:t>throughout China were collected</w:t>
      </w:r>
      <w:r>
        <w:rPr>
          <w:rFonts w:ascii="Times New Roman" w:hAnsi="Times New Roman" w:cs="Times New Roman" w:hint="eastAsia"/>
        </w:rPr>
        <w:t xml:space="preserve"> </w:t>
      </w:r>
      <w:r w:rsidRPr="004F57BB">
        <w:rPr>
          <w:rFonts w:ascii="Times New Roman" w:hAnsi="Times New Roman" w:cs="Times New Roman"/>
        </w:rPr>
        <w:t>and reported via the Mortality Registration and Reporting System, an</w:t>
      </w:r>
      <w:r>
        <w:rPr>
          <w:rFonts w:ascii="Times New Roman" w:hAnsi="Times New Roman" w:cs="Times New Roman"/>
        </w:rPr>
        <w:t xml:space="preserve"> online reporting system of the</w:t>
      </w:r>
      <w:r>
        <w:rPr>
          <w:rFonts w:ascii="Times New Roman" w:hAnsi="Times New Roman" w:cs="Times New Roman" w:hint="eastAsia"/>
        </w:rPr>
        <w:t xml:space="preserve"> </w:t>
      </w:r>
      <w:r w:rsidRPr="004F57BB">
        <w:rPr>
          <w:rFonts w:ascii="Times New Roman" w:hAnsi="Times New Roman" w:cs="Times New Roman"/>
        </w:rPr>
        <w:t xml:space="preserve">Chinese CDC. </w:t>
      </w:r>
    </w:p>
    <w:p w:rsidR="004F57BB" w:rsidRPr="004F57BB" w:rsidRDefault="004F57BB" w:rsidP="004F57BB">
      <w:pPr>
        <w:widowControl/>
        <w:jc w:val="left"/>
        <w:rPr>
          <w:rFonts w:ascii="Times New Roman" w:hAnsi="Times New Roman" w:cs="Times New Roman"/>
          <w:b/>
        </w:rPr>
      </w:pPr>
      <w:r>
        <w:rPr>
          <w:rFonts w:ascii="Times New Roman" w:hAnsi="Times New Roman" w:cs="Times New Roman"/>
          <w:b/>
        </w:rPr>
        <w:t>T</w:t>
      </w:r>
      <w:r w:rsidRPr="004F57BB">
        <w:rPr>
          <w:rFonts w:ascii="Times New Roman" w:hAnsi="Times New Roman" w:cs="Times New Roman"/>
          <w:b/>
        </w:rPr>
        <w:t>he data used to estimate causes of death in China for GBD 201</w:t>
      </w:r>
      <w:r>
        <w:rPr>
          <w:rFonts w:ascii="Times New Roman" w:hAnsi="Times New Roman" w:cs="Times New Roman"/>
          <w:b/>
        </w:rPr>
        <w:t>6 fell into</w:t>
      </w:r>
      <w:r>
        <w:rPr>
          <w:rFonts w:ascii="Times New Roman" w:hAnsi="Times New Roman" w:cs="Times New Roman" w:hint="eastAsia"/>
          <w:b/>
        </w:rPr>
        <w:t xml:space="preserve"> </w:t>
      </w:r>
      <w:r w:rsidRPr="004F57BB">
        <w:rPr>
          <w:rFonts w:ascii="Times New Roman" w:hAnsi="Times New Roman" w:cs="Times New Roman"/>
          <w:b/>
        </w:rPr>
        <w:t>3 separate ICD coding schemes.</w:t>
      </w:r>
    </w:p>
    <w:p w:rsidR="004F57BB" w:rsidRPr="004F57BB" w:rsidRDefault="004F57BB" w:rsidP="004F57BB">
      <w:pPr>
        <w:pStyle w:val="a6"/>
        <w:widowControl/>
        <w:numPr>
          <w:ilvl w:val="0"/>
          <w:numId w:val="2"/>
        </w:numPr>
        <w:ind w:firstLineChars="0"/>
        <w:rPr>
          <w:rFonts w:ascii="Times New Roman" w:hAnsi="Times New Roman" w:cs="Times New Roman"/>
        </w:rPr>
      </w:pPr>
      <w:r w:rsidRPr="004F57BB">
        <w:rPr>
          <w:rFonts w:ascii="Times New Roman" w:hAnsi="Times New Roman" w:cs="Times New Roman"/>
        </w:rPr>
        <w:t>The first data source, China Center for Disease Control and Prevention (CDC) Cause of Death</w:t>
      </w:r>
      <w:r>
        <w:rPr>
          <w:rFonts w:ascii="Times New Roman" w:hAnsi="Times New Roman" w:cs="Times New Roman"/>
        </w:rPr>
        <w:t xml:space="preserve"> </w:t>
      </w:r>
      <w:r w:rsidRPr="004F57BB">
        <w:rPr>
          <w:rFonts w:ascii="Times New Roman" w:hAnsi="Times New Roman" w:cs="Times New Roman" w:hint="eastAsia"/>
        </w:rPr>
        <w:t>Reporting System (2008</w:t>
      </w:r>
      <w:r w:rsidRPr="004F57BB">
        <w:rPr>
          <w:rFonts w:ascii="Times New Roman" w:hAnsi="Times New Roman" w:cs="Times New Roman" w:hint="eastAsia"/>
        </w:rPr>
        <w:t>‐</w:t>
      </w:r>
      <w:r w:rsidRPr="004F57BB">
        <w:rPr>
          <w:rFonts w:ascii="Times New Roman" w:hAnsi="Times New Roman" w:cs="Times New Roman" w:hint="eastAsia"/>
        </w:rPr>
        <w:t>2012) had ICD10 detail codes, which we mapped to the GBD cause list directly,</w:t>
      </w:r>
      <w:r>
        <w:rPr>
          <w:rFonts w:ascii="Times New Roman" w:hAnsi="Times New Roman" w:cs="Times New Roman"/>
        </w:rPr>
        <w:t xml:space="preserve"> </w:t>
      </w:r>
      <w:r w:rsidRPr="004F57BB">
        <w:rPr>
          <w:rFonts w:ascii="Times New Roman" w:hAnsi="Times New Roman" w:cs="Times New Roman"/>
        </w:rPr>
        <w:t>based on our ICD 10 map.</w:t>
      </w:r>
    </w:p>
    <w:p w:rsidR="004F57BB" w:rsidRPr="004F57BB" w:rsidRDefault="004F57BB" w:rsidP="004F57BB">
      <w:pPr>
        <w:pStyle w:val="a6"/>
        <w:widowControl/>
        <w:numPr>
          <w:ilvl w:val="0"/>
          <w:numId w:val="2"/>
        </w:numPr>
        <w:ind w:firstLineChars="0"/>
        <w:rPr>
          <w:rFonts w:ascii="Times New Roman" w:hAnsi="Times New Roman" w:cs="Times New Roman"/>
        </w:rPr>
      </w:pPr>
      <w:r w:rsidRPr="004F57BB">
        <w:rPr>
          <w:rFonts w:ascii="Times New Roman" w:hAnsi="Times New Roman" w:cs="Times New Roman"/>
        </w:rPr>
        <w:t>The second source, Disease Surveillance Points (after 2004) had ICD 10 aggregated codes only. This</w:t>
      </w:r>
      <w:r>
        <w:rPr>
          <w:rFonts w:ascii="Times New Roman" w:hAnsi="Times New Roman" w:cs="Times New Roman"/>
        </w:rPr>
        <w:t xml:space="preserve"> </w:t>
      </w:r>
      <w:r w:rsidRPr="004F57BB">
        <w:rPr>
          <w:rFonts w:ascii="Times New Roman" w:hAnsi="Times New Roman" w:cs="Times New Roman"/>
        </w:rPr>
        <w:t>meant each DSP code was defined based on an aggregated ICD10 code, aggregated from a combination</w:t>
      </w:r>
      <w:r>
        <w:rPr>
          <w:rFonts w:ascii="Times New Roman" w:hAnsi="Times New Roman" w:cs="Times New Roman"/>
        </w:rPr>
        <w:t xml:space="preserve"> </w:t>
      </w:r>
      <w:r w:rsidRPr="004F57BB">
        <w:rPr>
          <w:rFonts w:ascii="Times New Roman" w:hAnsi="Times New Roman" w:cs="Times New Roman"/>
        </w:rPr>
        <w:t>of ICD 10 detailed codes. Due to the fact that we had detailed cause codes from China CDC Cause of</w:t>
      </w:r>
      <w:r>
        <w:rPr>
          <w:rFonts w:ascii="Times New Roman" w:hAnsi="Times New Roman" w:cs="Times New Roman"/>
        </w:rPr>
        <w:t xml:space="preserve"> </w:t>
      </w:r>
      <w:r w:rsidRPr="004F57BB">
        <w:rPr>
          <w:rFonts w:ascii="Times New Roman" w:hAnsi="Times New Roman" w:cs="Times New Roman"/>
        </w:rPr>
        <w:t>Death Reporting System data, we were able to disaggregate the aggregated ICD 10 codes in the DSP</w:t>
      </w:r>
      <w:r>
        <w:rPr>
          <w:rFonts w:ascii="Times New Roman" w:hAnsi="Times New Roman" w:cs="Times New Roman"/>
        </w:rPr>
        <w:t xml:space="preserve"> </w:t>
      </w:r>
      <w:r w:rsidRPr="004F57BB">
        <w:rPr>
          <w:rFonts w:ascii="Times New Roman" w:hAnsi="Times New Roman" w:cs="Times New Roman"/>
        </w:rPr>
        <w:t>data based on the fraction attributed to detailed cause codes from the China CDC Cause of Death</w:t>
      </w:r>
      <w:r>
        <w:rPr>
          <w:rFonts w:ascii="Times New Roman" w:hAnsi="Times New Roman" w:cs="Times New Roman"/>
        </w:rPr>
        <w:t xml:space="preserve"> </w:t>
      </w:r>
      <w:r w:rsidRPr="004F57BB">
        <w:rPr>
          <w:rFonts w:ascii="Times New Roman" w:hAnsi="Times New Roman" w:cs="Times New Roman"/>
        </w:rPr>
        <w:t>Reporting System. This disaggregation only occurred for some DSP codes, which were not easily mapped</w:t>
      </w:r>
      <w:r>
        <w:rPr>
          <w:rFonts w:ascii="Times New Roman" w:hAnsi="Times New Roman" w:cs="Times New Roman"/>
        </w:rPr>
        <w:t xml:space="preserve"> </w:t>
      </w:r>
      <w:r w:rsidRPr="004F57BB">
        <w:rPr>
          <w:rFonts w:ascii="Times New Roman" w:hAnsi="Times New Roman" w:cs="Times New Roman" w:hint="eastAsia"/>
        </w:rPr>
        <w:t>to a GBD cause, such as C00</w:t>
      </w:r>
      <w:r w:rsidR="00D00EBE">
        <w:rPr>
          <w:rFonts w:ascii="Times New Roman" w:hAnsi="Times New Roman" w:cs="Times New Roman" w:hint="eastAsia"/>
        </w:rPr>
        <w:t>-</w:t>
      </w:r>
      <w:r w:rsidRPr="004F57BB">
        <w:rPr>
          <w:rFonts w:ascii="Times New Roman" w:hAnsi="Times New Roman" w:cs="Times New Roman" w:hint="eastAsia"/>
        </w:rPr>
        <w:t>C14 which we disaggregated and mapped to GBD causes, mouth cancer, as</w:t>
      </w:r>
      <w:r>
        <w:rPr>
          <w:rFonts w:ascii="Times New Roman" w:hAnsi="Times New Roman" w:cs="Times New Roman"/>
        </w:rPr>
        <w:t xml:space="preserve"> </w:t>
      </w:r>
      <w:r w:rsidRPr="004F57BB">
        <w:rPr>
          <w:rFonts w:ascii="Times New Roman" w:hAnsi="Times New Roman" w:cs="Times New Roman"/>
        </w:rPr>
        <w:t>well as Nasopharynx and other pharynx cancer.</w:t>
      </w:r>
    </w:p>
    <w:p w:rsidR="004F57BB" w:rsidRDefault="004F57BB" w:rsidP="004F57BB">
      <w:pPr>
        <w:pStyle w:val="a6"/>
        <w:widowControl/>
        <w:numPr>
          <w:ilvl w:val="0"/>
          <w:numId w:val="2"/>
        </w:numPr>
        <w:ind w:firstLineChars="0"/>
        <w:rPr>
          <w:rFonts w:ascii="Times New Roman" w:hAnsi="Times New Roman" w:cs="Times New Roman"/>
        </w:rPr>
      </w:pPr>
      <w:r w:rsidRPr="004F57BB">
        <w:rPr>
          <w:rFonts w:ascii="Times New Roman" w:hAnsi="Times New Roman" w:cs="Times New Roman" w:hint="eastAsia"/>
        </w:rPr>
        <w:t>The third source was also DSP, (1991</w:t>
      </w:r>
      <w:r w:rsidR="00665117">
        <w:rPr>
          <w:rFonts w:ascii="Times New Roman" w:hAnsi="Times New Roman" w:cs="Times New Roman" w:hint="eastAsia"/>
        </w:rPr>
        <w:t>-</w:t>
      </w:r>
      <w:r w:rsidRPr="004F57BB">
        <w:rPr>
          <w:rFonts w:ascii="Times New Roman" w:hAnsi="Times New Roman" w:cs="Times New Roman" w:hint="eastAsia"/>
        </w:rPr>
        <w:t>2002) which had ICD 9 aggregated codes. With this source we</w:t>
      </w:r>
      <w:r>
        <w:rPr>
          <w:rFonts w:ascii="Times New Roman" w:hAnsi="Times New Roman" w:cs="Times New Roman"/>
        </w:rPr>
        <w:t xml:space="preserve"> </w:t>
      </w:r>
      <w:r w:rsidRPr="004F57BB">
        <w:rPr>
          <w:rFonts w:ascii="Times New Roman" w:hAnsi="Times New Roman" w:cs="Times New Roman"/>
        </w:rPr>
        <w:t>had a list of a combination of ICD9 codes for each DSP cause. In every DSP code that matched our</w:t>
      </w:r>
      <w:r>
        <w:rPr>
          <w:rFonts w:ascii="Times New Roman" w:hAnsi="Times New Roman" w:cs="Times New Roman"/>
        </w:rPr>
        <w:t xml:space="preserve"> </w:t>
      </w:r>
      <w:r w:rsidRPr="004F57BB">
        <w:rPr>
          <w:rFonts w:ascii="Times New Roman" w:hAnsi="Times New Roman" w:cs="Times New Roman"/>
        </w:rPr>
        <w:t>standard mapping for ICD 9 codes to GBD causes we used our standard mapping. For the DSP codes that</w:t>
      </w:r>
      <w:r>
        <w:rPr>
          <w:rFonts w:ascii="Times New Roman" w:hAnsi="Times New Roman" w:cs="Times New Roman"/>
        </w:rPr>
        <w:t xml:space="preserve"> </w:t>
      </w:r>
      <w:r w:rsidRPr="004F57BB">
        <w:rPr>
          <w:rFonts w:ascii="Times New Roman" w:hAnsi="Times New Roman" w:cs="Times New Roman"/>
        </w:rPr>
        <w:t>did not match a GBD cause we made bridge maps between ICD9 and ICD10 and then disaggregated the</w:t>
      </w:r>
      <w:r>
        <w:rPr>
          <w:rFonts w:ascii="Times New Roman" w:hAnsi="Times New Roman" w:cs="Times New Roman"/>
        </w:rPr>
        <w:t xml:space="preserve"> </w:t>
      </w:r>
      <w:r w:rsidRPr="004F57BB">
        <w:rPr>
          <w:rFonts w:ascii="Times New Roman" w:hAnsi="Times New Roman" w:cs="Times New Roman"/>
        </w:rPr>
        <w:t xml:space="preserve">DSP codes by the ICD10 detailed pattern from the China CDC Cause of death Reporting System. </w:t>
      </w:r>
    </w:p>
    <w:p w:rsidR="004F57BB" w:rsidRPr="004F57BB" w:rsidRDefault="004F57BB" w:rsidP="004F57BB">
      <w:pPr>
        <w:widowControl/>
        <w:rPr>
          <w:rFonts w:ascii="Times New Roman" w:hAnsi="Times New Roman" w:cs="Times New Roman"/>
        </w:rPr>
      </w:pPr>
    </w:p>
    <w:p w:rsidR="00CF5E2C" w:rsidRPr="00665117" w:rsidRDefault="00CF5E2C" w:rsidP="00CF5E2C">
      <w:pPr>
        <w:widowControl/>
        <w:jc w:val="left"/>
        <w:rPr>
          <w:rFonts w:ascii="Times New Roman" w:hAnsi="Times New Roman" w:cs="Times New Roman"/>
          <w:b/>
          <w:sz w:val="28"/>
        </w:rPr>
      </w:pPr>
      <w:r w:rsidRPr="00665117">
        <w:rPr>
          <w:rFonts w:ascii="Times New Roman" w:hAnsi="Times New Roman" w:cs="Times New Roman" w:hint="eastAsia"/>
          <w:b/>
          <w:sz w:val="28"/>
        </w:rPr>
        <w:t>Step 3. Age-sex splitting</w:t>
      </w:r>
      <w:r w:rsidRPr="00665117">
        <w:rPr>
          <w:rFonts w:ascii="Times New Roman" w:hAnsi="Times New Roman" w:cs="Times New Roman"/>
          <w:b/>
          <w:sz w:val="28"/>
        </w:rPr>
        <w:t xml:space="preserve"> and </w:t>
      </w:r>
      <w:r w:rsidRPr="00665117">
        <w:rPr>
          <w:rFonts w:ascii="Times New Roman" w:hAnsi="Times New Roman" w:cs="Times New Roman" w:hint="eastAsia"/>
          <w:b/>
          <w:sz w:val="28"/>
        </w:rPr>
        <w:t>violations</w:t>
      </w:r>
      <w:r w:rsidRPr="00665117">
        <w:rPr>
          <w:rFonts w:ascii="Times New Roman" w:hAnsi="Times New Roman" w:cs="Times New Roman"/>
          <w:b/>
          <w:sz w:val="28"/>
        </w:rPr>
        <w:t xml:space="preserve"> correction</w:t>
      </w:r>
    </w:p>
    <w:p w:rsidR="00CF5E2C" w:rsidRDefault="00CF5E2C" w:rsidP="00CF5E2C">
      <w:pPr>
        <w:widowControl/>
        <w:rPr>
          <w:rFonts w:ascii="Times New Roman" w:hAnsi="Times New Roman" w:cs="Times New Roman"/>
        </w:rPr>
      </w:pPr>
      <w:r w:rsidRPr="00CF5E2C">
        <w:rPr>
          <w:rFonts w:ascii="Times New Roman" w:hAnsi="Times New Roman" w:cs="Times New Roman"/>
        </w:rPr>
        <w:t xml:space="preserve">Different sources, particularly verbal autopsy studies, report deaths for </w:t>
      </w:r>
      <w:r>
        <w:rPr>
          <w:rFonts w:ascii="Times New Roman" w:hAnsi="Times New Roman" w:cs="Times New Roman"/>
        </w:rPr>
        <w:t>a wide range of age groups with</w:t>
      </w:r>
      <w:r>
        <w:rPr>
          <w:rFonts w:ascii="Times New Roman" w:hAnsi="Times New Roman" w:cs="Times New Roman" w:hint="eastAsia"/>
        </w:rPr>
        <w:t xml:space="preserve"> </w:t>
      </w:r>
      <w:r w:rsidRPr="00CF5E2C">
        <w:rPr>
          <w:rFonts w:ascii="Times New Roman" w:hAnsi="Times New Roman" w:cs="Times New Roman"/>
        </w:rPr>
        <w:t>varying intervals. For the analysis of causes of death, we mapped these dif</w:t>
      </w:r>
      <w:r>
        <w:rPr>
          <w:rFonts w:ascii="Times New Roman" w:hAnsi="Times New Roman" w:cs="Times New Roman"/>
        </w:rPr>
        <w:t>ferent age intervals to the GBD</w:t>
      </w:r>
      <w:r>
        <w:rPr>
          <w:rFonts w:ascii="Times New Roman" w:hAnsi="Times New Roman" w:cs="Times New Roman" w:hint="eastAsia"/>
        </w:rPr>
        <w:t xml:space="preserve"> </w:t>
      </w:r>
      <w:r w:rsidRPr="00CF5E2C">
        <w:rPr>
          <w:rFonts w:ascii="Times New Roman" w:hAnsi="Times New Roman" w:cs="Times New Roman"/>
        </w:rPr>
        <w:t xml:space="preserve">standard set of age groups. </w:t>
      </w:r>
    </w:p>
    <w:p w:rsidR="00CF5E2C" w:rsidRDefault="00CF5E2C" w:rsidP="00CF5E2C">
      <w:pPr>
        <w:widowControl/>
        <w:rPr>
          <w:rFonts w:ascii="Times New Roman" w:hAnsi="Times New Roman" w:cs="Times New Roman"/>
        </w:rPr>
      </w:pPr>
      <w:r w:rsidRPr="00CF5E2C">
        <w:rPr>
          <w:rFonts w:ascii="Times New Roman" w:hAnsi="Times New Roman" w:cs="Times New Roman"/>
        </w:rPr>
        <w:t xml:space="preserve">Occasionally, data sources will include deaths by a cause for which there </w:t>
      </w:r>
      <w:r>
        <w:rPr>
          <w:rFonts w:ascii="Times New Roman" w:hAnsi="Times New Roman" w:cs="Times New Roman"/>
        </w:rPr>
        <w:t>is medical consensus that death</w:t>
      </w:r>
      <w:r>
        <w:rPr>
          <w:rFonts w:ascii="Times New Roman" w:hAnsi="Times New Roman" w:cs="Times New Roman" w:hint="eastAsia"/>
        </w:rPr>
        <w:t xml:space="preserve"> </w:t>
      </w:r>
      <w:r w:rsidRPr="00CF5E2C">
        <w:rPr>
          <w:rFonts w:ascii="Times New Roman" w:hAnsi="Times New Roman" w:cs="Times New Roman"/>
        </w:rPr>
        <w:t>is impossible for the sex and age. For example, there may be some n</w:t>
      </w:r>
      <w:r>
        <w:rPr>
          <w:rFonts w:ascii="Times New Roman" w:hAnsi="Times New Roman" w:cs="Times New Roman"/>
        </w:rPr>
        <w:t>umber of deaths due to cervical</w:t>
      </w:r>
      <w:r>
        <w:rPr>
          <w:rFonts w:ascii="Times New Roman" w:hAnsi="Times New Roman" w:cs="Times New Roman" w:hint="eastAsia"/>
        </w:rPr>
        <w:t xml:space="preserve"> </w:t>
      </w:r>
      <w:r w:rsidRPr="00CF5E2C">
        <w:rPr>
          <w:rFonts w:ascii="Times New Roman" w:hAnsi="Times New Roman" w:cs="Times New Roman"/>
        </w:rPr>
        <w:t xml:space="preserve">cancer in males, or deaths due to maternal causes in ages under 10. </w:t>
      </w:r>
      <w:r w:rsidRPr="00CF5E2C">
        <w:rPr>
          <w:rFonts w:ascii="Times New Roman" w:hAnsi="Times New Roman" w:cs="Times New Roman" w:hint="eastAsia"/>
        </w:rPr>
        <w:t>When deaths violate these restrictions, we redistribute them propor</w:t>
      </w:r>
      <w:r>
        <w:rPr>
          <w:rFonts w:ascii="Times New Roman" w:hAnsi="Times New Roman" w:cs="Times New Roman" w:hint="eastAsia"/>
        </w:rPr>
        <w:t xml:space="preserve">tionally </w:t>
      </w:r>
      <w:r w:rsidRPr="00CF5E2C">
        <w:rPr>
          <w:rFonts w:ascii="Times New Roman" w:hAnsi="Times New Roman" w:cs="Times New Roman"/>
        </w:rPr>
        <w:t>onto all causes.</w:t>
      </w:r>
    </w:p>
    <w:p w:rsidR="00CF5E2C" w:rsidRPr="00665117" w:rsidRDefault="00CF5E2C">
      <w:pPr>
        <w:widowControl/>
        <w:jc w:val="left"/>
        <w:rPr>
          <w:rFonts w:ascii="Times New Roman" w:hAnsi="Times New Roman" w:cs="Times New Roman"/>
          <w:b/>
        </w:rPr>
      </w:pPr>
    </w:p>
    <w:p w:rsidR="00CF5E2C" w:rsidRPr="00665117" w:rsidRDefault="00CF5E2C" w:rsidP="00CF5E2C">
      <w:pPr>
        <w:widowControl/>
        <w:jc w:val="left"/>
        <w:rPr>
          <w:rFonts w:ascii="Times New Roman" w:hAnsi="Times New Roman" w:cs="Times New Roman"/>
          <w:b/>
          <w:sz w:val="28"/>
        </w:rPr>
      </w:pPr>
      <w:r w:rsidRPr="00665117">
        <w:rPr>
          <w:rFonts w:ascii="Times New Roman" w:hAnsi="Times New Roman" w:cs="Times New Roman"/>
          <w:b/>
          <w:sz w:val="28"/>
        </w:rPr>
        <w:t xml:space="preserve">Step </w:t>
      </w:r>
      <w:r w:rsidR="00DD5613" w:rsidRPr="00665117">
        <w:rPr>
          <w:rFonts w:ascii="Times New Roman" w:hAnsi="Times New Roman" w:cs="Times New Roman"/>
          <w:b/>
          <w:sz w:val="28"/>
        </w:rPr>
        <w:t>4</w:t>
      </w:r>
      <w:r w:rsidRPr="00665117">
        <w:rPr>
          <w:rFonts w:ascii="Times New Roman" w:hAnsi="Times New Roman" w:cs="Times New Roman"/>
          <w:b/>
          <w:sz w:val="28"/>
        </w:rPr>
        <w:t>. Redistribution</w:t>
      </w:r>
      <w:r w:rsidR="00DD5613" w:rsidRPr="00665117">
        <w:rPr>
          <w:rFonts w:ascii="Times New Roman" w:hAnsi="Times New Roman" w:cs="Times New Roman"/>
          <w:b/>
          <w:sz w:val="28"/>
        </w:rPr>
        <w:t xml:space="preserve"> of ill-defined codes</w:t>
      </w:r>
    </w:p>
    <w:p w:rsidR="00DD5613" w:rsidRDefault="00CF5E2C" w:rsidP="00DD5613">
      <w:pPr>
        <w:widowControl/>
        <w:jc w:val="left"/>
        <w:rPr>
          <w:rFonts w:ascii="Times New Roman" w:hAnsi="Times New Roman" w:cs="Times New Roman"/>
        </w:rPr>
      </w:pPr>
      <w:r w:rsidRPr="00DD5613">
        <w:rPr>
          <w:rFonts w:ascii="Times New Roman" w:hAnsi="Times New Roman" w:cs="Times New Roman"/>
        </w:rPr>
        <w:t>A crucial aspect of enhancing the comparability of data for cause of death</w:t>
      </w:r>
      <w:r w:rsidR="00DD5613">
        <w:rPr>
          <w:rFonts w:ascii="Times New Roman" w:hAnsi="Times New Roman" w:cs="Times New Roman"/>
        </w:rPr>
        <w:t xml:space="preserve"> is to deal with uninformative, </w:t>
      </w:r>
      <w:r w:rsidRPr="00DD5613">
        <w:rPr>
          <w:rFonts w:ascii="Times New Roman" w:hAnsi="Times New Roman" w:cs="Times New Roman" w:hint="eastAsia"/>
        </w:rPr>
        <w:t>so</w:t>
      </w:r>
      <w:r w:rsidR="00DD5613">
        <w:rPr>
          <w:rFonts w:ascii="Times New Roman" w:hAnsi="Times New Roman" w:cs="Times New Roman" w:hint="eastAsia"/>
        </w:rPr>
        <w:t>-</w:t>
      </w:r>
      <w:r w:rsidRPr="00DD5613">
        <w:rPr>
          <w:rFonts w:ascii="Times New Roman" w:hAnsi="Times New Roman" w:cs="Times New Roman" w:hint="eastAsia"/>
        </w:rPr>
        <w:t>called garbage codes. Garbage codes are codes to which deaths were assigned that cannot or should</w:t>
      </w:r>
      <w:r w:rsidR="00DD5613">
        <w:rPr>
          <w:rFonts w:ascii="Times New Roman" w:hAnsi="Times New Roman" w:cs="Times New Roman" w:hint="eastAsia"/>
        </w:rPr>
        <w:t xml:space="preserve"> </w:t>
      </w:r>
      <w:r w:rsidRPr="00DD5613">
        <w:rPr>
          <w:rFonts w:ascii="Times New Roman" w:hAnsi="Times New Roman" w:cs="Times New Roman" w:hint="eastAsia"/>
        </w:rPr>
        <w:t>not be considered as the underlying cause of death, for example: heart failure, ill</w:t>
      </w:r>
      <w:r w:rsidR="00DD5613">
        <w:rPr>
          <w:rFonts w:ascii="Times New Roman" w:hAnsi="Times New Roman" w:cs="Times New Roman" w:hint="eastAsia"/>
        </w:rPr>
        <w:t xml:space="preserve">-defined cancer site, </w:t>
      </w:r>
      <w:r w:rsidRPr="00DD5613">
        <w:rPr>
          <w:rFonts w:ascii="Times New Roman" w:hAnsi="Times New Roman" w:cs="Times New Roman" w:hint="eastAsia"/>
        </w:rPr>
        <w:t>senility, ill</w:t>
      </w:r>
      <w:r w:rsidRPr="00DD5613">
        <w:rPr>
          <w:rFonts w:ascii="Times New Roman" w:hAnsi="Times New Roman" w:cs="Times New Roman" w:hint="eastAsia"/>
        </w:rPr>
        <w:t>‐</w:t>
      </w:r>
      <w:r w:rsidRPr="00DD5613">
        <w:rPr>
          <w:rFonts w:ascii="Times New Roman" w:hAnsi="Times New Roman" w:cs="Times New Roman" w:hint="eastAsia"/>
        </w:rPr>
        <w:t>defined external causes of injuries, and septicaemia. The m</w:t>
      </w:r>
      <w:r w:rsidR="00DD5613">
        <w:rPr>
          <w:rFonts w:ascii="Times New Roman" w:hAnsi="Times New Roman" w:cs="Times New Roman" w:hint="eastAsia"/>
        </w:rPr>
        <w:t xml:space="preserve">ethods for redistributing these </w:t>
      </w:r>
      <w:r w:rsidRPr="00DD5613">
        <w:rPr>
          <w:rFonts w:ascii="Times New Roman" w:hAnsi="Times New Roman" w:cs="Times New Roman" w:hint="eastAsia"/>
        </w:rPr>
        <w:t>garbage</w:t>
      </w:r>
      <w:r w:rsidR="00DD5613">
        <w:rPr>
          <w:rFonts w:ascii="Times New Roman" w:hAnsi="Times New Roman" w:cs="Times New Roman" w:hint="eastAsia"/>
        </w:rPr>
        <w:t>-</w:t>
      </w:r>
      <w:r w:rsidRPr="00DD5613">
        <w:rPr>
          <w:rFonts w:ascii="Times New Roman" w:hAnsi="Times New Roman" w:cs="Times New Roman" w:hint="eastAsia"/>
        </w:rPr>
        <w:t xml:space="preserve">coded deaths were outlined in detail in </w:t>
      </w:r>
      <w:r w:rsidRPr="00A47AAC">
        <w:rPr>
          <w:rFonts w:ascii="Times New Roman" w:hAnsi="Times New Roman" w:cs="Times New Roman" w:hint="eastAsia"/>
          <w:b/>
          <w:i/>
        </w:rPr>
        <w:t>Naghavi et al</w:t>
      </w:r>
      <w:r w:rsidRPr="00DD5613">
        <w:rPr>
          <w:rFonts w:ascii="Times New Roman" w:hAnsi="Times New Roman" w:cs="Times New Roman"/>
        </w:rPr>
        <w:t xml:space="preserve">. </w:t>
      </w:r>
    </w:p>
    <w:p w:rsidR="00DD5613" w:rsidRPr="00DD5613" w:rsidRDefault="00DD5613" w:rsidP="00DD5613">
      <w:pPr>
        <w:widowControl/>
        <w:rPr>
          <w:rFonts w:ascii="Times New Roman" w:hAnsi="Times New Roman" w:cs="Times New Roman"/>
        </w:rPr>
      </w:pPr>
      <w:r w:rsidRPr="00A47AAC">
        <w:rPr>
          <w:rFonts w:ascii="Times New Roman" w:hAnsi="Times New Roman" w:cs="Times New Roman"/>
          <w:b/>
        </w:rPr>
        <w:t xml:space="preserve">Four categories </w:t>
      </w:r>
      <w:r w:rsidR="00A47AAC" w:rsidRPr="00A47AAC">
        <w:rPr>
          <w:rFonts w:ascii="Times New Roman" w:hAnsi="Times New Roman" w:cs="Times New Roman"/>
          <w:b/>
        </w:rPr>
        <w:t xml:space="preserve">of </w:t>
      </w:r>
      <w:r w:rsidR="00A47AAC" w:rsidRPr="00A47AAC">
        <w:rPr>
          <w:rFonts w:ascii="Times New Roman" w:hAnsi="Times New Roman" w:cs="Times New Roman" w:hint="eastAsia"/>
          <w:b/>
        </w:rPr>
        <w:t>garbage codes</w:t>
      </w:r>
      <w:r w:rsidR="00A47AAC" w:rsidRPr="00DD5613">
        <w:rPr>
          <w:rFonts w:ascii="Times New Roman" w:hAnsi="Times New Roman" w:cs="Times New Roman"/>
        </w:rPr>
        <w:t xml:space="preserve"> </w:t>
      </w:r>
      <w:r w:rsidRPr="00DD5613">
        <w:rPr>
          <w:rFonts w:ascii="Times New Roman" w:hAnsi="Times New Roman" w:cs="Times New Roman"/>
        </w:rPr>
        <w:t>were ide</w:t>
      </w:r>
      <w:r>
        <w:rPr>
          <w:rFonts w:ascii="Times New Roman" w:hAnsi="Times New Roman" w:cs="Times New Roman"/>
        </w:rPr>
        <w:t>ntified:</w:t>
      </w:r>
    </w:p>
    <w:p w:rsidR="00DD5613" w:rsidRPr="00DD5613" w:rsidRDefault="00DD5613" w:rsidP="00DD5613">
      <w:pPr>
        <w:pStyle w:val="a6"/>
        <w:widowControl/>
        <w:numPr>
          <w:ilvl w:val="0"/>
          <w:numId w:val="3"/>
        </w:numPr>
        <w:ind w:firstLineChars="0"/>
        <w:rPr>
          <w:rFonts w:ascii="Times New Roman" w:hAnsi="Times New Roman" w:cs="Times New Roman"/>
        </w:rPr>
      </w:pPr>
      <w:r w:rsidRPr="00DD5613">
        <w:rPr>
          <w:rFonts w:ascii="Times New Roman" w:hAnsi="Times New Roman" w:cs="Times New Roman"/>
        </w:rPr>
        <w:t xml:space="preserve">Causes that cannot or should not be considered as underlying causes of death. These are codes that are included in the ICD because of its use for classifying health service encounters but that do not signify underlying cause of death. Examples of this type of GC are all the codes under chapter 18 of ICD-10 or R codes. This category also includes two special cases in the cardiovascular area: essential primary hypertension and atherosclerosis. Essential primary hypertension is included in the ICD to classify clinical encounters, but for most physicians, it should be considered a risk factor for cardiovascular disease and not the underlying cause. This distinction between what is a risk factor and what is an underlying cause is somewhat arbitrary but necessary to enhance comparability across revisions. Finally, we included </w:t>
      </w:r>
      <w:r w:rsidRPr="00DD5613">
        <w:rPr>
          <w:rFonts w:ascii="Times New Roman" w:hAnsi="Times New Roman" w:cs="Times New Roman"/>
        </w:rPr>
        <w:lastRenderedPageBreak/>
        <w:t xml:space="preserve">in this category a number of causes that are described as the long-term sequelae of disease, such as G82, paraplegia and tetraplegia, or O94, sequelae of complication of pregnancy, childbirth, and the puerperium. </w:t>
      </w:r>
    </w:p>
    <w:p w:rsidR="00DD5613" w:rsidRDefault="00DD5613" w:rsidP="00DD5613">
      <w:pPr>
        <w:pStyle w:val="a6"/>
        <w:widowControl/>
        <w:numPr>
          <w:ilvl w:val="0"/>
          <w:numId w:val="3"/>
        </w:numPr>
        <w:ind w:firstLineChars="0"/>
        <w:rPr>
          <w:rFonts w:ascii="Times New Roman" w:hAnsi="Times New Roman" w:cs="Times New Roman"/>
        </w:rPr>
      </w:pPr>
      <w:r w:rsidRPr="00DD5613">
        <w:rPr>
          <w:rFonts w:ascii="Times New Roman" w:hAnsi="Times New Roman" w:cs="Times New Roman"/>
        </w:rPr>
        <w:t>Intermediate causes of death such as heart failure, septicemia, peritonitis, osteomyelitis, or pulmonary embolism. These are clearly defined clinical entities, but each has an underlying cause that would have precipitated the chain of events leading to death. Physicians who have not been adequately trained in the principles of the ICD underlying cause of death often use these causes on death certificates.</w:t>
      </w:r>
    </w:p>
    <w:p w:rsidR="00DD5613" w:rsidRDefault="00DD5613" w:rsidP="00DD5613">
      <w:pPr>
        <w:pStyle w:val="a6"/>
        <w:widowControl/>
        <w:numPr>
          <w:ilvl w:val="0"/>
          <w:numId w:val="3"/>
        </w:numPr>
        <w:ind w:firstLineChars="0"/>
        <w:rPr>
          <w:rFonts w:ascii="Times New Roman" w:hAnsi="Times New Roman" w:cs="Times New Roman"/>
        </w:rPr>
      </w:pPr>
      <w:r w:rsidRPr="00DD5613">
        <w:rPr>
          <w:rFonts w:ascii="Times New Roman" w:hAnsi="Times New Roman" w:cs="Times New Roman"/>
        </w:rPr>
        <w:t>Immediate causes of death that are the final steps in a disease pathway leading to death. Examples of this include disseminated intravascular coagulation or defibrination syndrome (D65). The pathway to death includes the final immediate cause, an intermediate cause, and the underlying cause that triggered the chain of events. Cardiac arrest (I46) and respiratory failure, not elsewhere classified (J96), are other examples.</w:t>
      </w:r>
    </w:p>
    <w:p w:rsidR="00DD5613" w:rsidRPr="00665117" w:rsidRDefault="00DD5613" w:rsidP="00DD5613">
      <w:pPr>
        <w:pStyle w:val="a6"/>
        <w:widowControl/>
        <w:numPr>
          <w:ilvl w:val="0"/>
          <w:numId w:val="3"/>
        </w:numPr>
        <w:ind w:firstLineChars="0"/>
        <w:rPr>
          <w:rFonts w:ascii="Times New Roman" w:hAnsi="Times New Roman" w:cs="Times New Roman"/>
        </w:rPr>
      </w:pPr>
      <w:r w:rsidRPr="00DD5613">
        <w:rPr>
          <w:rFonts w:ascii="Times New Roman" w:hAnsi="Times New Roman" w:cs="Times New Roman"/>
        </w:rPr>
        <w:t xml:space="preserve">Unspecified causes within a larger cause grouping. For many diseases, such as neoplasms, a code is included within the grouping for an unspecified site. This is an illustration of a GC that is not important for assessing aggregate deaths from neoplasms from all sites but is important when assessing site-specific death rates. Another important example is the injury category in which some injuries are coded to unspecified factors or intent. </w:t>
      </w:r>
    </w:p>
    <w:p w:rsidR="00665117" w:rsidRDefault="00665117" w:rsidP="00DD5613">
      <w:pPr>
        <w:widowControl/>
        <w:rPr>
          <w:rFonts w:ascii="Times New Roman" w:hAnsi="Times New Roman" w:cs="Times New Roman"/>
          <w:b/>
        </w:rPr>
      </w:pPr>
    </w:p>
    <w:p w:rsidR="00A47AAC" w:rsidRDefault="00A47AAC" w:rsidP="00DD5613">
      <w:pPr>
        <w:widowControl/>
        <w:rPr>
          <w:rFonts w:ascii="Times New Roman" w:hAnsi="Times New Roman" w:cs="Times New Roman"/>
          <w:b/>
        </w:rPr>
      </w:pPr>
      <w:r w:rsidRPr="00A47AAC">
        <w:rPr>
          <w:rFonts w:ascii="Times New Roman" w:hAnsi="Times New Roman" w:cs="Times New Roman"/>
          <w:b/>
        </w:rPr>
        <w:t>Redistributing Deaths Assigned to GCs</w:t>
      </w:r>
    </w:p>
    <w:p w:rsidR="006934FD" w:rsidRDefault="006934FD" w:rsidP="00DD5613">
      <w:pPr>
        <w:pStyle w:val="a6"/>
        <w:widowControl/>
        <w:numPr>
          <w:ilvl w:val="0"/>
          <w:numId w:val="4"/>
        </w:numPr>
        <w:ind w:firstLineChars="0"/>
        <w:rPr>
          <w:rFonts w:ascii="Times New Roman" w:hAnsi="Times New Roman" w:cs="Times New Roman"/>
        </w:rPr>
      </w:pPr>
      <w:r>
        <w:rPr>
          <w:rFonts w:ascii="Times New Roman" w:hAnsi="Times New Roman" w:cs="Times New Roman"/>
        </w:rPr>
        <w:t>W</w:t>
      </w:r>
      <w:r w:rsidR="00DD5613" w:rsidRPr="006934FD">
        <w:rPr>
          <w:rFonts w:ascii="Times New Roman" w:hAnsi="Times New Roman" w:cs="Times New Roman"/>
        </w:rPr>
        <w:t>e carefully considered pathophysiology in identifying target causes for a GC. For example, for peritonitis, our targets include digestive diseases, such as intestinal obstruction; genitourinary diseases such as salpingitis and oophoritis; pregnancy, childbirth, and puerperium disease; conditions such as abortions; and some intentional</w:t>
      </w:r>
      <w:r w:rsidR="00665117">
        <w:rPr>
          <w:rFonts w:ascii="Times New Roman" w:hAnsi="Times New Roman" w:cs="Times New Roman"/>
        </w:rPr>
        <w:t>/</w:t>
      </w:r>
      <w:r w:rsidR="00DD5613" w:rsidRPr="006934FD">
        <w:rPr>
          <w:rFonts w:ascii="Times New Roman" w:hAnsi="Times New Roman" w:cs="Times New Roman"/>
        </w:rPr>
        <w:t xml:space="preserve">unintentional injuries. </w:t>
      </w:r>
    </w:p>
    <w:p w:rsidR="006934FD" w:rsidRDefault="006934FD" w:rsidP="00DD5613">
      <w:pPr>
        <w:pStyle w:val="a6"/>
        <w:widowControl/>
        <w:numPr>
          <w:ilvl w:val="0"/>
          <w:numId w:val="4"/>
        </w:numPr>
        <w:ind w:firstLineChars="0"/>
        <w:rPr>
          <w:rFonts w:ascii="Times New Roman" w:hAnsi="Times New Roman" w:cs="Times New Roman"/>
        </w:rPr>
      </w:pPr>
      <w:r>
        <w:rPr>
          <w:rFonts w:ascii="Times New Roman" w:hAnsi="Times New Roman" w:cs="Times New Roman"/>
        </w:rPr>
        <w:t>W</w:t>
      </w:r>
      <w:r w:rsidR="00DD5613" w:rsidRPr="006934FD">
        <w:rPr>
          <w:rFonts w:ascii="Times New Roman" w:hAnsi="Times New Roman" w:cs="Times New Roman"/>
        </w:rPr>
        <w:t>e distinguished three methods for assigning GC deaths to a set of target underlying causes: proportionate redistribution within an age-sex group, statistical models, and expert judgment. We used a combination of all of these approaches depending on the four types of GCs. For causes with little information content, we used proportionate redistribution across target causes. In the case of heart failure, we developed a statistical model that helps identify the proportion of deaths for each target code within a given age-sex group. The algorithm eliminates all deaths with the code HF (ICD-10 I50) from the database. It identifies the fraction that should be extracted from HF and assigned to each of the target categories. To estimate the fractions allocated to each target code, we regressed by age, sex, and development status using all available ICD-10 mortality data the fraction of heart failure deaths from all deaths related to heart fa</w:t>
      </w:r>
      <w:r w:rsidRPr="006934FD">
        <w:rPr>
          <w:rFonts w:ascii="Times New Roman" w:hAnsi="Times New Roman" w:cs="Times New Roman"/>
        </w:rPr>
        <w:t>ilure, including target causes.</w:t>
      </w:r>
    </w:p>
    <w:p w:rsidR="006934FD" w:rsidRDefault="006934FD" w:rsidP="00DD5613">
      <w:pPr>
        <w:pStyle w:val="a6"/>
        <w:widowControl/>
        <w:numPr>
          <w:ilvl w:val="0"/>
          <w:numId w:val="4"/>
        </w:numPr>
        <w:ind w:firstLineChars="0"/>
        <w:rPr>
          <w:rFonts w:ascii="Times New Roman" w:hAnsi="Times New Roman" w:cs="Times New Roman"/>
        </w:rPr>
      </w:pPr>
      <w:r w:rsidRPr="006934FD">
        <w:rPr>
          <w:rFonts w:ascii="Times New Roman" w:hAnsi="Times New Roman" w:cs="Times New Roman"/>
        </w:rPr>
        <w:t>F</w:t>
      </w:r>
      <w:r w:rsidR="00DD5613" w:rsidRPr="006934FD">
        <w:rPr>
          <w:rFonts w:ascii="Times New Roman" w:hAnsi="Times New Roman" w:cs="Times New Roman"/>
        </w:rPr>
        <w:t>or many GCs, we reviewed the published literature and engaged in consultation with GBD expert groups to develop an expert-based algorithm for assigning the fraction of deaths assigned to a GC within an age-sex group to be allocated to different target causes. A further criterion used in developing these expert algorithms was to compare the time trends in a cause by country across various revisions of the ICD. For example, the distribution of GCs to target codes for heart failure is a function of local epidemiology. Redistribution of GCs should in principle generate more plausible or continuous time trends commensurate with the underlying nature of a cause without observing the major discontinuities associated with a change in ICD.</w:t>
      </w:r>
    </w:p>
    <w:p w:rsidR="006934FD" w:rsidRDefault="006934FD" w:rsidP="006934FD">
      <w:pPr>
        <w:widowControl/>
        <w:rPr>
          <w:rFonts w:ascii="Times New Roman" w:hAnsi="Times New Roman" w:cs="Times New Roman"/>
        </w:rPr>
      </w:pPr>
    </w:p>
    <w:p w:rsidR="006934FD" w:rsidRPr="00665117" w:rsidRDefault="006934FD" w:rsidP="006934FD">
      <w:pPr>
        <w:widowControl/>
        <w:rPr>
          <w:rFonts w:ascii="Times New Roman" w:hAnsi="Times New Roman" w:cs="Times New Roman"/>
          <w:sz w:val="28"/>
        </w:rPr>
      </w:pPr>
      <w:r w:rsidRPr="00665117">
        <w:rPr>
          <w:rFonts w:ascii="Times New Roman" w:hAnsi="Times New Roman" w:cs="Times New Roman"/>
          <w:b/>
          <w:sz w:val="28"/>
        </w:rPr>
        <w:t>Step 5</w:t>
      </w:r>
      <w:r w:rsidR="00D00EBE" w:rsidRPr="00665117">
        <w:rPr>
          <w:rFonts w:ascii="Times New Roman" w:hAnsi="Times New Roman" w:cs="Times New Roman"/>
          <w:b/>
          <w:sz w:val="28"/>
        </w:rPr>
        <w:t>:</w:t>
      </w:r>
      <w:r w:rsidRPr="00665117">
        <w:rPr>
          <w:rFonts w:ascii="Times New Roman" w:hAnsi="Times New Roman" w:cs="Times New Roman"/>
          <w:b/>
          <w:sz w:val="28"/>
        </w:rPr>
        <w:t xml:space="preserve"> Noise reduction</w:t>
      </w:r>
    </w:p>
    <w:p w:rsidR="00323B0C" w:rsidRDefault="006934FD" w:rsidP="006934FD">
      <w:pPr>
        <w:widowControl/>
        <w:rPr>
          <w:rFonts w:ascii="Times New Roman" w:hAnsi="Times New Roman" w:cs="Times New Roman"/>
        </w:rPr>
      </w:pPr>
      <w:r w:rsidRPr="006934FD">
        <w:rPr>
          <w:rFonts w:ascii="Times New Roman" w:hAnsi="Times New Roman" w:cs="Times New Roman"/>
        </w:rPr>
        <w:t>To deal with problems of zero counts in vital registration, verbal autopsy</w:t>
      </w:r>
      <w:r>
        <w:rPr>
          <w:rFonts w:ascii="Times New Roman" w:hAnsi="Times New Roman" w:cs="Times New Roman"/>
        </w:rPr>
        <w:t>, cancer registries, or sibling</w:t>
      </w:r>
      <w:r>
        <w:rPr>
          <w:rFonts w:ascii="Times New Roman" w:hAnsi="Times New Roman" w:cs="Times New Roman" w:hint="eastAsia"/>
        </w:rPr>
        <w:t xml:space="preserve"> </w:t>
      </w:r>
      <w:r w:rsidRPr="006934FD">
        <w:rPr>
          <w:rFonts w:ascii="Times New Roman" w:hAnsi="Times New Roman" w:cs="Times New Roman" w:hint="eastAsia"/>
        </w:rPr>
        <w:t>histories for a given age group in a given year, we use a Bayesian noise</w:t>
      </w:r>
      <w:r>
        <w:rPr>
          <w:rFonts w:ascii="Times New Roman" w:hAnsi="Times New Roman" w:cs="Times New Roman" w:hint="eastAsia"/>
        </w:rPr>
        <w:t>-</w:t>
      </w:r>
      <w:r w:rsidRPr="006934FD">
        <w:rPr>
          <w:rFonts w:ascii="Times New Roman" w:hAnsi="Times New Roman" w:cs="Times New Roman" w:hint="eastAsia"/>
        </w:rPr>
        <w:t>reduction algorithm. For this</w:t>
      </w:r>
      <w:r>
        <w:rPr>
          <w:rFonts w:ascii="Times New Roman" w:hAnsi="Times New Roman" w:cs="Times New Roman" w:hint="eastAsia"/>
        </w:rPr>
        <w:t xml:space="preserve"> </w:t>
      </w:r>
      <w:r w:rsidRPr="006934FD">
        <w:rPr>
          <w:rFonts w:ascii="Times New Roman" w:hAnsi="Times New Roman" w:cs="Times New Roman"/>
        </w:rPr>
        <w:t>algorithm, we assume a normal prior and a normal data likelihood. We estimate the normal prior f</w:t>
      </w:r>
      <w:r>
        <w:rPr>
          <w:rFonts w:ascii="Times New Roman" w:hAnsi="Times New Roman" w:cs="Times New Roman"/>
        </w:rPr>
        <w:t>or a</w:t>
      </w:r>
      <w:r>
        <w:rPr>
          <w:rFonts w:ascii="Times New Roman" w:hAnsi="Times New Roman" w:cs="Times New Roman" w:hint="eastAsia"/>
        </w:rPr>
        <w:t xml:space="preserve"> </w:t>
      </w:r>
      <w:r w:rsidRPr="006934FD">
        <w:rPr>
          <w:rFonts w:ascii="Times New Roman" w:hAnsi="Times New Roman" w:cs="Times New Roman" w:hint="eastAsia"/>
        </w:rPr>
        <w:t>given country</w:t>
      </w:r>
      <w:r>
        <w:rPr>
          <w:rFonts w:ascii="Times New Roman" w:hAnsi="Times New Roman" w:cs="Times New Roman" w:hint="eastAsia"/>
        </w:rPr>
        <w:t>-</w:t>
      </w:r>
      <w:r w:rsidRPr="006934FD">
        <w:rPr>
          <w:rFonts w:ascii="Times New Roman" w:hAnsi="Times New Roman" w:cs="Times New Roman" w:hint="eastAsia"/>
        </w:rPr>
        <w:t>series of data by estimating a negative binomial for the</w:t>
      </w:r>
      <w:r>
        <w:rPr>
          <w:rFonts w:ascii="Times New Roman" w:hAnsi="Times New Roman" w:cs="Times New Roman" w:hint="eastAsia"/>
        </w:rPr>
        <w:t xml:space="preserve"> fraction of deaths in each age </w:t>
      </w:r>
      <w:r w:rsidRPr="006934FD">
        <w:rPr>
          <w:rFonts w:ascii="Times New Roman" w:hAnsi="Times New Roman" w:cs="Times New Roman"/>
        </w:rPr>
        <w:t>group due to each respective cause with dummy variables for age and ye</w:t>
      </w:r>
      <w:r>
        <w:rPr>
          <w:rFonts w:ascii="Times New Roman" w:hAnsi="Times New Roman" w:cs="Times New Roman"/>
        </w:rPr>
        <w:t xml:space="preserve">ar. </w:t>
      </w:r>
    </w:p>
    <w:p w:rsidR="00323B0C" w:rsidRDefault="00323B0C" w:rsidP="006934FD">
      <w:pPr>
        <w:widowControl/>
        <w:rPr>
          <w:rFonts w:ascii="Times New Roman" w:hAnsi="Times New Roman" w:cs="Times New Roman"/>
        </w:rPr>
      </w:pPr>
    </w:p>
    <w:p w:rsidR="00323B0C" w:rsidRPr="00665117" w:rsidRDefault="00D00EBE" w:rsidP="006934FD">
      <w:pPr>
        <w:widowControl/>
        <w:rPr>
          <w:rFonts w:ascii="Times New Roman" w:hAnsi="Times New Roman" w:cs="Times New Roman"/>
          <w:b/>
          <w:sz w:val="28"/>
        </w:rPr>
      </w:pPr>
      <w:r w:rsidRPr="00665117">
        <w:rPr>
          <w:rFonts w:ascii="Times New Roman" w:hAnsi="Times New Roman" w:cs="Times New Roman"/>
          <w:b/>
          <w:sz w:val="28"/>
        </w:rPr>
        <w:t xml:space="preserve">Step 6: </w:t>
      </w:r>
      <w:r w:rsidR="00323B0C" w:rsidRPr="00665117">
        <w:rPr>
          <w:rFonts w:ascii="Times New Roman" w:hAnsi="Times New Roman" w:cs="Times New Roman"/>
          <w:b/>
          <w:sz w:val="28"/>
        </w:rPr>
        <w:t xml:space="preserve">Causes of death modelling methods </w:t>
      </w:r>
    </w:p>
    <w:p w:rsidR="00D00EBE" w:rsidRDefault="00323B0C" w:rsidP="00323B0C">
      <w:pPr>
        <w:pStyle w:val="a6"/>
        <w:widowControl/>
        <w:numPr>
          <w:ilvl w:val="0"/>
          <w:numId w:val="5"/>
        </w:numPr>
        <w:ind w:firstLineChars="0"/>
        <w:rPr>
          <w:rFonts w:ascii="Times New Roman" w:hAnsi="Times New Roman" w:cs="Times New Roman"/>
        </w:rPr>
      </w:pPr>
      <w:r w:rsidRPr="00D00EBE">
        <w:rPr>
          <w:rFonts w:ascii="Times New Roman" w:hAnsi="Times New Roman" w:cs="Times New Roman"/>
        </w:rPr>
        <w:t xml:space="preserve">In the </w:t>
      </w:r>
      <w:r w:rsidR="00665117" w:rsidRPr="00D00EBE">
        <w:rPr>
          <w:rFonts w:ascii="Times New Roman" w:hAnsi="Times New Roman" w:cs="Times New Roman" w:hint="eastAsia"/>
        </w:rPr>
        <w:t>Cause of death ensemble modelling (CODEm)</w:t>
      </w:r>
      <w:r w:rsidRPr="00D00EBE">
        <w:rPr>
          <w:rFonts w:ascii="Times New Roman" w:hAnsi="Times New Roman" w:cs="Times New Roman"/>
        </w:rPr>
        <w:t xml:space="preserve"> framework, four families of statistical models are</w:t>
      </w:r>
      <w:r w:rsidRPr="00D00EBE">
        <w:rPr>
          <w:rFonts w:ascii="Times New Roman" w:hAnsi="Times New Roman" w:cs="Times New Roman" w:hint="eastAsia"/>
        </w:rPr>
        <w:t xml:space="preserve"> used: linear mixed effects regression (LMER) models of the natural log of the cause</w:t>
      </w:r>
      <w:r w:rsidR="006876AC">
        <w:rPr>
          <w:rFonts w:ascii="Times New Roman" w:hAnsi="Times New Roman" w:cs="Times New Roman" w:hint="eastAsia"/>
        </w:rPr>
        <w:t>-</w:t>
      </w:r>
      <w:r w:rsidRPr="00D00EBE">
        <w:rPr>
          <w:rFonts w:ascii="Times New Roman" w:hAnsi="Times New Roman" w:cs="Times New Roman" w:hint="eastAsia"/>
        </w:rPr>
        <w:t xml:space="preserve">specific death rate, LMER models of the logit of the cause fraction, spatiotemporal Gaussian process regression (ST-GPR) models of the natural logarithm of the cause-specific death rate, and ST-GPR models of the logit </w:t>
      </w:r>
      <w:r w:rsidRPr="00D00EBE">
        <w:rPr>
          <w:rFonts w:ascii="Times New Roman" w:hAnsi="Times New Roman" w:cs="Times New Roman"/>
        </w:rPr>
        <w:t>of the cause fraction</w:t>
      </w:r>
      <w:r w:rsidR="006876AC">
        <w:rPr>
          <w:rFonts w:ascii="Times New Roman" w:hAnsi="Times New Roman" w:cs="Times New Roman" w:hint="eastAsia"/>
        </w:rPr>
        <w:t>.</w:t>
      </w:r>
      <w:bookmarkStart w:id="0" w:name="_GoBack"/>
      <w:bookmarkEnd w:id="0"/>
      <w:r w:rsidRPr="00D00EBE">
        <w:rPr>
          <w:rFonts w:ascii="Times New Roman" w:hAnsi="Times New Roman" w:cs="Times New Roman"/>
        </w:rPr>
        <w:t xml:space="preserve"> For each family of models, all plausible</w:t>
      </w:r>
      <w:r w:rsidRPr="00D00EBE">
        <w:rPr>
          <w:rFonts w:ascii="Times New Roman" w:hAnsi="Times New Roman" w:cs="Times New Roman" w:hint="eastAsia"/>
        </w:rPr>
        <w:t xml:space="preserve"> </w:t>
      </w:r>
      <w:r w:rsidRPr="00D00EBE">
        <w:rPr>
          <w:rFonts w:ascii="Times New Roman" w:hAnsi="Times New Roman" w:cs="Times New Roman"/>
        </w:rPr>
        <w:t>relationships between covariates and the response variable are identified. Because all possible</w:t>
      </w:r>
      <w:r w:rsidRPr="00D00EBE">
        <w:rPr>
          <w:rFonts w:ascii="Times New Roman" w:hAnsi="Times New Roman" w:cs="Times New Roman" w:hint="eastAsia"/>
        </w:rPr>
        <w:t xml:space="preserve"> </w:t>
      </w:r>
      <w:r w:rsidRPr="00D00EBE">
        <w:rPr>
          <w:rFonts w:ascii="Times New Roman" w:hAnsi="Times New Roman" w:cs="Times New Roman"/>
        </w:rPr>
        <w:t xml:space="preserve">combinations of selected </w:t>
      </w:r>
      <w:r w:rsidRPr="00D00EBE">
        <w:rPr>
          <w:rFonts w:ascii="Times New Roman" w:hAnsi="Times New Roman" w:cs="Times New Roman"/>
        </w:rPr>
        <w:lastRenderedPageBreak/>
        <w:t>covariates are considered for each family of models, multicollinearity</w:t>
      </w:r>
      <w:r w:rsidRPr="00D00EBE">
        <w:rPr>
          <w:rFonts w:ascii="Times New Roman" w:hAnsi="Times New Roman" w:cs="Times New Roman" w:hint="eastAsia"/>
        </w:rPr>
        <w:t xml:space="preserve"> </w:t>
      </w:r>
      <w:r w:rsidRPr="00D00EBE">
        <w:rPr>
          <w:rFonts w:ascii="Times New Roman" w:hAnsi="Times New Roman" w:cs="Times New Roman"/>
        </w:rPr>
        <w:t>between covariates may produce implausible signs on coefficients or unstable coefficients. Each</w:t>
      </w:r>
      <w:r w:rsidRPr="00D00EBE">
        <w:rPr>
          <w:rFonts w:ascii="Times New Roman" w:hAnsi="Times New Roman" w:cs="Times New Roman" w:hint="eastAsia"/>
        </w:rPr>
        <w:t xml:space="preserve"> </w:t>
      </w:r>
      <w:r w:rsidRPr="00D00EBE">
        <w:rPr>
          <w:rFonts w:ascii="Times New Roman" w:hAnsi="Times New Roman" w:cs="Times New Roman"/>
        </w:rPr>
        <w:t>combination is therefore tested for statistical significance (covariate coefficients must have a</w:t>
      </w:r>
      <w:r w:rsidRPr="00D00EBE">
        <w:rPr>
          <w:rFonts w:ascii="Times New Roman" w:hAnsi="Times New Roman" w:cs="Times New Roman" w:hint="eastAsia"/>
        </w:rPr>
        <w:t xml:space="preserve"> </w:t>
      </w:r>
      <w:r w:rsidRPr="00D00EBE">
        <w:rPr>
          <w:rFonts w:ascii="Times New Roman" w:hAnsi="Times New Roman" w:cs="Times New Roman"/>
        </w:rPr>
        <w:t>coefficient with p</w:t>
      </w:r>
      <w:r w:rsidRPr="00D00EBE">
        <w:rPr>
          <w:rFonts w:ascii="Times New Roman" w:hAnsi="Times New Roman" w:cs="Times New Roman" w:hint="eastAsia"/>
        </w:rPr>
        <w:t>-</w:t>
      </w:r>
      <w:r w:rsidRPr="00D00EBE">
        <w:rPr>
          <w:rFonts w:ascii="Times New Roman" w:hAnsi="Times New Roman" w:cs="Times New Roman"/>
        </w:rPr>
        <w:t>value &lt; 0∙05) and plausibility (the coefficients must have the directions expected</w:t>
      </w:r>
      <w:r w:rsidRPr="00D00EBE">
        <w:rPr>
          <w:rFonts w:ascii="Times New Roman" w:hAnsi="Times New Roman" w:cs="Times New Roman" w:hint="eastAsia"/>
        </w:rPr>
        <w:t xml:space="preserve"> </w:t>
      </w:r>
      <w:r w:rsidRPr="00D00EBE">
        <w:rPr>
          <w:rFonts w:ascii="Times New Roman" w:hAnsi="Times New Roman" w:cs="Times New Roman"/>
        </w:rPr>
        <w:t>based on the literature). Only covariate combinations meeting these criteria are retained. This</w:t>
      </w:r>
      <w:r w:rsidRPr="00D00EBE">
        <w:rPr>
          <w:rFonts w:ascii="Times New Roman" w:hAnsi="Times New Roman" w:cs="Times New Roman" w:hint="eastAsia"/>
        </w:rPr>
        <w:t xml:space="preserve"> selection process is run for both cause fractions and death rates, then ST-GPR and LMER</w:t>
      </w:r>
      <w:r w:rsidR="00665117">
        <w:rPr>
          <w:rFonts w:ascii="Times New Roman" w:hAnsi="Times New Roman" w:cs="Times New Roman" w:hint="eastAsia"/>
        </w:rPr>
        <w:t>-</w:t>
      </w:r>
      <w:r w:rsidRPr="00D00EBE">
        <w:rPr>
          <w:rFonts w:ascii="Times New Roman" w:hAnsi="Times New Roman" w:cs="Times New Roman" w:hint="eastAsia"/>
        </w:rPr>
        <w:t xml:space="preserve">only models </w:t>
      </w:r>
      <w:r w:rsidRPr="00D00EBE">
        <w:rPr>
          <w:rFonts w:ascii="Times New Roman" w:hAnsi="Times New Roman" w:cs="Times New Roman"/>
        </w:rPr>
        <w:t xml:space="preserve">are created for each set of covariates. </w:t>
      </w:r>
    </w:p>
    <w:p w:rsidR="00323B0C" w:rsidRDefault="00323B0C" w:rsidP="00323B0C">
      <w:pPr>
        <w:pStyle w:val="a6"/>
        <w:widowControl/>
        <w:numPr>
          <w:ilvl w:val="0"/>
          <w:numId w:val="5"/>
        </w:numPr>
        <w:ind w:firstLineChars="0"/>
        <w:rPr>
          <w:rFonts w:ascii="Times New Roman" w:hAnsi="Times New Roman" w:cs="Times New Roman"/>
        </w:rPr>
      </w:pPr>
      <w:r w:rsidRPr="00D00EBE">
        <w:rPr>
          <w:rFonts w:ascii="Times New Roman" w:hAnsi="Times New Roman" w:cs="Times New Roman"/>
        </w:rPr>
        <w:t>For ten rare causes of death, there were too few observed deaths in the cause of death database to</w:t>
      </w:r>
      <w:r w:rsidRPr="00D00EBE">
        <w:rPr>
          <w:rFonts w:ascii="Times New Roman" w:hAnsi="Times New Roman" w:cs="Times New Roman" w:hint="eastAsia"/>
        </w:rPr>
        <w:t xml:space="preserve"> </w:t>
      </w:r>
      <w:r w:rsidRPr="00D00EBE">
        <w:rPr>
          <w:rFonts w:ascii="Times New Roman" w:hAnsi="Times New Roman" w:cs="Times New Roman"/>
        </w:rPr>
        <w:t>produce stable estimates. For these causes, we ran negative binomial regression models with either a</w:t>
      </w:r>
      <w:r w:rsidRPr="00D00EBE">
        <w:rPr>
          <w:rFonts w:ascii="Times New Roman" w:hAnsi="Times New Roman" w:cs="Times New Roman" w:hint="eastAsia"/>
        </w:rPr>
        <w:t xml:space="preserve"> </w:t>
      </w:r>
      <w:r w:rsidRPr="00D00EBE">
        <w:rPr>
          <w:rFonts w:ascii="Times New Roman" w:hAnsi="Times New Roman" w:cs="Times New Roman"/>
        </w:rPr>
        <w:t>constant or constant multiplied by the mean assumption for the dispersion parameter, using reverse</w:t>
      </w:r>
      <w:r w:rsidRPr="00D00EBE">
        <w:rPr>
          <w:rFonts w:ascii="Times New Roman" w:hAnsi="Times New Roman" w:cs="Times New Roman" w:hint="eastAsia"/>
        </w:rPr>
        <w:t xml:space="preserve"> step-wise model building. We selected between the two model dispersion assumptions on the basis of </w:t>
      </w:r>
      <w:r w:rsidRPr="00D00EBE">
        <w:rPr>
          <w:rFonts w:ascii="Times New Roman" w:hAnsi="Times New Roman" w:cs="Times New Roman"/>
        </w:rPr>
        <w:t>best fit to the data</w:t>
      </w:r>
    </w:p>
    <w:p w:rsidR="00665117" w:rsidRDefault="00665117" w:rsidP="00665117">
      <w:pPr>
        <w:pStyle w:val="a6"/>
        <w:widowControl/>
        <w:ind w:left="420" w:firstLineChars="0" w:firstLine="0"/>
        <w:rPr>
          <w:rFonts w:ascii="Times New Roman" w:hAnsi="Times New Roman" w:cs="Times New Roman"/>
        </w:rPr>
      </w:pPr>
    </w:p>
    <w:p w:rsidR="00665117" w:rsidRPr="00665117" w:rsidRDefault="00665117" w:rsidP="00665117">
      <w:pPr>
        <w:pStyle w:val="a6"/>
        <w:widowControl/>
        <w:ind w:left="420" w:firstLineChars="0" w:firstLine="0"/>
        <w:rPr>
          <w:rFonts w:ascii="Times New Roman" w:hAnsi="Times New Roman" w:cs="Times New Roman"/>
          <w:b/>
          <w:sz w:val="28"/>
        </w:rPr>
      </w:pPr>
      <w:r w:rsidRPr="00665117">
        <w:rPr>
          <w:rFonts w:ascii="Times New Roman" w:hAnsi="Times New Roman" w:cs="Times New Roman"/>
          <w:b/>
          <w:sz w:val="28"/>
        </w:rPr>
        <w:t>REFERENCE</w:t>
      </w:r>
    </w:p>
    <w:p w:rsidR="00665117" w:rsidRPr="00665117" w:rsidRDefault="00665117" w:rsidP="00665117">
      <w:pPr>
        <w:pStyle w:val="a6"/>
        <w:adjustRightInd w:val="0"/>
        <w:snapToGrid w:val="0"/>
        <w:spacing w:line="300" w:lineRule="auto"/>
        <w:ind w:left="420" w:firstLineChars="0" w:firstLine="0"/>
        <w:rPr>
          <w:rFonts w:ascii="Times New Roman" w:hAnsi="Times New Roman" w:cs="Times New Roman"/>
          <w:i/>
          <w:szCs w:val="21"/>
        </w:rPr>
      </w:pPr>
      <w:r w:rsidRPr="00665117">
        <w:rPr>
          <w:rFonts w:ascii="Times New Roman" w:hAnsi="Times New Roman" w:cs="Times New Roman"/>
          <w:i/>
          <w:szCs w:val="21"/>
        </w:rPr>
        <w:t>[1]</w:t>
      </w:r>
      <w:r w:rsidRPr="00665117">
        <w:rPr>
          <w:rFonts w:ascii="Times New Roman" w:hAnsi="Times New Roman" w:cs="Times New Roman"/>
          <w:i/>
          <w:szCs w:val="21"/>
        </w:rPr>
        <w:tab/>
        <w:t>Naghavi M, Makela S, Foreman K, et al. Algorithms for enhancing public health utility of national causes-of-death data. Popul Health Metr. 2010; 8: 9. DOI: 10.1186/1478-7954-8-9</w:t>
      </w:r>
    </w:p>
    <w:p w:rsidR="00665117" w:rsidRPr="00665117" w:rsidRDefault="00665117" w:rsidP="00665117">
      <w:pPr>
        <w:pStyle w:val="a6"/>
        <w:adjustRightInd w:val="0"/>
        <w:snapToGrid w:val="0"/>
        <w:spacing w:line="300" w:lineRule="auto"/>
        <w:ind w:left="420" w:firstLineChars="0" w:firstLine="0"/>
        <w:rPr>
          <w:rFonts w:ascii="Times New Roman" w:hAnsi="Times New Roman" w:cs="Times New Roman"/>
          <w:i/>
          <w:szCs w:val="21"/>
        </w:rPr>
      </w:pPr>
      <w:r w:rsidRPr="00665117">
        <w:rPr>
          <w:rFonts w:ascii="Times New Roman" w:hAnsi="Times New Roman" w:cs="Times New Roman"/>
          <w:i/>
          <w:szCs w:val="21"/>
        </w:rPr>
        <w:t>[2]</w:t>
      </w:r>
      <w:r w:rsidRPr="00665117">
        <w:rPr>
          <w:rFonts w:ascii="Times New Roman" w:hAnsi="Times New Roman" w:cs="Times New Roman"/>
          <w:i/>
          <w:szCs w:val="21"/>
        </w:rPr>
        <w:tab/>
        <w:t>Supplementary appendix 1: GBD 2016 Causes of Death Collaborators. Global, regional, and national age-sex specific mortality for 264 causes of death, 1980–2016: a systematic analysis for the Global Burden of Disease Study 2016. Lancet 2017; 390: 1151–210.</w:t>
      </w:r>
    </w:p>
    <w:p w:rsidR="00665117" w:rsidRPr="00665117" w:rsidRDefault="00665117" w:rsidP="00665117">
      <w:pPr>
        <w:pStyle w:val="a6"/>
        <w:adjustRightInd w:val="0"/>
        <w:snapToGrid w:val="0"/>
        <w:spacing w:line="300" w:lineRule="auto"/>
        <w:ind w:left="420" w:firstLineChars="0" w:firstLine="0"/>
        <w:rPr>
          <w:rFonts w:ascii="Times New Roman" w:hAnsi="Times New Roman" w:cs="Times New Roman"/>
          <w:i/>
          <w:szCs w:val="21"/>
        </w:rPr>
      </w:pPr>
      <w:r w:rsidRPr="00665117">
        <w:rPr>
          <w:rFonts w:ascii="Times New Roman" w:hAnsi="Times New Roman" w:cs="Times New Roman"/>
          <w:i/>
          <w:szCs w:val="21"/>
        </w:rPr>
        <w:t>[3]</w:t>
      </w:r>
      <w:r w:rsidRPr="00665117">
        <w:rPr>
          <w:rFonts w:ascii="Times New Roman" w:hAnsi="Times New Roman" w:cs="Times New Roman"/>
          <w:i/>
          <w:szCs w:val="21"/>
        </w:rPr>
        <w:tab/>
        <w:t>Supplementary appendix: Zhou M, Wang H, Zhu J, et al. Cause-specific mortality for 240 causes in China during 1990–2013: a systematic subnational analysis for the Global Burden of Disease Study 2013. Lancet 2015; published online Oct 26. http://dx.doi.org/10.1016/S0140-6736 (15)00551-6.</w:t>
      </w:r>
    </w:p>
    <w:p w:rsidR="004F57BB" w:rsidRPr="006934FD" w:rsidRDefault="004F57BB" w:rsidP="00323B0C">
      <w:pPr>
        <w:widowControl/>
        <w:rPr>
          <w:rFonts w:ascii="Times New Roman" w:hAnsi="Times New Roman" w:cs="Times New Roman"/>
        </w:rPr>
      </w:pPr>
      <w:r w:rsidRPr="006934FD">
        <w:rPr>
          <w:rFonts w:ascii="Times New Roman" w:hAnsi="Times New Roman" w:cs="Times New Roman"/>
        </w:rPr>
        <w:br w:type="page"/>
      </w:r>
    </w:p>
    <w:p w:rsidR="004F57BB" w:rsidRPr="00A47AAC" w:rsidRDefault="004F57BB" w:rsidP="004F57BB">
      <w:pPr>
        <w:widowControl/>
        <w:jc w:val="left"/>
        <w:rPr>
          <w:rFonts w:ascii="Times New Roman" w:hAnsi="Times New Roman" w:cs="Times New Roman"/>
        </w:rPr>
        <w:sectPr w:rsidR="004F57BB" w:rsidRPr="00A47AAC" w:rsidSect="004F57BB">
          <w:pgSz w:w="11906" w:h="16838"/>
          <w:pgMar w:top="720" w:right="720" w:bottom="720" w:left="720" w:header="851" w:footer="992" w:gutter="0"/>
          <w:cols w:space="425"/>
          <w:docGrid w:type="linesAndChars" w:linePitch="312"/>
        </w:sectPr>
      </w:pPr>
    </w:p>
    <w:p w:rsidR="004B0BF2" w:rsidRDefault="004B0BF2" w:rsidP="004F57BB">
      <w:pPr>
        <w:widowControl/>
        <w:jc w:val="left"/>
        <w:rPr>
          <w:rFonts w:ascii="Times New Roman" w:hAnsi="Times New Roman" w:cs="Times New Roman"/>
          <w:b/>
        </w:rPr>
      </w:pPr>
      <w:r w:rsidRPr="004B0BF2">
        <w:rPr>
          <w:rFonts w:ascii="Times New Roman" w:hAnsi="Times New Roman" w:cs="Times New Roman"/>
          <w:b/>
          <w:sz w:val="28"/>
        </w:rPr>
        <w:lastRenderedPageBreak/>
        <w:t xml:space="preserve">Section </w:t>
      </w:r>
      <w:r>
        <w:rPr>
          <w:rFonts w:ascii="Times New Roman" w:hAnsi="Times New Roman" w:cs="Times New Roman"/>
          <w:b/>
          <w:sz w:val="28"/>
        </w:rPr>
        <w:t>2</w:t>
      </w:r>
      <w:r w:rsidRPr="004B0BF2">
        <w:rPr>
          <w:rFonts w:ascii="Times New Roman" w:hAnsi="Times New Roman" w:cs="Times New Roman"/>
          <w:b/>
          <w:sz w:val="28"/>
        </w:rPr>
        <w:t>:</w:t>
      </w:r>
      <w:r>
        <w:rPr>
          <w:rFonts w:ascii="Times New Roman" w:hAnsi="Times New Roman" w:cs="Times New Roman"/>
          <w:b/>
          <w:sz w:val="28"/>
        </w:rPr>
        <w:t xml:space="preserve"> </w:t>
      </w:r>
      <w:r w:rsidRPr="004B0BF2">
        <w:rPr>
          <w:rFonts w:ascii="Times New Roman" w:hAnsi="Times New Roman" w:cs="Times New Roman"/>
          <w:b/>
          <w:sz w:val="24"/>
        </w:rPr>
        <w:t xml:space="preserve">Detailed </w:t>
      </w:r>
      <w:r w:rsidRPr="004B0BF2">
        <w:rPr>
          <w:rFonts w:ascii="Times New Roman" w:hAnsi="Times New Roman" w:cs="Times New Roman"/>
          <w:b/>
          <w:sz w:val="24"/>
          <w:szCs w:val="24"/>
        </w:rPr>
        <w:t>contributions stratified by age, cause and sex to life expectancy gap</w:t>
      </w:r>
      <w:r>
        <w:rPr>
          <w:rFonts w:ascii="Times New Roman" w:hAnsi="Times New Roman" w:cs="Times New Roman"/>
          <w:b/>
          <w:sz w:val="24"/>
          <w:szCs w:val="24"/>
        </w:rPr>
        <w:t xml:space="preserve">. </w:t>
      </w:r>
    </w:p>
    <w:p w:rsidR="008A254C" w:rsidRPr="00205E34" w:rsidRDefault="00030B2E" w:rsidP="004F57BB">
      <w:pPr>
        <w:widowControl/>
        <w:jc w:val="left"/>
        <w:rPr>
          <w:rFonts w:ascii="Times New Roman" w:hAnsi="Times New Roman" w:cs="Times New Roman"/>
        </w:rPr>
      </w:pPr>
      <w:r w:rsidRPr="00537E66">
        <w:rPr>
          <w:rFonts w:ascii="Times New Roman" w:hAnsi="Times New Roman" w:cs="Times New Roman"/>
          <w:b/>
        </w:rPr>
        <w:t>Table S</w:t>
      </w:r>
      <w:r w:rsidR="00A14AB6">
        <w:rPr>
          <w:rFonts w:ascii="Times New Roman" w:hAnsi="Times New Roman" w:cs="Times New Roman"/>
          <w:b/>
        </w:rPr>
        <w:t>4a</w:t>
      </w:r>
      <w:r w:rsidRPr="00205E34">
        <w:rPr>
          <w:rFonts w:ascii="Times New Roman" w:hAnsi="Times New Roman" w:cs="Times New Roman"/>
        </w:rPr>
        <w:t xml:space="preserve"> </w:t>
      </w:r>
      <w:r w:rsidRPr="004F57BB">
        <w:rPr>
          <w:rFonts w:ascii="Times New Roman" w:hAnsi="Times New Roman" w:cs="Times New Roman"/>
        </w:rPr>
        <w:t>Number of years contributed by age</w:t>
      </w:r>
      <w:r w:rsidR="00205E34" w:rsidRPr="004F57BB">
        <w:rPr>
          <w:rFonts w:ascii="Times New Roman" w:hAnsi="Times New Roman" w:cs="Times New Roman"/>
        </w:rPr>
        <w:t>s</w:t>
      </w:r>
      <w:r w:rsidRPr="004F57BB">
        <w:rPr>
          <w:rFonts w:ascii="Times New Roman" w:hAnsi="Times New Roman" w:cs="Times New Roman"/>
        </w:rPr>
        <w:t xml:space="preserve"> and cause</w:t>
      </w:r>
      <w:r w:rsidR="00205E34" w:rsidRPr="004F57BB">
        <w:rPr>
          <w:rFonts w:ascii="Times New Roman" w:hAnsi="Times New Roman" w:cs="Times New Roman"/>
        </w:rPr>
        <w:t>s</w:t>
      </w:r>
      <w:r w:rsidRPr="004F57BB">
        <w:rPr>
          <w:rFonts w:ascii="Times New Roman" w:hAnsi="Times New Roman" w:cs="Times New Roman"/>
        </w:rPr>
        <w:t xml:space="preserve"> to the life expectancy gap, China, 1990-2002</w:t>
      </w:r>
    </w:p>
    <w:tbl>
      <w:tblPr>
        <w:tblW w:w="0" w:type="auto"/>
        <w:tblBorders>
          <w:top w:val="single" w:sz="12" w:space="0" w:color="auto"/>
          <w:bottom w:val="single" w:sz="12" w:space="0" w:color="auto"/>
        </w:tblBorders>
        <w:tblLayout w:type="fixed"/>
        <w:tblLook w:val="04A0" w:firstRow="1" w:lastRow="0" w:firstColumn="1" w:lastColumn="0" w:noHBand="0" w:noVBand="1"/>
      </w:tblPr>
      <w:tblGrid>
        <w:gridCol w:w="993"/>
        <w:gridCol w:w="758"/>
        <w:gridCol w:w="758"/>
        <w:gridCol w:w="758"/>
        <w:gridCol w:w="758"/>
        <w:gridCol w:w="758"/>
        <w:gridCol w:w="758"/>
        <w:gridCol w:w="759"/>
        <w:gridCol w:w="758"/>
        <w:gridCol w:w="758"/>
        <w:gridCol w:w="758"/>
        <w:gridCol w:w="758"/>
        <w:gridCol w:w="758"/>
        <w:gridCol w:w="759"/>
        <w:gridCol w:w="758"/>
        <w:gridCol w:w="758"/>
        <w:gridCol w:w="758"/>
        <w:gridCol w:w="758"/>
        <w:gridCol w:w="758"/>
        <w:gridCol w:w="759"/>
      </w:tblGrid>
      <w:tr w:rsidR="00C806F2" w:rsidRPr="00537E66" w:rsidTr="00843726">
        <w:trPr>
          <w:trHeight w:val="280"/>
        </w:trPr>
        <w:tc>
          <w:tcPr>
            <w:tcW w:w="993" w:type="dxa"/>
            <w:vMerge w:val="restart"/>
            <w:tcBorders>
              <w:top w:val="single" w:sz="12" w:space="0" w:color="auto"/>
              <w:bottom w:val="nil"/>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Causes of death</w:t>
            </w:r>
          </w:p>
        </w:tc>
        <w:tc>
          <w:tcPr>
            <w:tcW w:w="14405" w:type="dxa"/>
            <w:gridSpan w:val="19"/>
            <w:tcBorders>
              <w:top w:val="single" w:sz="12"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Age groups</w:t>
            </w:r>
          </w:p>
        </w:tc>
      </w:tr>
      <w:tr w:rsidR="00C806F2" w:rsidRPr="00537E66" w:rsidTr="00843726">
        <w:trPr>
          <w:trHeight w:val="280"/>
        </w:trPr>
        <w:tc>
          <w:tcPr>
            <w:tcW w:w="993" w:type="dxa"/>
            <w:vMerge/>
            <w:tcBorders>
              <w:top w:val="nil"/>
              <w:bottom w:val="single" w:sz="8" w:space="0" w:color="auto"/>
            </w:tcBorders>
            <w:vAlign w:val="center"/>
            <w:hideMark/>
          </w:tcPr>
          <w:p w:rsidR="00C806F2" w:rsidRPr="00B67528" w:rsidRDefault="00C806F2" w:rsidP="00C806F2">
            <w:pPr>
              <w:widowControl/>
              <w:jc w:val="left"/>
              <w:rPr>
                <w:rFonts w:ascii="Times New Roman" w:eastAsia="宋体" w:hAnsi="Times New Roman" w:cs="Times New Roman"/>
                <w:color w:val="000000"/>
                <w:kern w:val="0"/>
                <w:sz w:val="18"/>
                <w:szCs w:val="18"/>
              </w:rPr>
            </w:pP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&lt;1</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1-4</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5-9</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10-14</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15-19</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20-24</w:t>
            </w:r>
          </w:p>
        </w:tc>
        <w:tc>
          <w:tcPr>
            <w:tcW w:w="759"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25-29</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30-34</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35-39</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40-44</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45-49</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50-54</w:t>
            </w:r>
          </w:p>
        </w:tc>
        <w:tc>
          <w:tcPr>
            <w:tcW w:w="759"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55-59</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60-64</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65-69</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70-74</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75-79</w:t>
            </w:r>
          </w:p>
        </w:tc>
        <w:tc>
          <w:tcPr>
            <w:tcW w:w="758"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80-84</w:t>
            </w:r>
          </w:p>
        </w:tc>
        <w:tc>
          <w:tcPr>
            <w:tcW w:w="759" w:type="dxa"/>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8"/>
              </w:rPr>
            </w:pPr>
            <w:r w:rsidRPr="00B67528">
              <w:rPr>
                <w:rFonts w:ascii="Times New Roman" w:eastAsia="宋体" w:hAnsi="Times New Roman" w:cs="Times New Roman"/>
                <w:color w:val="000000"/>
                <w:kern w:val="0"/>
                <w:sz w:val="18"/>
                <w:szCs w:val="18"/>
              </w:rPr>
              <w:t>85+</w:t>
            </w:r>
          </w:p>
        </w:tc>
      </w:tr>
      <w:tr w:rsidR="00BD47E2" w:rsidRPr="00537E66" w:rsidTr="00076AA4">
        <w:trPr>
          <w:trHeight w:val="280"/>
        </w:trPr>
        <w:tc>
          <w:tcPr>
            <w:tcW w:w="993" w:type="dxa"/>
            <w:tcBorders>
              <w:top w:val="single" w:sz="8" w:space="0" w:color="auto"/>
            </w:tcBorders>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w:t>
            </w:r>
          </w:p>
        </w:tc>
        <w:tc>
          <w:tcPr>
            <w:tcW w:w="758" w:type="dxa"/>
            <w:tcBorders>
              <w:top w:val="single" w:sz="8" w:space="0" w:color="auto"/>
            </w:tcBorders>
            <w:shd w:val="clear" w:color="auto" w:fill="auto"/>
            <w:noWrap/>
            <w:vAlign w:val="bottom"/>
            <w:hideMark/>
          </w:tcPr>
          <w:p w:rsidR="00BD47E2" w:rsidRPr="00BD47E2" w:rsidRDefault="00BD47E2" w:rsidP="00BD47E2">
            <w:pPr>
              <w:widowControl/>
              <w:jc w:val="right"/>
              <w:rPr>
                <w:rFonts w:ascii="Times New Roman" w:hAnsi="Times New Roman" w:cs="Times New Roman"/>
                <w:sz w:val="16"/>
                <w:szCs w:val="15"/>
              </w:rPr>
            </w:pPr>
            <w:r w:rsidRPr="00BD47E2">
              <w:rPr>
                <w:rFonts w:ascii="Times New Roman" w:hAnsi="Times New Roman" w:cs="Times New Roman"/>
                <w:sz w:val="16"/>
                <w:szCs w:val="15"/>
              </w:rPr>
              <w:t xml:space="preserve">1.1359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0.2478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0.0356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0.0178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0.0156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0.0203 </w:t>
            </w:r>
          </w:p>
        </w:tc>
        <w:tc>
          <w:tcPr>
            <w:tcW w:w="759"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0.0147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0.0168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0.0156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0.0176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0.0215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0.0239 </w:t>
            </w:r>
          </w:p>
        </w:tc>
        <w:tc>
          <w:tcPr>
            <w:tcW w:w="759"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0.0269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0.0296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0.0289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0.0274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0.0182 </w:t>
            </w:r>
          </w:p>
        </w:tc>
        <w:tc>
          <w:tcPr>
            <w:tcW w:w="758"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0.0100 </w:t>
            </w:r>
          </w:p>
        </w:tc>
        <w:tc>
          <w:tcPr>
            <w:tcW w:w="759" w:type="dxa"/>
            <w:tcBorders>
              <w:top w:val="single" w:sz="8" w:space="0" w:color="auto"/>
            </w:tcBorders>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0.0052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A1</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0.0118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0.0147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0.0176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0.0198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0.0189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0.0166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0.0049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0.0024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A2</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0.6535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0.2294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0.0277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0.0112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0.0043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0.0053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0.0072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0.0039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0.0018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A3</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0.0008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A4</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0.0082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A5</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0.4304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A6</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0.0350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0.0009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0.0009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A7</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0.0121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0.0014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0.0745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0.0717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0.0278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0.0234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0.0328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0.0325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0.0175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0.0240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0.0218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0.0327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0.0771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0.1188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0.1735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0.2066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0.2007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0.1809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0.0499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0.0101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0.0098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0.0056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0.0215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0.0227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0.0345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0.0303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0.0155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-0.0054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-0.0222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-0.0142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-0.0056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B2</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0.0154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0.0127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0.0114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0.0123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0.0185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0.0413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0.0650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0.0729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0.0693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0.0553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-0.0061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-0.0160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-0.0139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B3</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0.0041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0.0078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0.0124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0.0216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0.0373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0.0567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0.0889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0.1057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0.1258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0.0785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0.0408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0.0287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B4</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0.0012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0.0090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0.0101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0.0072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B5</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0.0130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0.0156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0.0019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0.0076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0.0074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0.0015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B6</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0.0016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-0.0009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-0.0012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-0.0016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-0.0011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0.0007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B7</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0.0036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B8</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0.0094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0.0021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-0.0008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0.0009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-0.0025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-0.0041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-0.0053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-0.0034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-0.0018 </w:t>
            </w:r>
          </w:p>
        </w:tc>
      </w:tr>
      <w:tr w:rsidR="00BD47E2" w:rsidRPr="00537E66" w:rsidTr="007147A5">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B9</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B10</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0.0289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0.0141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-0.0003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0.0565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0.1509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0.0620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0.0422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0.0462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0.0398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0.0156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0.0075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0.0098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0.0087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C1</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0.0030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0.0004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0.0000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C2</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0.0091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0.0267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0.0398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0.0270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0.0210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0.0153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0.0123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0.0117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0.0093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0.0076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C3</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0.0064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0.0214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0.0104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0.0009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-0.0142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-0.0194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-0.0196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-0.0184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-0.0144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-0.0084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-0.0058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-0.0032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-0.0030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-0.0024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-0.0017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-0.0018 </w:t>
            </w:r>
          </w:p>
        </w:tc>
        <w:tc>
          <w:tcPr>
            <w:tcW w:w="758"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-0.0010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C4</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0.0444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0.1248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0.0488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0.0283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0.0176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0.0112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0.0059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0.0048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0.0041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0.0030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0.0020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0.0006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0.0002 </w:t>
            </w:r>
          </w:p>
        </w:tc>
        <w:tc>
          <w:tcPr>
            <w:tcW w:w="759" w:type="dxa"/>
            <w:shd w:val="clear" w:color="D9D9D9" w:fill="BFBFBF"/>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-0.0001 </w:t>
            </w:r>
          </w:p>
        </w:tc>
      </w:tr>
      <w:tr w:rsidR="00BD47E2" w:rsidRPr="00537E66" w:rsidTr="00076AA4">
        <w:trPr>
          <w:trHeight w:val="280"/>
        </w:trPr>
        <w:tc>
          <w:tcPr>
            <w:tcW w:w="993" w:type="dxa"/>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TE</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1.2669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0.4705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0.1255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0.0834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0.0947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0.0927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0.0478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0.0483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0.0383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0.0527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0.1085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0.1515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0.2090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0.2429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0.2353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0.2124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0.0683 </w:t>
            </w:r>
          </w:p>
        </w:tc>
        <w:tc>
          <w:tcPr>
            <w:tcW w:w="758"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0.0198 </w:t>
            </w:r>
          </w:p>
        </w:tc>
        <w:tc>
          <w:tcPr>
            <w:tcW w:w="759" w:type="dxa"/>
            <w:shd w:val="clear" w:color="auto" w:fill="auto"/>
            <w:noWrap/>
            <w:vAlign w:val="bottom"/>
            <w:hideMark/>
          </w:tcPr>
          <w:p w:rsidR="00BD47E2" w:rsidRPr="00BD47E2" w:rsidRDefault="00BD47E2" w:rsidP="00BD47E2">
            <w:pPr>
              <w:jc w:val="right"/>
              <w:rPr>
                <w:rFonts w:ascii="Times New Roman" w:hAnsi="Times New Roman" w:cs="Times New Roman"/>
                <w:sz w:val="16"/>
                <w:szCs w:val="15"/>
              </w:rPr>
            </w:pPr>
            <w:r w:rsidRPr="00BD47E2">
              <w:rPr>
                <w:rFonts w:ascii="Times New Roman" w:hAnsi="Times New Roman" w:cs="Times New Roman"/>
                <w:sz w:val="16"/>
                <w:szCs w:val="15"/>
              </w:rPr>
              <w:t xml:space="preserve">0.0144 </w:t>
            </w:r>
          </w:p>
        </w:tc>
      </w:tr>
    </w:tbl>
    <w:p w:rsidR="000D1D42" w:rsidRDefault="00E310C7" w:rsidP="0054111A">
      <w:pPr>
        <w:rPr>
          <w:rFonts w:ascii="Times New Roman" w:hAnsi="Times New Roman" w:cs="Times New Roman"/>
          <w:i/>
        </w:rPr>
      </w:pPr>
      <w:r w:rsidRPr="00E310C7">
        <w:rPr>
          <w:rFonts w:ascii="Times New Roman" w:hAnsi="Times New Roman" w:cs="Times New Roman"/>
          <w:i/>
        </w:rPr>
        <w:t xml:space="preserve">Note: </w:t>
      </w:r>
      <w:r w:rsidRPr="00B67528">
        <w:rPr>
          <w:rFonts w:ascii="Times New Roman" w:hAnsi="Times New Roman" w:cs="Times New Roman"/>
          <w:i/>
        </w:rPr>
        <w:t xml:space="preserve">TE, </w:t>
      </w:r>
      <w:r w:rsidR="00B67528" w:rsidRPr="00B67528">
        <w:rPr>
          <w:rFonts w:ascii="Times New Roman" w:hAnsi="Times New Roman" w:cs="Times New Roman"/>
          <w:i/>
        </w:rPr>
        <w:t>total effect to the life expectancy gap</w:t>
      </w:r>
      <w:r w:rsidRPr="00B67528">
        <w:rPr>
          <w:rFonts w:ascii="Times New Roman" w:hAnsi="Times New Roman" w:cs="Times New Roman"/>
          <w:i/>
        </w:rPr>
        <w:t>.</w:t>
      </w:r>
      <w:r w:rsidR="0054111A">
        <w:rPr>
          <w:rFonts w:ascii="Times New Roman" w:hAnsi="Times New Roman" w:cs="Times New Roman" w:hint="eastAsia"/>
          <w:i/>
        </w:rPr>
        <w:t xml:space="preserve"> </w:t>
      </w:r>
      <w:r w:rsidR="00C23AA8" w:rsidRPr="00C23AA8">
        <w:rPr>
          <w:rFonts w:ascii="Times New Roman" w:hAnsi="Times New Roman" w:cs="Times New Roman"/>
          <w:i/>
        </w:rPr>
        <w:t>Gray shadow</w:t>
      </w:r>
      <w:r w:rsidR="00C23AA8">
        <w:rPr>
          <w:rFonts w:ascii="Times New Roman" w:hAnsi="Times New Roman" w:cs="Times New Roman"/>
          <w:i/>
        </w:rPr>
        <w:t xml:space="preserve"> represents n</w:t>
      </w:r>
      <w:r w:rsidR="00C23AA8" w:rsidRPr="00C23AA8">
        <w:rPr>
          <w:rFonts w:ascii="Times New Roman" w:hAnsi="Times New Roman" w:cs="Times New Roman"/>
          <w:i/>
        </w:rPr>
        <w:t>egative</w:t>
      </w:r>
      <w:r w:rsidR="00C23AA8">
        <w:rPr>
          <w:rFonts w:ascii="Times New Roman" w:hAnsi="Times New Roman" w:cs="Times New Roman"/>
          <w:i/>
        </w:rPr>
        <w:t xml:space="preserve"> effect </w:t>
      </w:r>
      <w:r w:rsidR="00C23AA8" w:rsidRPr="00B67528">
        <w:rPr>
          <w:rFonts w:ascii="Times New Roman" w:hAnsi="Times New Roman" w:cs="Times New Roman"/>
          <w:i/>
        </w:rPr>
        <w:t>to the life expectancy gap</w:t>
      </w:r>
      <w:r w:rsidR="00AC34DD">
        <w:rPr>
          <w:rFonts w:ascii="Times New Roman" w:hAnsi="Times New Roman" w:cs="Times New Roman"/>
          <w:i/>
        </w:rPr>
        <w:t>; Value of ‘0.0000’ r</w:t>
      </w:r>
      <w:r w:rsidR="00AC34DD" w:rsidRPr="00AC34DD">
        <w:rPr>
          <w:rFonts w:ascii="Times New Roman" w:hAnsi="Times New Roman" w:cs="Times New Roman"/>
          <w:i/>
        </w:rPr>
        <w:t>epresents</w:t>
      </w:r>
      <w:r w:rsidR="00AC34DD">
        <w:rPr>
          <w:rFonts w:ascii="Times New Roman" w:hAnsi="Times New Roman" w:cs="Times New Roman"/>
          <w:i/>
        </w:rPr>
        <w:t xml:space="preserve"> |effect</w:t>
      </w:r>
      <w:r w:rsidR="00AC34DD">
        <w:rPr>
          <w:rFonts w:ascii="Times New Roman" w:hAnsi="Times New Roman" w:cs="Times New Roman" w:hint="eastAsia"/>
          <w:i/>
        </w:rPr>
        <w:t>|</w:t>
      </w:r>
      <w:r w:rsidR="00AC34DD">
        <w:rPr>
          <w:rFonts w:ascii="Times New Roman" w:hAnsi="Times New Roman" w:cs="Times New Roman"/>
          <w:i/>
        </w:rPr>
        <w:t>&lt;0.0001.</w:t>
      </w:r>
    </w:p>
    <w:p w:rsidR="00C806F2" w:rsidRPr="00C23AA8" w:rsidRDefault="00C806F2" w:rsidP="0054111A">
      <w:pPr>
        <w:rPr>
          <w:rFonts w:ascii="Times New Roman" w:hAnsi="Times New Roman" w:cs="Times New Roman"/>
          <w:i/>
        </w:rPr>
      </w:pPr>
      <w:r w:rsidRPr="00C23AA8">
        <w:rPr>
          <w:rFonts w:ascii="Times New Roman" w:hAnsi="Times New Roman" w:cs="Times New Roman"/>
          <w:i/>
        </w:rPr>
        <w:br w:type="page"/>
      </w:r>
    </w:p>
    <w:p w:rsidR="00C806F2" w:rsidRPr="00B34386" w:rsidRDefault="00205E34" w:rsidP="00B34386">
      <w:pPr>
        <w:adjustRightInd w:val="0"/>
        <w:snapToGrid w:val="0"/>
        <w:spacing w:beforeLines="50" w:before="156" w:afterLines="50" w:after="156"/>
        <w:rPr>
          <w:rFonts w:ascii="Times New Roman" w:hAnsi="Times New Roman" w:cs="Times New Roman"/>
          <w:b/>
        </w:rPr>
      </w:pPr>
      <w:r w:rsidRPr="00B34386">
        <w:rPr>
          <w:rFonts w:ascii="Times New Roman" w:hAnsi="Times New Roman" w:cs="Times New Roman"/>
          <w:b/>
        </w:rPr>
        <w:lastRenderedPageBreak/>
        <w:t>Table S</w:t>
      </w:r>
      <w:r w:rsidR="00A14AB6">
        <w:rPr>
          <w:rFonts w:ascii="Times New Roman" w:hAnsi="Times New Roman" w:cs="Times New Roman"/>
          <w:b/>
        </w:rPr>
        <w:t>4b</w:t>
      </w:r>
      <w:r w:rsidRPr="00B34386">
        <w:rPr>
          <w:rFonts w:ascii="Times New Roman" w:hAnsi="Times New Roman" w:cs="Times New Roman"/>
          <w:b/>
        </w:rPr>
        <w:t xml:space="preserve"> </w:t>
      </w:r>
      <w:r w:rsidRPr="00B34386">
        <w:rPr>
          <w:rFonts w:ascii="Times New Roman" w:hAnsi="Times New Roman" w:cs="Times New Roman"/>
        </w:rPr>
        <w:t>Number of years contributed by ages and causes to the life expectancy gap, China, 2002-2007</w:t>
      </w: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991"/>
        <w:gridCol w:w="757"/>
        <w:gridCol w:w="757"/>
        <w:gridCol w:w="757"/>
        <w:gridCol w:w="757"/>
        <w:gridCol w:w="757"/>
        <w:gridCol w:w="757"/>
        <w:gridCol w:w="757"/>
        <w:gridCol w:w="758"/>
        <w:gridCol w:w="758"/>
        <w:gridCol w:w="758"/>
        <w:gridCol w:w="758"/>
        <w:gridCol w:w="758"/>
        <w:gridCol w:w="758"/>
        <w:gridCol w:w="758"/>
        <w:gridCol w:w="758"/>
        <w:gridCol w:w="758"/>
        <w:gridCol w:w="758"/>
        <w:gridCol w:w="758"/>
        <w:gridCol w:w="770"/>
      </w:tblGrid>
      <w:tr w:rsidR="00C806F2" w:rsidRPr="00B67528" w:rsidTr="00843726">
        <w:trPr>
          <w:trHeight w:val="280"/>
        </w:trPr>
        <w:tc>
          <w:tcPr>
            <w:tcW w:w="322" w:type="pct"/>
            <w:vMerge w:val="restart"/>
            <w:tcBorders>
              <w:top w:val="single" w:sz="12" w:space="0" w:color="auto"/>
              <w:bottom w:val="nil"/>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Causes of death</w:t>
            </w:r>
          </w:p>
        </w:tc>
        <w:tc>
          <w:tcPr>
            <w:tcW w:w="4678" w:type="pct"/>
            <w:gridSpan w:val="19"/>
            <w:tcBorders>
              <w:top w:val="single" w:sz="12"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Age groups</w:t>
            </w:r>
          </w:p>
        </w:tc>
      </w:tr>
      <w:tr w:rsidR="00B67528" w:rsidRPr="00B67528" w:rsidTr="00843726">
        <w:trPr>
          <w:trHeight w:val="280"/>
        </w:trPr>
        <w:tc>
          <w:tcPr>
            <w:tcW w:w="322" w:type="pct"/>
            <w:vMerge/>
            <w:tcBorders>
              <w:top w:val="nil"/>
              <w:bottom w:val="single" w:sz="8" w:space="0" w:color="auto"/>
            </w:tcBorders>
            <w:vAlign w:val="center"/>
            <w:hideMark/>
          </w:tcPr>
          <w:p w:rsidR="00C806F2" w:rsidRPr="00B67528" w:rsidRDefault="00C806F2" w:rsidP="00C806F2">
            <w:pPr>
              <w:widowControl/>
              <w:jc w:val="left"/>
              <w:rPr>
                <w:rFonts w:ascii="Times New Roman" w:eastAsia="宋体" w:hAnsi="Times New Roman" w:cs="Times New Roman"/>
                <w:color w:val="000000"/>
                <w:kern w:val="0"/>
                <w:sz w:val="18"/>
                <w:szCs w:val="15"/>
              </w:rPr>
            </w:pP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&lt;1</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1-4</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5-9</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10-14</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15-19</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20-24</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25-29</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30-34</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35-39</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40-44</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45-49</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50-54</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55-59</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60-64</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65-69</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70-74</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75-79</w:t>
            </w:r>
          </w:p>
        </w:tc>
        <w:tc>
          <w:tcPr>
            <w:tcW w:w="246"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80-84</w:t>
            </w:r>
          </w:p>
        </w:tc>
        <w:tc>
          <w:tcPr>
            <w:tcW w:w="250" w:type="pct"/>
            <w:tcBorders>
              <w:top w:val="single" w:sz="8" w:space="0" w:color="auto"/>
              <w:bottom w:val="single" w:sz="8" w:space="0" w:color="auto"/>
            </w:tcBorders>
            <w:shd w:val="clear" w:color="auto" w:fill="auto"/>
            <w:noWrap/>
            <w:vAlign w:val="center"/>
            <w:hideMark/>
          </w:tcPr>
          <w:p w:rsidR="00C806F2" w:rsidRPr="00E8739B" w:rsidRDefault="00C806F2" w:rsidP="00C806F2">
            <w:pPr>
              <w:widowControl/>
              <w:jc w:val="center"/>
              <w:rPr>
                <w:rFonts w:ascii="Times New Roman" w:eastAsia="宋体" w:hAnsi="Times New Roman" w:cs="Times New Roman"/>
                <w:color w:val="000000"/>
                <w:kern w:val="0"/>
                <w:sz w:val="18"/>
                <w:szCs w:val="18"/>
              </w:rPr>
            </w:pPr>
            <w:r w:rsidRPr="00E8739B">
              <w:rPr>
                <w:rFonts w:ascii="Times New Roman" w:eastAsia="宋体" w:hAnsi="Times New Roman" w:cs="Times New Roman"/>
                <w:color w:val="000000"/>
                <w:kern w:val="0"/>
                <w:sz w:val="18"/>
                <w:szCs w:val="18"/>
              </w:rPr>
              <w:t>85+</w:t>
            </w:r>
          </w:p>
        </w:tc>
      </w:tr>
      <w:tr w:rsidR="00BD47E2" w:rsidRPr="00B67528" w:rsidTr="00076AA4">
        <w:trPr>
          <w:trHeight w:val="280"/>
        </w:trPr>
        <w:tc>
          <w:tcPr>
            <w:tcW w:w="322" w:type="pct"/>
            <w:tcBorders>
              <w:top w:val="single" w:sz="8" w:space="0" w:color="auto"/>
            </w:tcBorders>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w:t>
            </w:r>
          </w:p>
        </w:tc>
        <w:tc>
          <w:tcPr>
            <w:tcW w:w="246" w:type="pct"/>
            <w:tcBorders>
              <w:top w:val="single" w:sz="8" w:space="0" w:color="auto"/>
            </w:tcBorders>
            <w:shd w:val="clear" w:color="auto" w:fill="auto"/>
            <w:noWrap/>
            <w:vAlign w:val="bottom"/>
            <w:hideMark/>
          </w:tcPr>
          <w:p w:rsidR="00BD47E2" w:rsidRDefault="00BD47E2" w:rsidP="00BD47E2">
            <w:pPr>
              <w:widowControl/>
              <w:jc w:val="center"/>
              <w:rPr>
                <w:rFonts w:ascii="Times New Roman" w:hAnsi="Times New Roman" w:cs="Times New Roman"/>
                <w:sz w:val="16"/>
                <w:szCs w:val="16"/>
              </w:rPr>
            </w:pPr>
            <w:r>
              <w:rPr>
                <w:rFonts w:ascii="Times New Roman" w:hAnsi="Times New Roman" w:cs="Times New Roman"/>
                <w:sz w:val="16"/>
                <w:szCs w:val="16"/>
              </w:rPr>
              <w:t>0.4615</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0.0528</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0.0113</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0.0055</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0.0044</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0.0064</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0.0076</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0.0073</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0.0068</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0.0053</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0.0069</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0.0072</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0.0089</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0.0136</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0.0133</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0.0144</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0.0143</w:t>
            </w:r>
          </w:p>
        </w:tc>
        <w:tc>
          <w:tcPr>
            <w:tcW w:w="246"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0.0100</w:t>
            </w:r>
          </w:p>
        </w:tc>
        <w:tc>
          <w:tcPr>
            <w:tcW w:w="250" w:type="pct"/>
            <w:tcBorders>
              <w:top w:val="single" w:sz="8" w:space="0" w:color="auto"/>
            </w:tcBorders>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0.0063</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0.0032</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0.0014</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0.2162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0.0491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0.0092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0.0058</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0.0041</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0.2305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0.0097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0.0006</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0.1258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0.0178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0.0163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0.0142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0.0225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0.0334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0.0439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0.0574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0.0513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0.0934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0.0803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0.1073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0.2303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0.2243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0.2673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0.2830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0.1536</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0.0735</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0.0097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0.0155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0.0228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0.0227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0.0387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0.0294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0.0311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0.0584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0.0428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0.0395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0.0087</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0.0035</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0.0126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0.0093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0.0117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0.0160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0.0131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0.0298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0.0238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0.0372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0.0951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0.0930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0.1065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0.1222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0.0599</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0.0195</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0.0099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0.0154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0.0254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0.0546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0.0701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0.1043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0.1138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0.0772</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0.0469</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0.0082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0.0019</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B5</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0.0032</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0.0019</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50"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-0.0009</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0.0082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0.0069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0.0032</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0.0017</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r>
      <w:tr w:rsidR="00BD47E2" w:rsidRPr="00B67528" w:rsidTr="007147A5">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0.1013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0.0144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0.0255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0.0409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0.0383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0.0323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0.0124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0.0253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0.0306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0.0292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0.0190</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0.0075</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-0.0010</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50"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-0.0006</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0.0127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0.0152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0.0132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0.0058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0.0108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0.0076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0.0083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0.0118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0.0080</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0.0020</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-0.0027</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-0.0025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0.0007</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0.0211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0.0346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0.0255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0.0202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0.0040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0.0000</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-0.0038</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-0.0018</w:t>
            </w:r>
          </w:p>
        </w:tc>
        <w:tc>
          <w:tcPr>
            <w:tcW w:w="246"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0.0002</w:t>
            </w:r>
          </w:p>
        </w:tc>
        <w:tc>
          <w:tcPr>
            <w:tcW w:w="250" w:type="pct"/>
            <w:shd w:val="clear" w:color="D9D9D9" w:fill="BFBFBF"/>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-0.0010</w:t>
            </w:r>
          </w:p>
        </w:tc>
      </w:tr>
      <w:tr w:rsidR="00BD47E2" w:rsidRPr="00B67528" w:rsidTr="00076AA4">
        <w:trPr>
          <w:trHeight w:val="280"/>
        </w:trPr>
        <w:tc>
          <w:tcPr>
            <w:tcW w:w="322"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TE</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0.6128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0.1252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0.0674</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0.0540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0.0310</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0.0542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0.0716</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0.0805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0.0832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0.0557</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0.1078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0.0865</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0.1149</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0.2482</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0.2403</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0.2858</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0.3021</w:t>
            </w:r>
          </w:p>
        </w:tc>
        <w:tc>
          <w:tcPr>
            <w:tcW w:w="246"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0.1653</w:t>
            </w:r>
          </w:p>
        </w:tc>
        <w:tc>
          <w:tcPr>
            <w:tcW w:w="250" w:type="pct"/>
            <w:shd w:val="clear" w:color="auto" w:fill="auto"/>
            <w:noWrap/>
            <w:vAlign w:val="bottom"/>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0.0791</w:t>
            </w:r>
          </w:p>
        </w:tc>
      </w:tr>
    </w:tbl>
    <w:p w:rsidR="00C23AA8" w:rsidRPr="00C23AA8" w:rsidRDefault="00C23AA8" w:rsidP="0054111A">
      <w:pPr>
        <w:rPr>
          <w:rFonts w:ascii="Times New Roman" w:hAnsi="Times New Roman" w:cs="Times New Roman"/>
          <w:i/>
        </w:rPr>
      </w:pPr>
      <w:r w:rsidRPr="00E310C7">
        <w:rPr>
          <w:rFonts w:ascii="Times New Roman" w:hAnsi="Times New Roman" w:cs="Times New Roman"/>
          <w:i/>
        </w:rPr>
        <w:t xml:space="preserve">Note: </w:t>
      </w:r>
      <w:r w:rsidRPr="00B67528">
        <w:rPr>
          <w:rFonts w:ascii="Times New Roman" w:hAnsi="Times New Roman" w:cs="Times New Roman"/>
          <w:i/>
        </w:rPr>
        <w:t>TE, total effect to the life expectancy gap.</w:t>
      </w:r>
      <w:r w:rsidR="0054111A">
        <w:rPr>
          <w:rFonts w:ascii="Times New Roman" w:hAnsi="Times New Roman" w:cs="Times New Roman" w:hint="eastAsia"/>
          <w:i/>
        </w:rPr>
        <w:t xml:space="preserve"> </w:t>
      </w:r>
      <w:r w:rsidRPr="00C23AA8">
        <w:rPr>
          <w:rFonts w:ascii="Times New Roman" w:hAnsi="Times New Roman" w:cs="Times New Roman"/>
          <w:i/>
        </w:rPr>
        <w:t>Gray shadow</w:t>
      </w:r>
      <w:r>
        <w:rPr>
          <w:rFonts w:ascii="Times New Roman" w:hAnsi="Times New Roman" w:cs="Times New Roman"/>
          <w:i/>
        </w:rPr>
        <w:t xml:space="preserve"> represents n</w:t>
      </w:r>
      <w:r w:rsidRPr="00C23AA8">
        <w:rPr>
          <w:rFonts w:ascii="Times New Roman" w:hAnsi="Times New Roman" w:cs="Times New Roman"/>
          <w:i/>
        </w:rPr>
        <w:t>egative</w:t>
      </w:r>
      <w:r>
        <w:rPr>
          <w:rFonts w:ascii="Times New Roman" w:hAnsi="Times New Roman" w:cs="Times New Roman"/>
          <w:i/>
        </w:rPr>
        <w:t xml:space="preserve"> effect </w:t>
      </w:r>
      <w:r w:rsidRPr="00B67528">
        <w:rPr>
          <w:rFonts w:ascii="Times New Roman" w:hAnsi="Times New Roman" w:cs="Times New Roman"/>
          <w:i/>
        </w:rPr>
        <w:t>to the life expectancy gap</w:t>
      </w:r>
      <w:r w:rsidR="00AC34DD">
        <w:rPr>
          <w:rFonts w:ascii="Times New Roman" w:hAnsi="Times New Roman" w:cs="Times New Roman"/>
          <w:i/>
        </w:rPr>
        <w:t>; Value of ‘0.0000’ r</w:t>
      </w:r>
      <w:r w:rsidR="00AC34DD" w:rsidRPr="00AC34DD">
        <w:rPr>
          <w:rFonts w:ascii="Times New Roman" w:hAnsi="Times New Roman" w:cs="Times New Roman"/>
          <w:i/>
        </w:rPr>
        <w:t>epresents</w:t>
      </w:r>
      <w:r w:rsidR="00AC34DD">
        <w:rPr>
          <w:rFonts w:ascii="Times New Roman" w:hAnsi="Times New Roman" w:cs="Times New Roman"/>
          <w:i/>
        </w:rPr>
        <w:t xml:space="preserve"> |effect</w:t>
      </w:r>
      <w:r w:rsidR="00AC34DD">
        <w:rPr>
          <w:rFonts w:ascii="Times New Roman" w:hAnsi="Times New Roman" w:cs="Times New Roman" w:hint="eastAsia"/>
          <w:i/>
        </w:rPr>
        <w:t>|</w:t>
      </w:r>
      <w:r w:rsidR="00AC34DD">
        <w:rPr>
          <w:rFonts w:ascii="Times New Roman" w:hAnsi="Times New Roman" w:cs="Times New Roman"/>
          <w:i/>
        </w:rPr>
        <w:t>&lt;0.0001.</w:t>
      </w:r>
      <w:r w:rsidRPr="00C23AA8">
        <w:rPr>
          <w:rFonts w:ascii="Times New Roman" w:hAnsi="Times New Roman" w:cs="Times New Roman"/>
          <w:i/>
        </w:rPr>
        <w:br w:type="page"/>
      </w:r>
    </w:p>
    <w:p w:rsidR="00C806F2" w:rsidRPr="00B34386" w:rsidRDefault="00205E34" w:rsidP="00B34386">
      <w:pPr>
        <w:adjustRightInd w:val="0"/>
        <w:snapToGrid w:val="0"/>
        <w:spacing w:beforeLines="50" w:before="156" w:afterLines="50" w:after="156"/>
        <w:rPr>
          <w:rFonts w:ascii="Times New Roman" w:hAnsi="Times New Roman" w:cs="Times New Roman"/>
          <w:b/>
        </w:rPr>
      </w:pPr>
      <w:r w:rsidRPr="00B34386">
        <w:rPr>
          <w:rFonts w:ascii="Times New Roman" w:hAnsi="Times New Roman" w:cs="Times New Roman"/>
          <w:b/>
        </w:rPr>
        <w:lastRenderedPageBreak/>
        <w:t>Table S</w:t>
      </w:r>
      <w:r w:rsidR="003101BC">
        <w:rPr>
          <w:rFonts w:ascii="Times New Roman" w:hAnsi="Times New Roman" w:cs="Times New Roman"/>
          <w:b/>
        </w:rPr>
        <w:t>4</w:t>
      </w:r>
      <w:r w:rsidR="00A14AB6">
        <w:rPr>
          <w:rFonts w:ascii="Times New Roman" w:hAnsi="Times New Roman" w:cs="Times New Roman"/>
          <w:b/>
        </w:rPr>
        <w:t>c</w:t>
      </w:r>
      <w:r w:rsidRPr="00B34386">
        <w:rPr>
          <w:rFonts w:ascii="Times New Roman" w:hAnsi="Times New Roman" w:cs="Times New Roman"/>
          <w:b/>
        </w:rPr>
        <w:t xml:space="preserve"> </w:t>
      </w:r>
      <w:r w:rsidRPr="00B34386">
        <w:rPr>
          <w:rFonts w:ascii="Times New Roman" w:hAnsi="Times New Roman" w:cs="Times New Roman"/>
        </w:rPr>
        <w:t>Number of years contributed by ages and causes to the life expectancy gap, China, 2007-2016</w:t>
      </w: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1134"/>
        <w:gridCol w:w="752"/>
        <w:gridCol w:w="752"/>
        <w:gridCol w:w="752"/>
        <w:gridCol w:w="752"/>
        <w:gridCol w:w="752"/>
        <w:gridCol w:w="752"/>
        <w:gridCol w:w="752"/>
        <w:gridCol w:w="751"/>
        <w:gridCol w:w="751"/>
        <w:gridCol w:w="751"/>
        <w:gridCol w:w="751"/>
        <w:gridCol w:w="751"/>
        <w:gridCol w:w="751"/>
        <w:gridCol w:w="751"/>
        <w:gridCol w:w="751"/>
        <w:gridCol w:w="751"/>
        <w:gridCol w:w="751"/>
        <w:gridCol w:w="751"/>
        <w:gridCol w:w="739"/>
      </w:tblGrid>
      <w:tr w:rsidR="00C806F2" w:rsidRPr="00C806F2" w:rsidTr="006A23A6">
        <w:trPr>
          <w:trHeight w:val="280"/>
        </w:trPr>
        <w:tc>
          <w:tcPr>
            <w:tcW w:w="368" w:type="pct"/>
            <w:vMerge w:val="restart"/>
            <w:tcBorders>
              <w:top w:val="single" w:sz="12" w:space="0" w:color="auto"/>
              <w:bottom w:val="nil"/>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Causes of death</w:t>
            </w:r>
          </w:p>
        </w:tc>
        <w:tc>
          <w:tcPr>
            <w:tcW w:w="4632" w:type="pct"/>
            <w:gridSpan w:val="19"/>
            <w:tcBorders>
              <w:top w:val="single" w:sz="12"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Age groups</w:t>
            </w:r>
          </w:p>
        </w:tc>
      </w:tr>
      <w:tr w:rsidR="006A23A6" w:rsidRPr="00C806F2" w:rsidTr="00BD47E2">
        <w:trPr>
          <w:trHeight w:val="280"/>
        </w:trPr>
        <w:tc>
          <w:tcPr>
            <w:tcW w:w="368" w:type="pct"/>
            <w:vMerge/>
            <w:tcBorders>
              <w:top w:val="nil"/>
              <w:bottom w:val="single" w:sz="8" w:space="0" w:color="auto"/>
            </w:tcBorders>
            <w:vAlign w:val="center"/>
            <w:hideMark/>
          </w:tcPr>
          <w:p w:rsidR="00C806F2" w:rsidRPr="00B67528" w:rsidRDefault="00C806F2" w:rsidP="00C806F2">
            <w:pPr>
              <w:widowControl/>
              <w:jc w:val="left"/>
              <w:rPr>
                <w:rFonts w:ascii="Times New Roman" w:eastAsia="宋体" w:hAnsi="Times New Roman" w:cs="Times New Roman"/>
                <w:color w:val="000000"/>
                <w:kern w:val="0"/>
                <w:sz w:val="18"/>
                <w:szCs w:val="15"/>
              </w:rPr>
            </w:pP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&lt;1</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1-4</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5-9</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10-14</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15-19</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20-24</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25-29</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30-34</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35-39</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40-44</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45-49</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50-54</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55-59</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60-64</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65-69</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70-74</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75-79</w:t>
            </w:r>
          </w:p>
        </w:tc>
        <w:tc>
          <w:tcPr>
            <w:tcW w:w="244"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80-84</w:t>
            </w:r>
          </w:p>
        </w:tc>
        <w:tc>
          <w:tcPr>
            <w:tcW w:w="240" w:type="pct"/>
            <w:tcBorders>
              <w:top w:val="single" w:sz="8" w:space="0" w:color="auto"/>
              <w:bottom w:val="single" w:sz="8" w:space="0" w:color="auto"/>
            </w:tcBorders>
            <w:shd w:val="clear" w:color="auto" w:fill="auto"/>
            <w:noWrap/>
            <w:vAlign w:val="center"/>
            <w:hideMark/>
          </w:tcPr>
          <w:p w:rsidR="00C806F2" w:rsidRPr="00B67528" w:rsidRDefault="00C806F2" w:rsidP="00C806F2">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85+</w:t>
            </w:r>
          </w:p>
        </w:tc>
      </w:tr>
      <w:tr w:rsidR="00BD47E2" w:rsidRPr="00C806F2" w:rsidTr="00BD47E2">
        <w:trPr>
          <w:trHeight w:val="280"/>
        </w:trPr>
        <w:tc>
          <w:tcPr>
            <w:tcW w:w="368" w:type="pct"/>
            <w:tcBorders>
              <w:top w:val="single" w:sz="8" w:space="0" w:color="auto"/>
            </w:tcBorders>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w:t>
            </w:r>
          </w:p>
        </w:tc>
        <w:tc>
          <w:tcPr>
            <w:tcW w:w="244" w:type="pct"/>
            <w:tcBorders>
              <w:top w:val="single" w:sz="8" w:space="0" w:color="auto"/>
            </w:tcBorders>
            <w:shd w:val="clear" w:color="auto" w:fill="auto"/>
            <w:noWrap/>
            <w:vAlign w:val="center"/>
            <w:hideMark/>
          </w:tcPr>
          <w:p w:rsidR="00BD47E2" w:rsidRDefault="00BD47E2" w:rsidP="00BD47E2">
            <w:pPr>
              <w:widowControl/>
              <w:jc w:val="center"/>
              <w:rPr>
                <w:rFonts w:ascii="Times New Roman" w:hAnsi="Times New Roman" w:cs="Times New Roman"/>
                <w:sz w:val="16"/>
                <w:szCs w:val="16"/>
              </w:rPr>
            </w:pPr>
            <w:r>
              <w:rPr>
                <w:rFonts w:ascii="Times New Roman" w:hAnsi="Times New Roman" w:cs="Times New Roman"/>
                <w:sz w:val="16"/>
                <w:szCs w:val="16"/>
              </w:rPr>
              <w:t xml:space="preserve">0.4279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0.0345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0.0066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0.0091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0.0084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0.0102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0.0127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0.0111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0.0103 </w:t>
            </w:r>
          </w:p>
        </w:tc>
        <w:tc>
          <w:tcPr>
            <w:tcW w:w="240"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0.0103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A1</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A2</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0.1331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0.0083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A3</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A4</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A5</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0.2877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A6</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A7</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0.1152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0.0317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0.0184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0.0253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0.0556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0.0952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0.0747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0.1380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0.1857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0.1385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0.2176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0.2943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0.2314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0.1688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0.1147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0.0217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0.0378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0.0334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0.0554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0.0659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0.0361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0.0531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0.0611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0.0365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0.0145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0.0072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B2</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0.0135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0.0173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0.0225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0.0736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0.0561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0.0930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0.1251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0.0972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0.0719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0.0439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B3</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0.0333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0.0553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0.0891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0.0858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0.0747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0.0593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B4</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B5</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0.0033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B6</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0.0786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B7</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B8</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B9</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B10</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0.0962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0.0160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0.0321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0.0186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0.0448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0.0387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0.0489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0.0240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0.0196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r>
      <w:tr w:rsidR="00BD47E2" w:rsidRPr="00C806F2" w:rsidTr="007147A5">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C1</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C2</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C3</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0.0232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0.0192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0.0233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C4</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0.0182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0.0212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r>
      <w:tr w:rsidR="00BD47E2" w:rsidRPr="00C806F2"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TE</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0.5636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0.1177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0.0476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0.0277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0.0482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0.0692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0.0472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0.0678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0.1088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0.1449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0.1691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0.2144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0.1542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0.2378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0.3193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0.2521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0.1862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0.1298 </w:t>
            </w:r>
          </w:p>
        </w:tc>
      </w:tr>
    </w:tbl>
    <w:p w:rsidR="00C23AA8" w:rsidRPr="00C23AA8" w:rsidRDefault="00C23AA8" w:rsidP="0054111A">
      <w:pPr>
        <w:rPr>
          <w:rFonts w:ascii="Times New Roman" w:hAnsi="Times New Roman" w:cs="Times New Roman"/>
          <w:i/>
        </w:rPr>
      </w:pPr>
      <w:r w:rsidRPr="00E310C7">
        <w:rPr>
          <w:rFonts w:ascii="Times New Roman" w:hAnsi="Times New Roman" w:cs="Times New Roman"/>
          <w:i/>
        </w:rPr>
        <w:t xml:space="preserve">Note: </w:t>
      </w:r>
      <w:r w:rsidRPr="00B67528">
        <w:rPr>
          <w:rFonts w:ascii="Times New Roman" w:hAnsi="Times New Roman" w:cs="Times New Roman"/>
          <w:i/>
        </w:rPr>
        <w:t>TE, total effect to the life expectancy gap.</w:t>
      </w:r>
      <w:r w:rsidR="0054111A">
        <w:rPr>
          <w:rFonts w:ascii="Times New Roman" w:hAnsi="Times New Roman" w:cs="Times New Roman" w:hint="eastAsia"/>
          <w:i/>
        </w:rPr>
        <w:t xml:space="preserve"> </w:t>
      </w:r>
      <w:r w:rsidRPr="00C23AA8">
        <w:rPr>
          <w:rFonts w:ascii="Times New Roman" w:hAnsi="Times New Roman" w:cs="Times New Roman"/>
          <w:i/>
        </w:rPr>
        <w:t>Gray shadow</w:t>
      </w:r>
      <w:r>
        <w:rPr>
          <w:rFonts w:ascii="Times New Roman" w:hAnsi="Times New Roman" w:cs="Times New Roman"/>
          <w:i/>
        </w:rPr>
        <w:t xml:space="preserve"> represents n</w:t>
      </w:r>
      <w:r w:rsidRPr="00C23AA8">
        <w:rPr>
          <w:rFonts w:ascii="Times New Roman" w:hAnsi="Times New Roman" w:cs="Times New Roman"/>
          <w:i/>
        </w:rPr>
        <w:t>egative</w:t>
      </w:r>
      <w:r>
        <w:rPr>
          <w:rFonts w:ascii="Times New Roman" w:hAnsi="Times New Roman" w:cs="Times New Roman"/>
          <w:i/>
        </w:rPr>
        <w:t xml:space="preserve"> effect </w:t>
      </w:r>
      <w:r w:rsidRPr="00B67528">
        <w:rPr>
          <w:rFonts w:ascii="Times New Roman" w:hAnsi="Times New Roman" w:cs="Times New Roman"/>
          <w:i/>
        </w:rPr>
        <w:t>to the life expectancy gap</w:t>
      </w:r>
      <w:r w:rsidR="00AC34DD">
        <w:rPr>
          <w:rFonts w:ascii="Times New Roman" w:hAnsi="Times New Roman" w:cs="Times New Roman"/>
          <w:i/>
        </w:rPr>
        <w:t>; Value of ‘0.0000’ r</w:t>
      </w:r>
      <w:r w:rsidR="00AC34DD" w:rsidRPr="00AC34DD">
        <w:rPr>
          <w:rFonts w:ascii="Times New Roman" w:hAnsi="Times New Roman" w:cs="Times New Roman"/>
          <w:i/>
        </w:rPr>
        <w:t>epresents</w:t>
      </w:r>
      <w:r w:rsidR="00AC34DD">
        <w:rPr>
          <w:rFonts w:ascii="Times New Roman" w:hAnsi="Times New Roman" w:cs="Times New Roman"/>
          <w:i/>
        </w:rPr>
        <w:t xml:space="preserve"> |effect</w:t>
      </w:r>
      <w:r w:rsidR="00AC34DD">
        <w:rPr>
          <w:rFonts w:ascii="Times New Roman" w:hAnsi="Times New Roman" w:cs="Times New Roman" w:hint="eastAsia"/>
          <w:i/>
        </w:rPr>
        <w:t>|</w:t>
      </w:r>
      <w:r w:rsidR="00AC34DD">
        <w:rPr>
          <w:rFonts w:ascii="Times New Roman" w:hAnsi="Times New Roman" w:cs="Times New Roman"/>
          <w:i/>
        </w:rPr>
        <w:t>&lt;0.0001</w:t>
      </w:r>
      <w:r>
        <w:rPr>
          <w:rFonts w:ascii="Times New Roman" w:hAnsi="Times New Roman" w:cs="Times New Roman"/>
          <w:i/>
        </w:rPr>
        <w:t>.</w:t>
      </w:r>
      <w:r w:rsidRPr="00C23AA8">
        <w:rPr>
          <w:rFonts w:ascii="Times New Roman" w:hAnsi="Times New Roman" w:cs="Times New Roman"/>
          <w:i/>
        </w:rPr>
        <w:br w:type="page"/>
      </w:r>
    </w:p>
    <w:p w:rsidR="00B67528" w:rsidRPr="00B67528" w:rsidRDefault="00B67528" w:rsidP="00B67528">
      <w:pPr>
        <w:adjustRightInd w:val="0"/>
        <w:snapToGrid w:val="0"/>
        <w:spacing w:beforeLines="50" w:before="156" w:afterLines="50" w:after="156"/>
        <w:rPr>
          <w:rFonts w:ascii="Times New Roman" w:hAnsi="Times New Roman" w:cs="Times New Roman"/>
          <w:b/>
        </w:rPr>
      </w:pPr>
      <w:r w:rsidRPr="00B34386">
        <w:rPr>
          <w:rFonts w:ascii="Times New Roman" w:hAnsi="Times New Roman" w:cs="Times New Roman"/>
          <w:b/>
        </w:rPr>
        <w:lastRenderedPageBreak/>
        <w:t>Table S</w:t>
      </w:r>
      <w:r w:rsidR="003101BC">
        <w:rPr>
          <w:rFonts w:ascii="Times New Roman" w:hAnsi="Times New Roman" w:cs="Times New Roman"/>
          <w:b/>
        </w:rPr>
        <w:t>5</w:t>
      </w:r>
      <w:r>
        <w:rPr>
          <w:rFonts w:ascii="Times New Roman" w:hAnsi="Times New Roman" w:cs="Times New Roman"/>
          <w:b/>
        </w:rPr>
        <w:t>a</w:t>
      </w:r>
      <w:r w:rsidRPr="00B34386">
        <w:rPr>
          <w:rFonts w:ascii="Times New Roman" w:hAnsi="Times New Roman" w:cs="Times New Roman"/>
          <w:b/>
        </w:rPr>
        <w:t xml:space="preserve"> </w:t>
      </w:r>
      <w:r w:rsidRPr="00B34386">
        <w:rPr>
          <w:rFonts w:ascii="Times New Roman" w:hAnsi="Times New Roman" w:cs="Times New Roman"/>
        </w:rPr>
        <w:t>Number of years contributed by ages and causes to the life expectancy gap</w:t>
      </w:r>
      <w:r>
        <w:rPr>
          <w:rFonts w:ascii="Times New Roman" w:hAnsi="Times New Roman" w:cs="Times New Roman"/>
        </w:rPr>
        <w:t xml:space="preserve"> for male, </w:t>
      </w:r>
      <w:r w:rsidRPr="00B34386">
        <w:rPr>
          <w:rFonts w:ascii="Times New Roman" w:hAnsi="Times New Roman" w:cs="Times New Roman"/>
        </w:rPr>
        <w:t xml:space="preserve">China, </w:t>
      </w:r>
      <w:r>
        <w:rPr>
          <w:rFonts w:ascii="Times New Roman" w:hAnsi="Times New Roman" w:cs="Times New Roman"/>
        </w:rPr>
        <w:t>1990-2002.</w:t>
      </w: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1134"/>
        <w:gridCol w:w="752"/>
        <w:gridCol w:w="752"/>
        <w:gridCol w:w="752"/>
        <w:gridCol w:w="752"/>
        <w:gridCol w:w="752"/>
        <w:gridCol w:w="752"/>
        <w:gridCol w:w="752"/>
        <w:gridCol w:w="751"/>
        <w:gridCol w:w="751"/>
        <w:gridCol w:w="751"/>
        <w:gridCol w:w="751"/>
        <w:gridCol w:w="751"/>
        <w:gridCol w:w="751"/>
        <w:gridCol w:w="751"/>
        <w:gridCol w:w="751"/>
        <w:gridCol w:w="751"/>
        <w:gridCol w:w="751"/>
        <w:gridCol w:w="751"/>
        <w:gridCol w:w="739"/>
      </w:tblGrid>
      <w:tr w:rsidR="00B67528" w:rsidRPr="00B67528" w:rsidTr="006A23A6">
        <w:trPr>
          <w:trHeight w:val="280"/>
        </w:trPr>
        <w:tc>
          <w:tcPr>
            <w:tcW w:w="368" w:type="pct"/>
            <w:vMerge w:val="restart"/>
            <w:tcBorders>
              <w:top w:val="single" w:sz="12" w:space="0" w:color="auto"/>
              <w:bottom w:val="nil"/>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Causes of death</w:t>
            </w:r>
          </w:p>
        </w:tc>
        <w:tc>
          <w:tcPr>
            <w:tcW w:w="4632" w:type="pct"/>
            <w:gridSpan w:val="19"/>
            <w:tcBorders>
              <w:top w:val="single" w:sz="12"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Age groups</w:t>
            </w:r>
          </w:p>
        </w:tc>
      </w:tr>
      <w:tr w:rsidR="00B67528" w:rsidRPr="00B67528" w:rsidTr="00BD47E2">
        <w:trPr>
          <w:trHeight w:val="280"/>
        </w:trPr>
        <w:tc>
          <w:tcPr>
            <w:tcW w:w="368" w:type="pct"/>
            <w:vMerge/>
            <w:tcBorders>
              <w:top w:val="nil"/>
              <w:bottom w:val="single" w:sz="8" w:space="0" w:color="auto"/>
            </w:tcBorders>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&lt;1</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1-4</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5-9</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10-14</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15-19</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20-24</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25-29</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30-34</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35-39</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40-44</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45-49</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50-54</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55-59</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60-64</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65-69</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70-74</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75-79</w:t>
            </w:r>
          </w:p>
        </w:tc>
        <w:tc>
          <w:tcPr>
            <w:tcW w:w="244"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80-84</w:t>
            </w:r>
          </w:p>
        </w:tc>
        <w:tc>
          <w:tcPr>
            <w:tcW w:w="240" w:type="pct"/>
            <w:tcBorders>
              <w:top w:val="single" w:sz="8" w:space="0" w:color="auto"/>
              <w:bottom w:val="single" w:sz="8" w:space="0" w:color="auto"/>
            </w:tcBorders>
            <w:shd w:val="clear" w:color="auto" w:fill="auto"/>
            <w:noWrap/>
            <w:vAlign w:val="center"/>
            <w:hideMark/>
          </w:tcPr>
          <w:p w:rsidR="00B67528" w:rsidRPr="00E8739B" w:rsidRDefault="00B67528" w:rsidP="00B67528">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85+</w:t>
            </w:r>
          </w:p>
        </w:tc>
      </w:tr>
      <w:tr w:rsidR="00BD47E2" w:rsidRPr="00B67528" w:rsidTr="00BD47E2">
        <w:trPr>
          <w:trHeight w:val="280"/>
        </w:trPr>
        <w:tc>
          <w:tcPr>
            <w:tcW w:w="368" w:type="pct"/>
            <w:tcBorders>
              <w:top w:val="single" w:sz="8" w:space="0" w:color="auto"/>
            </w:tcBorders>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w:t>
            </w:r>
          </w:p>
        </w:tc>
        <w:tc>
          <w:tcPr>
            <w:tcW w:w="244" w:type="pct"/>
            <w:tcBorders>
              <w:top w:val="single" w:sz="8" w:space="0" w:color="auto"/>
            </w:tcBorders>
            <w:shd w:val="clear" w:color="auto" w:fill="auto"/>
            <w:noWrap/>
            <w:vAlign w:val="center"/>
            <w:hideMark/>
          </w:tcPr>
          <w:p w:rsidR="00BD47E2" w:rsidRDefault="00BD47E2" w:rsidP="00BD47E2">
            <w:pPr>
              <w:widowControl/>
              <w:jc w:val="center"/>
              <w:rPr>
                <w:rFonts w:ascii="Times New Roman" w:hAnsi="Times New Roman" w:cs="Times New Roman"/>
                <w:sz w:val="16"/>
                <w:szCs w:val="16"/>
              </w:rPr>
            </w:pPr>
            <w:r>
              <w:rPr>
                <w:rFonts w:ascii="Times New Roman" w:hAnsi="Times New Roman" w:cs="Times New Roman"/>
                <w:sz w:val="16"/>
                <w:szCs w:val="16"/>
              </w:rPr>
              <w:t xml:space="preserve">1.1002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0.2059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0.0310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0.0151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0.0123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0.0116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0.0085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0.0105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0.0120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0.0173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0.0226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0.0259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0.0291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0.0317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0.0299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0.0245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0.0141 </w:t>
            </w:r>
          </w:p>
        </w:tc>
        <w:tc>
          <w:tcPr>
            <w:tcW w:w="244"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0" w:type="pct"/>
            <w:tcBorders>
              <w:top w:val="single" w:sz="8" w:space="0" w:color="auto"/>
            </w:tcBorders>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A1</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0.0162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0.0198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0.0225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0.0160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A2</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0.6064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0.1919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0.0240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A3</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A4</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A5</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0.4568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A6</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0.0164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A7</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0.0794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0.0547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0.0247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0.0198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0.0278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0.0150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0.0189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0.0553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0.0990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0.1521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0.1957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0.1852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0.1420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-0.0143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0.0167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0.0174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0.0293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0.0293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0.0138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-0.0123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-0.0280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-0.0146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B2</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0.0264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0.0477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0.0584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0.0566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0.0370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-0.0277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-0.0261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-0.0150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B3</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0.0375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0.0594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0.0934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0.1054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0.1137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0.0585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0.0292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0.0183 </w:t>
            </w:r>
          </w:p>
        </w:tc>
      </w:tr>
      <w:tr w:rsidR="00BD47E2" w:rsidRPr="00B67528" w:rsidTr="007147A5">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B4</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B5</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0.0134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B6</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r>
      <w:tr w:rsidR="00BD47E2" w:rsidRPr="00B67528" w:rsidTr="007147A5">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B7</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B67528" w:rsidTr="007147A5">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B8</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r>
      <w:tr w:rsidR="00BD47E2" w:rsidRPr="00B67528" w:rsidTr="007147A5">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B9</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B67528" w:rsidTr="00BD47E2">
        <w:trPr>
          <w:trHeight w:val="280"/>
        </w:trPr>
        <w:tc>
          <w:tcPr>
            <w:tcW w:w="368" w:type="pct"/>
            <w:shd w:val="clear" w:color="auto" w:fill="auto"/>
            <w:noWrap/>
            <w:vAlign w:val="center"/>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B10</w:t>
            </w:r>
          </w:p>
        </w:tc>
        <w:tc>
          <w:tcPr>
            <w:tcW w:w="244" w:type="pct"/>
            <w:shd w:val="clear" w:color="auto" w:fill="auto"/>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0.0358 </w:t>
            </w:r>
          </w:p>
        </w:tc>
        <w:tc>
          <w:tcPr>
            <w:tcW w:w="244" w:type="pct"/>
            <w:shd w:val="clear" w:color="auto" w:fill="auto"/>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0.0102 </w:t>
            </w:r>
          </w:p>
        </w:tc>
        <w:tc>
          <w:tcPr>
            <w:tcW w:w="244" w:type="pct"/>
            <w:shd w:val="clear" w:color="auto" w:fill="auto"/>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BFBFBF" w:themeFill="background1" w:themeFillShade="BF"/>
            <w:noWrap/>
            <w:vAlign w:val="center"/>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0.0468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0.1386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0.0696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0.0422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0.0417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0.0176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-0.0121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C1</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C2</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0.0173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0.0204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0.0105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C3</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0.0199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-0.0233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-0.0262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-0.0300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-0.0259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-0.0205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-0.0096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C4</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0.0350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0.1146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0.0561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0.0315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0.0233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0.0149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0.0073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BD47E2" w:rsidRPr="00B67528" w:rsidTr="00BD47E2">
        <w:trPr>
          <w:trHeight w:val="280"/>
        </w:trPr>
        <w:tc>
          <w:tcPr>
            <w:tcW w:w="368" w:type="pct"/>
            <w:shd w:val="clear" w:color="auto" w:fill="auto"/>
            <w:noWrap/>
            <w:vAlign w:val="center"/>
            <w:hideMark/>
          </w:tcPr>
          <w:p w:rsidR="00BD47E2" w:rsidRPr="002C7CEC" w:rsidRDefault="00BD47E2" w:rsidP="00BD47E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TE</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1.2263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0.3992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0.1252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0.0771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0.0851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0.0571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0.0243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0.0092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0.0140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0.0276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0.0788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0.1271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0.1852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0.2320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0.2187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0.1685 </w:t>
            </w:r>
          </w:p>
        </w:tc>
        <w:tc>
          <w:tcPr>
            <w:tcW w:w="244" w:type="pct"/>
            <w:shd w:val="clear" w:color="auto" w:fill="auto"/>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0.0117 </w:t>
            </w:r>
          </w:p>
        </w:tc>
        <w:tc>
          <w:tcPr>
            <w:tcW w:w="244"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-0.0089 </w:t>
            </w:r>
          </w:p>
        </w:tc>
        <w:tc>
          <w:tcPr>
            <w:tcW w:w="240" w:type="pct"/>
            <w:shd w:val="clear" w:color="D9D9D9" w:fill="BFBFBF"/>
            <w:noWrap/>
            <w:vAlign w:val="center"/>
            <w:hideMark/>
          </w:tcPr>
          <w:p w:rsidR="00BD47E2" w:rsidRDefault="00BD47E2" w:rsidP="00BD47E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r>
    </w:tbl>
    <w:p w:rsidR="00C23AA8" w:rsidRPr="00C23AA8" w:rsidRDefault="00C23AA8" w:rsidP="0054111A">
      <w:pPr>
        <w:rPr>
          <w:rFonts w:ascii="Times New Roman" w:hAnsi="Times New Roman" w:cs="Times New Roman"/>
          <w:i/>
        </w:rPr>
      </w:pPr>
      <w:r w:rsidRPr="00E310C7">
        <w:rPr>
          <w:rFonts w:ascii="Times New Roman" w:hAnsi="Times New Roman" w:cs="Times New Roman"/>
          <w:i/>
        </w:rPr>
        <w:t xml:space="preserve">Note: </w:t>
      </w:r>
      <w:r w:rsidRPr="00B67528">
        <w:rPr>
          <w:rFonts w:ascii="Times New Roman" w:hAnsi="Times New Roman" w:cs="Times New Roman"/>
          <w:i/>
        </w:rPr>
        <w:t>TE, total effect to the life expectancy gap.</w:t>
      </w:r>
      <w:r w:rsidR="0054111A">
        <w:rPr>
          <w:rFonts w:ascii="Times New Roman" w:hAnsi="Times New Roman" w:cs="Times New Roman" w:hint="eastAsia"/>
          <w:i/>
        </w:rPr>
        <w:t xml:space="preserve"> </w:t>
      </w:r>
      <w:r w:rsidRPr="00C23AA8">
        <w:rPr>
          <w:rFonts w:ascii="Times New Roman" w:hAnsi="Times New Roman" w:cs="Times New Roman"/>
          <w:i/>
        </w:rPr>
        <w:t>Gray shadow</w:t>
      </w:r>
      <w:r>
        <w:rPr>
          <w:rFonts w:ascii="Times New Roman" w:hAnsi="Times New Roman" w:cs="Times New Roman"/>
          <w:i/>
        </w:rPr>
        <w:t xml:space="preserve"> represents n</w:t>
      </w:r>
      <w:r w:rsidRPr="00C23AA8">
        <w:rPr>
          <w:rFonts w:ascii="Times New Roman" w:hAnsi="Times New Roman" w:cs="Times New Roman"/>
          <w:i/>
        </w:rPr>
        <w:t>egative</w:t>
      </w:r>
      <w:r>
        <w:rPr>
          <w:rFonts w:ascii="Times New Roman" w:hAnsi="Times New Roman" w:cs="Times New Roman"/>
          <w:i/>
        </w:rPr>
        <w:t xml:space="preserve"> effect </w:t>
      </w:r>
      <w:r w:rsidRPr="00B67528">
        <w:rPr>
          <w:rFonts w:ascii="Times New Roman" w:hAnsi="Times New Roman" w:cs="Times New Roman"/>
          <w:i/>
        </w:rPr>
        <w:t>to the life expectancy gap</w:t>
      </w:r>
      <w:r w:rsidR="00AC34DD">
        <w:rPr>
          <w:rFonts w:ascii="Times New Roman" w:hAnsi="Times New Roman" w:cs="Times New Roman"/>
          <w:i/>
        </w:rPr>
        <w:t>; Value of ‘0.0000’ r</w:t>
      </w:r>
      <w:r w:rsidR="00AC34DD" w:rsidRPr="00AC34DD">
        <w:rPr>
          <w:rFonts w:ascii="Times New Roman" w:hAnsi="Times New Roman" w:cs="Times New Roman"/>
          <w:i/>
        </w:rPr>
        <w:t>epresents</w:t>
      </w:r>
      <w:r w:rsidR="00AC34DD">
        <w:rPr>
          <w:rFonts w:ascii="Times New Roman" w:hAnsi="Times New Roman" w:cs="Times New Roman"/>
          <w:i/>
        </w:rPr>
        <w:t xml:space="preserve"> |effect</w:t>
      </w:r>
      <w:r w:rsidR="00AC34DD">
        <w:rPr>
          <w:rFonts w:ascii="Times New Roman" w:hAnsi="Times New Roman" w:cs="Times New Roman" w:hint="eastAsia"/>
          <w:i/>
        </w:rPr>
        <w:t>|</w:t>
      </w:r>
      <w:r w:rsidR="00AC34DD">
        <w:rPr>
          <w:rFonts w:ascii="Times New Roman" w:hAnsi="Times New Roman" w:cs="Times New Roman"/>
          <w:i/>
        </w:rPr>
        <w:t>&lt;0.0001.</w:t>
      </w:r>
      <w:r w:rsidRPr="00C23AA8">
        <w:rPr>
          <w:rFonts w:ascii="Times New Roman" w:hAnsi="Times New Roman" w:cs="Times New Roman"/>
          <w:i/>
        </w:rPr>
        <w:br w:type="page"/>
      </w:r>
    </w:p>
    <w:p w:rsidR="00B67528" w:rsidRPr="00B67528" w:rsidRDefault="00B67528" w:rsidP="00B67528">
      <w:pPr>
        <w:adjustRightInd w:val="0"/>
        <w:snapToGrid w:val="0"/>
        <w:spacing w:beforeLines="50" w:before="156" w:afterLines="50" w:after="156"/>
        <w:rPr>
          <w:rFonts w:ascii="Times New Roman" w:hAnsi="Times New Roman" w:cs="Times New Roman"/>
          <w:b/>
        </w:rPr>
      </w:pPr>
      <w:r w:rsidRPr="00B34386">
        <w:rPr>
          <w:rFonts w:ascii="Times New Roman" w:hAnsi="Times New Roman" w:cs="Times New Roman"/>
          <w:b/>
        </w:rPr>
        <w:lastRenderedPageBreak/>
        <w:t>Table S</w:t>
      </w:r>
      <w:r w:rsidR="003101BC">
        <w:rPr>
          <w:rFonts w:ascii="Times New Roman" w:hAnsi="Times New Roman" w:cs="Times New Roman"/>
          <w:b/>
        </w:rPr>
        <w:t>5</w:t>
      </w:r>
      <w:r>
        <w:rPr>
          <w:rFonts w:ascii="Times New Roman" w:hAnsi="Times New Roman" w:cs="Times New Roman"/>
          <w:b/>
        </w:rPr>
        <w:t>b</w:t>
      </w:r>
      <w:r w:rsidRPr="00B34386">
        <w:rPr>
          <w:rFonts w:ascii="Times New Roman" w:hAnsi="Times New Roman" w:cs="Times New Roman"/>
          <w:b/>
        </w:rPr>
        <w:t xml:space="preserve"> </w:t>
      </w:r>
      <w:r w:rsidRPr="00B34386">
        <w:rPr>
          <w:rFonts w:ascii="Times New Roman" w:hAnsi="Times New Roman" w:cs="Times New Roman"/>
        </w:rPr>
        <w:t>Number of years contributed by ages and causes to the life expectancy gap</w:t>
      </w:r>
      <w:r>
        <w:rPr>
          <w:rFonts w:ascii="Times New Roman" w:hAnsi="Times New Roman" w:cs="Times New Roman"/>
        </w:rPr>
        <w:t xml:space="preserve"> for female, </w:t>
      </w:r>
      <w:r w:rsidRPr="00B34386">
        <w:rPr>
          <w:rFonts w:ascii="Times New Roman" w:hAnsi="Times New Roman" w:cs="Times New Roman"/>
        </w:rPr>
        <w:t xml:space="preserve">China, </w:t>
      </w:r>
      <w:r>
        <w:rPr>
          <w:rFonts w:ascii="Times New Roman" w:hAnsi="Times New Roman" w:cs="Times New Roman"/>
        </w:rPr>
        <w:t>1990-2002.</w:t>
      </w: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1134"/>
        <w:gridCol w:w="885"/>
        <w:gridCol w:w="743"/>
        <w:gridCol w:w="746"/>
        <w:gridCol w:w="742"/>
        <w:gridCol w:w="742"/>
        <w:gridCol w:w="745"/>
        <w:gridCol w:w="742"/>
        <w:gridCol w:w="742"/>
        <w:gridCol w:w="745"/>
        <w:gridCol w:w="742"/>
        <w:gridCol w:w="745"/>
        <w:gridCol w:w="742"/>
        <w:gridCol w:w="742"/>
        <w:gridCol w:w="745"/>
        <w:gridCol w:w="742"/>
        <w:gridCol w:w="742"/>
        <w:gridCol w:w="745"/>
        <w:gridCol w:w="742"/>
        <w:gridCol w:w="745"/>
      </w:tblGrid>
      <w:tr w:rsidR="00B67528" w:rsidRPr="00B67528" w:rsidTr="006A23A6">
        <w:trPr>
          <w:trHeight w:val="280"/>
        </w:trPr>
        <w:tc>
          <w:tcPr>
            <w:tcW w:w="368" w:type="pct"/>
            <w:vMerge w:val="restart"/>
            <w:tcBorders>
              <w:top w:val="single" w:sz="12" w:space="0" w:color="auto"/>
              <w:bottom w:val="nil"/>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Causes of death</w:t>
            </w:r>
          </w:p>
        </w:tc>
        <w:tc>
          <w:tcPr>
            <w:tcW w:w="4632" w:type="pct"/>
            <w:gridSpan w:val="19"/>
            <w:tcBorders>
              <w:top w:val="single" w:sz="12"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Age groups</w:t>
            </w:r>
          </w:p>
        </w:tc>
      </w:tr>
      <w:tr w:rsidR="00B67528" w:rsidRPr="00B67528" w:rsidTr="006A23A6">
        <w:trPr>
          <w:trHeight w:val="280"/>
        </w:trPr>
        <w:tc>
          <w:tcPr>
            <w:tcW w:w="368" w:type="pct"/>
            <w:vMerge/>
            <w:tcBorders>
              <w:top w:val="nil"/>
              <w:bottom w:val="single" w:sz="8" w:space="0" w:color="auto"/>
            </w:tcBorders>
            <w:vAlign w:val="center"/>
            <w:hideMark/>
          </w:tcPr>
          <w:p w:rsidR="00B67528" w:rsidRPr="00B67528" w:rsidRDefault="00B67528" w:rsidP="00B67528">
            <w:pPr>
              <w:widowControl/>
              <w:jc w:val="left"/>
              <w:rPr>
                <w:rFonts w:ascii="Times New Roman" w:eastAsia="宋体" w:hAnsi="Times New Roman" w:cs="Times New Roman"/>
                <w:color w:val="000000"/>
                <w:kern w:val="0"/>
                <w:sz w:val="18"/>
                <w:szCs w:val="15"/>
              </w:rPr>
            </w:pPr>
          </w:p>
        </w:tc>
        <w:tc>
          <w:tcPr>
            <w:tcW w:w="287"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&lt;1</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1-4</w:t>
            </w:r>
          </w:p>
        </w:tc>
        <w:tc>
          <w:tcPr>
            <w:tcW w:w="242"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5-9</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10-14</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15-19</w:t>
            </w:r>
          </w:p>
        </w:tc>
        <w:tc>
          <w:tcPr>
            <w:tcW w:w="242"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20-24</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25-29</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30-34</w:t>
            </w:r>
          </w:p>
        </w:tc>
        <w:tc>
          <w:tcPr>
            <w:tcW w:w="242"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35-39</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40-44</w:t>
            </w:r>
          </w:p>
        </w:tc>
        <w:tc>
          <w:tcPr>
            <w:tcW w:w="242"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45-49</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50-54</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55-59</w:t>
            </w:r>
          </w:p>
        </w:tc>
        <w:tc>
          <w:tcPr>
            <w:tcW w:w="242"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60-64</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65-69</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70-74</w:t>
            </w:r>
          </w:p>
        </w:tc>
        <w:tc>
          <w:tcPr>
            <w:tcW w:w="242"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75-79</w:t>
            </w:r>
          </w:p>
        </w:tc>
        <w:tc>
          <w:tcPr>
            <w:tcW w:w="241"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80-84</w:t>
            </w:r>
          </w:p>
        </w:tc>
        <w:tc>
          <w:tcPr>
            <w:tcW w:w="242" w:type="pct"/>
            <w:tcBorders>
              <w:top w:val="single" w:sz="8" w:space="0" w:color="auto"/>
              <w:bottom w:val="single" w:sz="8" w:space="0" w:color="auto"/>
            </w:tcBorders>
            <w:shd w:val="clear" w:color="auto" w:fill="auto"/>
            <w:noWrap/>
            <w:vAlign w:val="center"/>
            <w:hideMark/>
          </w:tcPr>
          <w:p w:rsidR="00B67528" w:rsidRPr="00B67528" w:rsidRDefault="00B67528" w:rsidP="00B67528">
            <w:pPr>
              <w:widowControl/>
              <w:jc w:val="center"/>
              <w:rPr>
                <w:rFonts w:ascii="Times New Roman" w:eastAsia="宋体" w:hAnsi="Times New Roman" w:cs="Times New Roman"/>
                <w:color w:val="000000"/>
                <w:kern w:val="0"/>
                <w:sz w:val="18"/>
                <w:szCs w:val="15"/>
              </w:rPr>
            </w:pPr>
            <w:r w:rsidRPr="00B67528">
              <w:rPr>
                <w:rFonts w:ascii="Times New Roman" w:eastAsia="宋体" w:hAnsi="Times New Roman" w:cs="Times New Roman"/>
                <w:color w:val="000000"/>
                <w:kern w:val="0"/>
                <w:sz w:val="18"/>
                <w:szCs w:val="15"/>
              </w:rPr>
              <w:t>85+</w:t>
            </w:r>
          </w:p>
        </w:tc>
      </w:tr>
      <w:tr w:rsidR="00436CB2" w:rsidRPr="00B67528" w:rsidTr="006A23A6">
        <w:trPr>
          <w:trHeight w:val="280"/>
        </w:trPr>
        <w:tc>
          <w:tcPr>
            <w:tcW w:w="368" w:type="pct"/>
            <w:tcBorders>
              <w:top w:val="single" w:sz="8" w:space="0" w:color="auto"/>
            </w:tcBorders>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w:t>
            </w:r>
          </w:p>
        </w:tc>
        <w:tc>
          <w:tcPr>
            <w:tcW w:w="287" w:type="pct"/>
            <w:tcBorders>
              <w:top w:val="single" w:sz="8" w:space="0" w:color="auto"/>
            </w:tcBorders>
            <w:shd w:val="clear" w:color="auto" w:fill="auto"/>
            <w:noWrap/>
            <w:vAlign w:val="center"/>
            <w:hideMark/>
          </w:tcPr>
          <w:p w:rsidR="00436CB2" w:rsidRDefault="00436CB2" w:rsidP="00436CB2">
            <w:pPr>
              <w:widowControl/>
              <w:jc w:val="center"/>
              <w:rPr>
                <w:rFonts w:ascii="Times New Roman" w:hAnsi="Times New Roman" w:cs="Times New Roman"/>
                <w:sz w:val="16"/>
                <w:szCs w:val="16"/>
              </w:rPr>
            </w:pPr>
            <w:r>
              <w:rPr>
                <w:rFonts w:ascii="Times New Roman" w:hAnsi="Times New Roman" w:cs="Times New Roman"/>
                <w:sz w:val="16"/>
                <w:szCs w:val="16"/>
              </w:rPr>
              <w:t xml:space="preserve">1.1820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0.2971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0.0411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0.0209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0.0195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0.0304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0.0221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0.0244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0.0198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0.0180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0.0193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0.0200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0.0229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0.0258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0.0272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0.0306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0.0239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0.0151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0.0085 </w:t>
            </w:r>
          </w:p>
        </w:tc>
      </w:tr>
      <w:tr w:rsidR="00436CB2" w:rsidRPr="00B67528" w:rsidTr="006A23A6">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A1</w:t>
            </w:r>
          </w:p>
        </w:tc>
        <w:tc>
          <w:tcPr>
            <w:tcW w:w="287"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0.0088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0.0140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r>
      <w:tr w:rsidR="00436CB2" w:rsidRPr="00B67528" w:rsidTr="006A23A6">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A2</w:t>
            </w:r>
          </w:p>
        </w:tc>
        <w:tc>
          <w:tcPr>
            <w:tcW w:w="287"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0.7102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0.2733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0.0320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r>
      <w:tr w:rsidR="00436CB2" w:rsidRPr="00B67528" w:rsidTr="006A23A6">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A3</w:t>
            </w:r>
          </w:p>
        </w:tc>
        <w:tc>
          <w:tcPr>
            <w:tcW w:w="287"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B67528" w:rsidTr="006A23A6">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A4</w:t>
            </w:r>
          </w:p>
        </w:tc>
        <w:tc>
          <w:tcPr>
            <w:tcW w:w="287"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B67528" w:rsidTr="006A23A6">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A5</w:t>
            </w:r>
          </w:p>
        </w:tc>
        <w:tc>
          <w:tcPr>
            <w:tcW w:w="287"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0.4028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B67528" w:rsidTr="006A23A6">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A6</w:t>
            </w:r>
          </w:p>
        </w:tc>
        <w:tc>
          <w:tcPr>
            <w:tcW w:w="287"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0.0563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r>
      <w:tr w:rsidR="00436CB2" w:rsidRPr="00B67528" w:rsidTr="006A23A6">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A7</w:t>
            </w:r>
          </w:p>
        </w:tc>
        <w:tc>
          <w:tcPr>
            <w:tcW w:w="287"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B67528" w:rsidTr="006A23A6">
        <w:trPr>
          <w:trHeight w:val="280"/>
        </w:trPr>
        <w:tc>
          <w:tcPr>
            <w:tcW w:w="368" w:type="pct"/>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w:t>
            </w:r>
          </w:p>
        </w:tc>
        <w:tc>
          <w:tcPr>
            <w:tcW w:w="287"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0.0701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0.0911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0.0320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0.0279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0.0350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0.0383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0.0392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0.0492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0.0974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0.1299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0.1917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0.2205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0.2317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0.2396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0.1398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0.0614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0.0335 </w:t>
            </w:r>
          </w:p>
        </w:tc>
      </w:tr>
      <w:tr w:rsidR="00436CB2" w:rsidRPr="00B67528" w:rsidTr="006A23A6">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w:t>
            </w:r>
          </w:p>
        </w:tc>
        <w:tc>
          <w:tcPr>
            <w:tcW w:w="287"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0.0241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0.0226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0.0369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0.0331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0.0248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0.0094 </w:t>
            </w:r>
          </w:p>
        </w:tc>
        <w:tc>
          <w:tcPr>
            <w:tcW w:w="242"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-0.0078 </w:t>
            </w:r>
          </w:p>
        </w:tc>
        <w:tc>
          <w:tcPr>
            <w:tcW w:w="242"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-0.0043 </w:t>
            </w:r>
          </w:p>
        </w:tc>
      </w:tr>
      <w:tr w:rsidR="007147A5" w:rsidRPr="00B67528" w:rsidTr="007147A5">
        <w:trPr>
          <w:trHeight w:val="280"/>
        </w:trPr>
        <w:tc>
          <w:tcPr>
            <w:tcW w:w="368" w:type="pct"/>
            <w:shd w:val="clear" w:color="auto" w:fill="auto"/>
            <w:noWrap/>
            <w:vAlign w:val="center"/>
            <w:hideMark/>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B2</w:t>
            </w:r>
          </w:p>
        </w:tc>
        <w:tc>
          <w:tcPr>
            <w:tcW w:w="287"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0.0170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0.0163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0.0069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0.0072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0.0108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0.0137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0.0116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0.0089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0.0170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0.0373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0.0570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0.0852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0.0929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0.0902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0.0833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0.0332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2" w:type="pct"/>
            <w:shd w:val="clear" w:color="D9D9D9" w:fill="BFBFBF"/>
            <w:noWrap/>
            <w:vAlign w:val="center"/>
          </w:tcPr>
          <w:p w:rsidR="007147A5" w:rsidRDefault="007147A5" w:rsidP="007147A5">
            <w:pPr>
              <w:jc w:val="center"/>
              <w:rPr>
                <w:rFonts w:ascii="Times New Roman" w:hAnsi="Times New Roman" w:cs="Times New Roman"/>
                <w:sz w:val="16"/>
                <w:szCs w:val="16"/>
              </w:rPr>
            </w:pPr>
            <w:r w:rsidRPr="007147A5">
              <w:rPr>
                <w:rFonts w:ascii="Times New Roman" w:hAnsi="Times New Roman" w:cs="Times New Roman"/>
                <w:sz w:val="16"/>
                <w:szCs w:val="16"/>
                <w:shd w:val="clear" w:color="auto" w:fill="BFBFBF" w:themeFill="background1" w:themeFillShade="BF"/>
              </w:rPr>
              <w:t>-0.0087</w:t>
            </w:r>
            <w:r>
              <w:rPr>
                <w:rFonts w:ascii="Times New Roman" w:hAnsi="Times New Roman" w:cs="Times New Roman"/>
                <w:sz w:val="16"/>
                <w:szCs w:val="16"/>
              </w:rPr>
              <w:t xml:space="preserve"> </w:t>
            </w:r>
          </w:p>
        </w:tc>
      </w:tr>
      <w:tr w:rsidR="007147A5" w:rsidRPr="00B67528" w:rsidTr="007147A5">
        <w:trPr>
          <w:trHeight w:val="280"/>
        </w:trPr>
        <w:tc>
          <w:tcPr>
            <w:tcW w:w="368" w:type="pct"/>
            <w:shd w:val="clear" w:color="auto" w:fill="auto"/>
            <w:noWrap/>
            <w:vAlign w:val="center"/>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B3</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0.0078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0.0072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0.0092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0.0136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0.0227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0.0355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0.0509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0.0802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0.1050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0.1391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0.1083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0.0610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0.0434 </w:t>
            </w:r>
          </w:p>
        </w:tc>
      </w:tr>
      <w:tr w:rsidR="007147A5" w:rsidRPr="00B67528" w:rsidTr="007147A5">
        <w:trPr>
          <w:trHeight w:val="280"/>
        </w:trPr>
        <w:tc>
          <w:tcPr>
            <w:tcW w:w="368" w:type="pct"/>
            <w:shd w:val="clear" w:color="auto" w:fill="auto"/>
            <w:noWrap/>
            <w:vAlign w:val="center"/>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B4</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0.0066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0.0082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0.0092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0.0075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0.0077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0.0053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0.0005 </w:t>
            </w:r>
          </w:p>
        </w:tc>
      </w:tr>
      <w:tr w:rsidR="007147A5" w:rsidRPr="00B67528" w:rsidTr="007147A5">
        <w:trPr>
          <w:trHeight w:val="280"/>
        </w:trPr>
        <w:tc>
          <w:tcPr>
            <w:tcW w:w="368" w:type="pct"/>
            <w:shd w:val="clear" w:color="auto" w:fill="auto"/>
            <w:noWrap/>
            <w:vAlign w:val="center"/>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B5</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0.0124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0.0199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0.0069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0.0080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0.0022 </w:t>
            </w:r>
          </w:p>
        </w:tc>
      </w:tr>
      <w:tr w:rsidR="007147A5" w:rsidRPr="00B67528" w:rsidTr="007147A5">
        <w:trPr>
          <w:trHeight w:val="280"/>
        </w:trPr>
        <w:tc>
          <w:tcPr>
            <w:tcW w:w="368" w:type="pct"/>
            <w:shd w:val="clear" w:color="auto" w:fill="auto"/>
            <w:noWrap/>
            <w:vAlign w:val="center"/>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B6</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BFBFBF" w:themeFill="background1" w:themeFillShade="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BFBFBF" w:themeFill="background1" w:themeFillShade="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BFBFBF" w:themeFill="background1" w:themeFillShade="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0.0023 </w:t>
            </w:r>
          </w:p>
        </w:tc>
      </w:tr>
      <w:tr w:rsidR="007147A5" w:rsidRPr="00B67528" w:rsidTr="007147A5">
        <w:trPr>
          <w:trHeight w:val="280"/>
        </w:trPr>
        <w:tc>
          <w:tcPr>
            <w:tcW w:w="368" w:type="pct"/>
            <w:shd w:val="clear" w:color="auto" w:fill="auto"/>
            <w:noWrap/>
            <w:vAlign w:val="center"/>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B7</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7147A5" w:rsidRPr="00B67528" w:rsidTr="00395B93">
        <w:trPr>
          <w:trHeight w:val="280"/>
        </w:trPr>
        <w:tc>
          <w:tcPr>
            <w:tcW w:w="368" w:type="pct"/>
            <w:shd w:val="clear" w:color="auto" w:fill="auto"/>
            <w:noWrap/>
            <w:vAlign w:val="center"/>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B8</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0.0104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0.0107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2" w:type="pct"/>
            <w:shd w:val="clear" w:color="auto" w:fill="BFBFBF" w:themeFill="background1" w:themeFillShade="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BFBFBF" w:themeFill="background1" w:themeFillShade="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-0.0053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-0.0018 </w:t>
            </w:r>
          </w:p>
        </w:tc>
      </w:tr>
      <w:tr w:rsidR="007147A5" w:rsidRPr="00B67528" w:rsidTr="007147A5">
        <w:trPr>
          <w:trHeight w:val="280"/>
        </w:trPr>
        <w:tc>
          <w:tcPr>
            <w:tcW w:w="368" w:type="pct"/>
            <w:shd w:val="clear" w:color="auto" w:fill="auto"/>
            <w:noWrap/>
            <w:vAlign w:val="center"/>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B9</w:t>
            </w:r>
          </w:p>
        </w:tc>
        <w:tc>
          <w:tcPr>
            <w:tcW w:w="287"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7147A5" w:rsidRPr="00B67528" w:rsidTr="006A23A6">
        <w:trPr>
          <w:trHeight w:val="280"/>
        </w:trPr>
        <w:tc>
          <w:tcPr>
            <w:tcW w:w="368" w:type="pct"/>
            <w:shd w:val="clear" w:color="auto" w:fill="auto"/>
            <w:noWrap/>
            <w:vAlign w:val="center"/>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B10</w:t>
            </w:r>
          </w:p>
        </w:tc>
        <w:tc>
          <w:tcPr>
            <w:tcW w:w="287"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0.0220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0.0183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1"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2" w:type="pct"/>
            <w:shd w:val="clear" w:color="auto" w:fill="auto"/>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BFBFBF" w:themeFill="background1" w:themeFillShade="BF"/>
            <w:noWrap/>
            <w:vAlign w:val="center"/>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7147A5" w:rsidRPr="00B67528" w:rsidTr="006A23A6">
        <w:trPr>
          <w:trHeight w:val="280"/>
        </w:trPr>
        <w:tc>
          <w:tcPr>
            <w:tcW w:w="368" w:type="pct"/>
            <w:shd w:val="clear" w:color="auto" w:fill="auto"/>
            <w:noWrap/>
            <w:vAlign w:val="center"/>
            <w:hideMark/>
          </w:tcPr>
          <w:p w:rsidR="007147A5" w:rsidRPr="002C7CEC" w:rsidRDefault="007147A5" w:rsidP="007147A5">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0.0684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0.1661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0.0562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0.0435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0.0518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0.0666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0.0332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0.0299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0.0160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0.0155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0.0189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0.0148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0.0139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0.0089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7147A5" w:rsidRPr="00B67528" w:rsidTr="006A23A6">
        <w:trPr>
          <w:trHeight w:val="280"/>
        </w:trPr>
        <w:tc>
          <w:tcPr>
            <w:tcW w:w="368" w:type="pct"/>
            <w:shd w:val="clear" w:color="auto" w:fill="auto"/>
            <w:noWrap/>
            <w:vAlign w:val="center"/>
            <w:hideMark/>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C1</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7147A5" w:rsidRPr="00B67528" w:rsidTr="006A23A6">
        <w:trPr>
          <w:trHeight w:val="280"/>
        </w:trPr>
        <w:tc>
          <w:tcPr>
            <w:tcW w:w="368" w:type="pct"/>
            <w:shd w:val="clear" w:color="auto" w:fill="auto"/>
            <w:noWrap/>
            <w:vAlign w:val="center"/>
            <w:hideMark/>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C2</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0.0122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0.0377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0.0622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0.0419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0.0335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0.0234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0.0189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0.0167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0.0132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0.0107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0.0079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0.0067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0.0003 </w:t>
            </w:r>
          </w:p>
        </w:tc>
      </w:tr>
      <w:tr w:rsidR="007147A5" w:rsidRPr="00B67528" w:rsidTr="006A23A6">
        <w:trPr>
          <w:trHeight w:val="280"/>
        </w:trPr>
        <w:tc>
          <w:tcPr>
            <w:tcW w:w="368" w:type="pct"/>
            <w:shd w:val="clear" w:color="auto" w:fill="auto"/>
            <w:noWrap/>
            <w:vAlign w:val="center"/>
            <w:hideMark/>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C3</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0.0229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0.0103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-0.0112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-0.0078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-0.0097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-0.0070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1"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2" w:type="pct"/>
            <w:shd w:val="clear" w:color="D9D9D9" w:fill="BFBFBF"/>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-0.0005 </w:t>
            </w:r>
          </w:p>
        </w:tc>
      </w:tr>
      <w:tr w:rsidR="007147A5" w:rsidRPr="00B67528" w:rsidTr="006A23A6">
        <w:trPr>
          <w:trHeight w:val="280"/>
        </w:trPr>
        <w:tc>
          <w:tcPr>
            <w:tcW w:w="368" w:type="pct"/>
            <w:shd w:val="clear" w:color="auto" w:fill="auto"/>
            <w:noWrap/>
            <w:vAlign w:val="center"/>
            <w:hideMark/>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C4</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0.0562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0.1377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0.0424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0.0256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0.0113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0.0073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7147A5" w:rsidRPr="00B67528" w:rsidTr="006A23A6">
        <w:trPr>
          <w:trHeight w:val="280"/>
        </w:trPr>
        <w:tc>
          <w:tcPr>
            <w:tcW w:w="368" w:type="pct"/>
            <w:shd w:val="clear" w:color="auto" w:fill="auto"/>
            <w:noWrap/>
            <w:vAlign w:val="center"/>
            <w:hideMark/>
          </w:tcPr>
          <w:p w:rsidR="007147A5" w:rsidRPr="002C7CEC" w:rsidRDefault="007147A5" w:rsidP="007147A5">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TE</w:t>
            </w:r>
          </w:p>
        </w:tc>
        <w:tc>
          <w:tcPr>
            <w:tcW w:w="287"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1.3205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0.5543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0.1293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0.0923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0.1063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0.1352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0.0757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0.0934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0.0663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0.0827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0.1356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0.1647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0.2284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0.2563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0.2678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0.2775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0.1673 </w:t>
            </w:r>
          </w:p>
        </w:tc>
        <w:tc>
          <w:tcPr>
            <w:tcW w:w="241"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0.0778 </w:t>
            </w:r>
          </w:p>
        </w:tc>
        <w:tc>
          <w:tcPr>
            <w:tcW w:w="242" w:type="pct"/>
            <w:shd w:val="clear" w:color="auto" w:fill="auto"/>
            <w:noWrap/>
            <w:vAlign w:val="center"/>
            <w:hideMark/>
          </w:tcPr>
          <w:p w:rsidR="007147A5" w:rsidRDefault="007147A5" w:rsidP="007147A5">
            <w:pPr>
              <w:jc w:val="center"/>
              <w:rPr>
                <w:rFonts w:ascii="Times New Roman" w:hAnsi="Times New Roman" w:cs="Times New Roman"/>
                <w:sz w:val="16"/>
                <w:szCs w:val="16"/>
              </w:rPr>
            </w:pPr>
            <w:r>
              <w:rPr>
                <w:rFonts w:ascii="Times New Roman" w:hAnsi="Times New Roman" w:cs="Times New Roman"/>
                <w:sz w:val="16"/>
                <w:szCs w:val="16"/>
              </w:rPr>
              <w:t xml:space="preserve">0.0419 </w:t>
            </w:r>
          </w:p>
        </w:tc>
      </w:tr>
    </w:tbl>
    <w:p w:rsidR="00C23AA8" w:rsidRPr="00C23AA8" w:rsidRDefault="00FE231B" w:rsidP="00FE231B">
      <w:pPr>
        <w:rPr>
          <w:rFonts w:ascii="Times New Roman" w:hAnsi="Times New Roman" w:cs="Times New Roman"/>
          <w:i/>
        </w:rPr>
      </w:pPr>
      <w:r>
        <w:rPr>
          <w:rFonts w:ascii="Times New Roman" w:hAnsi="Times New Roman" w:cs="Times New Roman"/>
          <w:i/>
        </w:rPr>
        <w:t xml:space="preserve">Note: </w:t>
      </w:r>
      <w:r w:rsidR="00C23AA8" w:rsidRPr="00B67528">
        <w:rPr>
          <w:rFonts w:ascii="Times New Roman" w:hAnsi="Times New Roman" w:cs="Times New Roman"/>
          <w:i/>
        </w:rPr>
        <w:t>TE, total effect to the life expectancy gap.</w:t>
      </w:r>
      <w:r>
        <w:rPr>
          <w:rFonts w:ascii="Times New Roman" w:hAnsi="Times New Roman" w:cs="Times New Roman" w:hint="eastAsia"/>
          <w:i/>
        </w:rPr>
        <w:t xml:space="preserve"> </w:t>
      </w:r>
      <w:r w:rsidR="00C23AA8" w:rsidRPr="00C23AA8">
        <w:rPr>
          <w:rFonts w:ascii="Times New Roman" w:hAnsi="Times New Roman" w:cs="Times New Roman"/>
          <w:i/>
        </w:rPr>
        <w:t>Gray shadow</w:t>
      </w:r>
      <w:r w:rsidR="00C23AA8">
        <w:rPr>
          <w:rFonts w:ascii="Times New Roman" w:hAnsi="Times New Roman" w:cs="Times New Roman"/>
          <w:i/>
        </w:rPr>
        <w:t xml:space="preserve"> represents n</w:t>
      </w:r>
      <w:r w:rsidR="00C23AA8" w:rsidRPr="00C23AA8">
        <w:rPr>
          <w:rFonts w:ascii="Times New Roman" w:hAnsi="Times New Roman" w:cs="Times New Roman"/>
          <w:i/>
        </w:rPr>
        <w:t>egative</w:t>
      </w:r>
      <w:r w:rsidR="00C23AA8">
        <w:rPr>
          <w:rFonts w:ascii="Times New Roman" w:hAnsi="Times New Roman" w:cs="Times New Roman"/>
          <w:i/>
        </w:rPr>
        <w:t xml:space="preserve"> effect </w:t>
      </w:r>
      <w:r w:rsidR="00C23AA8" w:rsidRPr="00B67528">
        <w:rPr>
          <w:rFonts w:ascii="Times New Roman" w:hAnsi="Times New Roman" w:cs="Times New Roman"/>
          <w:i/>
        </w:rPr>
        <w:t>to the life expectancy gap</w:t>
      </w:r>
      <w:r w:rsidR="00AC34DD">
        <w:rPr>
          <w:rFonts w:ascii="Times New Roman" w:hAnsi="Times New Roman" w:cs="Times New Roman"/>
          <w:i/>
        </w:rPr>
        <w:t>; Value of ‘0.0000’ r</w:t>
      </w:r>
      <w:r w:rsidR="00AC34DD" w:rsidRPr="00AC34DD">
        <w:rPr>
          <w:rFonts w:ascii="Times New Roman" w:hAnsi="Times New Roman" w:cs="Times New Roman"/>
          <w:i/>
        </w:rPr>
        <w:t>epresents</w:t>
      </w:r>
      <w:r w:rsidR="00AC34DD">
        <w:rPr>
          <w:rFonts w:ascii="Times New Roman" w:hAnsi="Times New Roman" w:cs="Times New Roman"/>
          <w:i/>
        </w:rPr>
        <w:t xml:space="preserve"> |effect</w:t>
      </w:r>
      <w:r w:rsidR="00AC34DD">
        <w:rPr>
          <w:rFonts w:ascii="Times New Roman" w:hAnsi="Times New Roman" w:cs="Times New Roman" w:hint="eastAsia"/>
          <w:i/>
        </w:rPr>
        <w:t>|</w:t>
      </w:r>
      <w:r w:rsidR="00AC34DD">
        <w:rPr>
          <w:rFonts w:ascii="Times New Roman" w:hAnsi="Times New Roman" w:cs="Times New Roman"/>
          <w:i/>
        </w:rPr>
        <w:t>&lt;0.0001.</w:t>
      </w:r>
      <w:r w:rsidR="00C23AA8" w:rsidRPr="00C23AA8">
        <w:rPr>
          <w:rFonts w:ascii="Times New Roman" w:hAnsi="Times New Roman" w:cs="Times New Roman"/>
          <w:i/>
        </w:rPr>
        <w:br w:type="page"/>
      </w:r>
    </w:p>
    <w:p w:rsidR="00E8739B" w:rsidRPr="00B67528" w:rsidRDefault="00E8739B" w:rsidP="00E8739B">
      <w:pPr>
        <w:adjustRightInd w:val="0"/>
        <w:snapToGrid w:val="0"/>
        <w:spacing w:beforeLines="50" w:before="156" w:afterLines="50" w:after="156"/>
        <w:rPr>
          <w:rFonts w:ascii="Times New Roman" w:hAnsi="Times New Roman" w:cs="Times New Roman"/>
          <w:b/>
        </w:rPr>
      </w:pPr>
      <w:r w:rsidRPr="00B34386">
        <w:rPr>
          <w:rFonts w:ascii="Times New Roman" w:hAnsi="Times New Roman" w:cs="Times New Roman"/>
          <w:b/>
        </w:rPr>
        <w:lastRenderedPageBreak/>
        <w:t>Table S</w:t>
      </w:r>
      <w:r w:rsidR="003101BC">
        <w:rPr>
          <w:rFonts w:ascii="Times New Roman" w:hAnsi="Times New Roman" w:cs="Times New Roman"/>
          <w:b/>
        </w:rPr>
        <w:t>6</w:t>
      </w:r>
      <w:r>
        <w:rPr>
          <w:rFonts w:ascii="Times New Roman" w:hAnsi="Times New Roman" w:cs="Times New Roman"/>
          <w:b/>
        </w:rPr>
        <w:t>a</w:t>
      </w:r>
      <w:r w:rsidRPr="00B34386">
        <w:rPr>
          <w:rFonts w:ascii="Times New Roman" w:hAnsi="Times New Roman" w:cs="Times New Roman"/>
          <w:b/>
        </w:rPr>
        <w:t xml:space="preserve"> </w:t>
      </w:r>
      <w:r w:rsidRPr="00B34386">
        <w:rPr>
          <w:rFonts w:ascii="Times New Roman" w:hAnsi="Times New Roman" w:cs="Times New Roman"/>
        </w:rPr>
        <w:t>Number of years contributed by ages and causes to the life expectancy gap</w:t>
      </w:r>
      <w:r w:rsidR="002C7CEC">
        <w:rPr>
          <w:rFonts w:ascii="Times New Roman" w:hAnsi="Times New Roman" w:cs="Times New Roman"/>
        </w:rPr>
        <w:t xml:space="preserve"> for </w:t>
      </w:r>
      <w:r>
        <w:rPr>
          <w:rFonts w:ascii="Times New Roman" w:hAnsi="Times New Roman" w:cs="Times New Roman"/>
        </w:rPr>
        <w:t xml:space="preserve">male, </w:t>
      </w:r>
      <w:r w:rsidRPr="00B34386">
        <w:rPr>
          <w:rFonts w:ascii="Times New Roman" w:hAnsi="Times New Roman" w:cs="Times New Roman"/>
        </w:rPr>
        <w:t xml:space="preserve">China, </w:t>
      </w:r>
      <w:r>
        <w:rPr>
          <w:rFonts w:ascii="Times New Roman" w:hAnsi="Times New Roman" w:cs="Times New Roman"/>
        </w:rPr>
        <w:t>2002-2007.</w:t>
      </w: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1134"/>
        <w:gridCol w:w="752"/>
        <w:gridCol w:w="752"/>
        <w:gridCol w:w="752"/>
        <w:gridCol w:w="752"/>
        <w:gridCol w:w="752"/>
        <w:gridCol w:w="752"/>
        <w:gridCol w:w="752"/>
        <w:gridCol w:w="751"/>
        <w:gridCol w:w="751"/>
        <w:gridCol w:w="751"/>
        <w:gridCol w:w="751"/>
        <w:gridCol w:w="751"/>
        <w:gridCol w:w="751"/>
        <w:gridCol w:w="751"/>
        <w:gridCol w:w="751"/>
        <w:gridCol w:w="751"/>
        <w:gridCol w:w="751"/>
        <w:gridCol w:w="751"/>
        <w:gridCol w:w="739"/>
      </w:tblGrid>
      <w:tr w:rsidR="00E8739B" w:rsidRPr="00E8739B" w:rsidTr="00AC34DD">
        <w:trPr>
          <w:trHeight w:val="280"/>
        </w:trPr>
        <w:tc>
          <w:tcPr>
            <w:tcW w:w="368" w:type="pct"/>
            <w:vMerge w:val="restart"/>
            <w:tcBorders>
              <w:top w:val="single" w:sz="12" w:space="0" w:color="auto"/>
              <w:bottom w:val="nil"/>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Causes of death</w:t>
            </w:r>
          </w:p>
        </w:tc>
        <w:tc>
          <w:tcPr>
            <w:tcW w:w="4632" w:type="pct"/>
            <w:gridSpan w:val="19"/>
            <w:tcBorders>
              <w:top w:val="single" w:sz="12"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Age groups</w:t>
            </w:r>
          </w:p>
        </w:tc>
      </w:tr>
      <w:tr w:rsidR="00E8739B" w:rsidRPr="00E8739B" w:rsidTr="00294CBD">
        <w:trPr>
          <w:trHeight w:val="280"/>
        </w:trPr>
        <w:tc>
          <w:tcPr>
            <w:tcW w:w="368" w:type="pct"/>
            <w:vMerge/>
            <w:tcBorders>
              <w:top w:val="nil"/>
              <w:bottom w:val="single" w:sz="8" w:space="0" w:color="auto"/>
            </w:tcBorders>
            <w:vAlign w:val="center"/>
            <w:hideMark/>
          </w:tcPr>
          <w:p w:rsidR="00E8739B" w:rsidRPr="00E8739B" w:rsidRDefault="00E8739B" w:rsidP="00E8739B">
            <w:pPr>
              <w:widowControl/>
              <w:jc w:val="left"/>
              <w:rPr>
                <w:rFonts w:ascii="Times New Roman" w:eastAsia="宋体" w:hAnsi="Times New Roman" w:cs="Times New Roman"/>
                <w:color w:val="000000"/>
                <w:kern w:val="0"/>
                <w:sz w:val="18"/>
                <w:szCs w:val="15"/>
              </w:rPr>
            </w:pP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&lt;1</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1-4</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5-9</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10-14</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15-19</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20-24</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25-29</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30-34</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35-39</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40-44</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45-49</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50-54</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55-59</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60-64</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65-69</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70-74</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75-79</w:t>
            </w:r>
          </w:p>
        </w:tc>
        <w:tc>
          <w:tcPr>
            <w:tcW w:w="244"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80-84</w:t>
            </w:r>
          </w:p>
        </w:tc>
        <w:tc>
          <w:tcPr>
            <w:tcW w:w="240" w:type="pct"/>
            <w:tcBorders>
              <w:top w:val="single" w:sz="8" w:space="0" w:color="auto"/>
              <w:bottom w:val="single" w:sz="8" w:space="0" w:color="auto"/>
            </w:tcBorders>
            <w:shd w:val="clear" w:color="auto" w:fill="auto"/>
            <w:noWrap/>
            <w:vAlign w:val="center"/>
            <w:hideMark/>
          </w:tcPr>
          <w:p w:rsidR="00E8739B" w:rsidRPr="00E8739B" w:rsidRDefault="00E8739B" w:rsidP="00E8739B">
            <w:pPr>
              <w:widowControl/>
              <w:jc w:val="center"/>
              <w:rPr>
                <w:rFonts w:ascii="Times New Roman" w:eastAsia="宋体" w:hAnsi="Times New Roman" w:cs="Times New Roman"/>
                <w:color w:val="000000"/>
                <w:kern w:val="0"/>
                <w:sz w:val="18"/>
                <w:szCs w:val="15"/>
              </w:rPr>
            </w:pPr>
            <w:r w:rsidRPr="00E8739B">
              <w:rPr>
                <w:rFonts w:ascii="Times New Roman" w:eastAsia="宋体" w:hAnsi="Times New Roman" w:cs="Times New Roman"/>
                <w:color w:val="000000"/>
                <w:kern w:val="0"/>
                <w:sz w:val="18"/>
                <w:szCs w:val="15"/>
              </w:rPr>
              <w:t>85+</w:t>
            </w:r>
          </w:p>
        </w:tc>
      </w:tr>
      <w:tr w:rsidR="00294CBD" w:rsidRPr="00E8739B" w:rsidTr="00294CBD">
        <w:trPr>
          <w:trHeight w:val="280"/>
        </w:trPr>
        <w:tc>
          <w:tcPr>
            <w:tcW w:w="368" w:type="pct"/>
            <w:tcBorders>
              <w:top w:val="single" w:sz="8" w:space="0" w:color="auto"/>
            </w:tcBorders>
            <w:shd w:val="clear" w:color="auto" w:fill="auto"/>
            <w:noWrap/>
            <w:vAlign w:val="center"/>
            <w:hideMark/>
          </w:tcPr>
          <w:p w:rsidR="00294CBD" w:rsidRPr="002C7CEC" w:rsidRDefault="00294CBD" w:rsidP="00294CBD">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w:t>
            </w:r>
          </w:p>
        </w:tc>
        <w:tc>
          <w:tcPr>
            <w:tcW w:w="244" w:type="pct"/>
            <w:tcBorders>
              <w:top w:val="single" w:sz="8" w:space="0" w:color="auto"/>
            </w:tcBorders>
            <w:shd w:val="clear" w:color="auto" w:fill="auto"/>
            <w:noWrap/>
            <w:vAlign w:val="center"/>
            <w:hideMark/>
          </w:tcPr>
          <w:p w:rsidR="00294CBD" w:rsidRDefault="00294CBD" w:rsidP="00294CBD">
            <w:pPr>
              <w:widowControl/>
              <w:jc w:val="center"/>
              <w:rPr>
                <w:rFonts w:ascii="Times New Roman" w:hAnsi="Times New Roman" w:cs="Times New Roman"/>
                <w:sz w:val="16"/>
                <w:szCs w:val="16"/>
              </w:rPr>
            </w:pPr>
            <w:r>
              <w:rPr>
                <w:rFonts w:ascii="Times New Roman" w:hAnsi="Times New Roman" w:cs="Times New Roman"/>
                <w:sz w:val="16"/>
                <w:szCs w:val="16"/>
              </w:rPr>
              <w:t xml:space="preserve">0.4516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0.0490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0.0108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0.0077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0.0076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0.0096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0.0145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0.0138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0.0150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0.0146 </w:t>
            </w:r>
          </w:p>
        </w:tc>
        <w:tc>
          <w:tcPr>
            <w:tcW w:w="244"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0.0083 </w:t>
            </w:r>
          </w:p>
        </w:tc>
        <w:tc>
          <w:tcPr>
            <w:tcW w:w="240" w:type="pct"/>
            <w:tcBorders>
              <w:top w:val="single" w:sz="8" w:space="0" w:color="auto"/>
            </w:tcBorders>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0.0037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A1</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0.0086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0.0081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0.0084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0.0068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0.0012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A2</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0.2079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0.0463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0.0087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0.0021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A3</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A4</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A5</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0.2369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A6</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A7</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0.1254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0.0255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0.0176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0.0166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0.0133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0.0238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0.0287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0.0461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0.0477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0.0356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0.0933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0.0725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0.1104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0.2332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0.2180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0.2749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0.2915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0.1350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0.0482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0.0080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0.0156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0.0197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0.0193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0.0426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0.0319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0.0348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0.0613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0.0441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0.0434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0.0340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0.0090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0.0023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B2</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0.0123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0.0064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0.0072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0.0117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0.0110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0.0250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0.0136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0.0342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0.0927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0.0863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0.1083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0.1277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0.0528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0.0131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B3</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0.0099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0.0155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0.0271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0.0575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0.0714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0.1071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0.1137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0.0672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0.0313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B4</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0.0060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0.0083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0.0070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0.0092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B5</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0.0012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B6</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0"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-0.0012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B7</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B8</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0.0074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0.0011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B9</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294CBD" w:rsidRPr="00E8739B" w:rsidTr="007147A5">
        <w:trPr>
          <w:trHeight w:val="280"/>
        </w:trPr>
        <w:tc>
          <w:tcPr>
            <w:tcW w:w="368" w:type="pct"/>
            <w:shd w:val="clear" w:color="auto" w:fill="auto"/>
            <w:noWrap/>
            <w:vAlign w:val="center"/>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B10</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0.1044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0.0130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0.0258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0.0396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0.0466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0.0423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0.0112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0.0296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0.0329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0.0134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-0.0123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0"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C1</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C2</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0.0121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0.0117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0.0078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294CBD" w:rsidRPr="00E8739B" w:rsidTr="007147A5">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C3</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0.0117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0.0094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0.0123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0.0121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0.0163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-0.0082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C4</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0.0243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0.0368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0.0329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0.0284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-0.0084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0" w:type="pct"/>
            <w:shd w:val="clear" w:color="D9D9D9" w:fill="BFBFBF"/>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-0.0004 </w:t>
            </w:r>
          </w:p>
        </w:tc>
      </w:tr>
      <w:tr w:rsidR="00294CBD" w:rsidRPr="00E8739B" w:rsidTr="00294CBD">
        <w:trPr>
          <w:trHeight w:val="280"/>
        </w:trPr>
        <w:tc>
          <w:tcPr>
            <w:tcW w:w="368" w:type="pct"/>
            <w:shd w:val="clear" w:color="auto" w:fill="auto"/>
            <w:noWrap/>
            <w:vAlign w:val="center"/>
            <w:hideMark/>
          </w:tcPr>
          <w:p w:rsidR="00294CBD" w:rsidRPr="002C7CEC" w:rsidRDefault="00294CBD" w:rsidP="00294CBD">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TE</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0.6028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0.1141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0.0750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0.0641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0.0279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0.0581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0.0624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0.0846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0.0656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0.0276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0.1053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0.0751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0.1164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0.2508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0.2338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0.2939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0.3116 </w:t>
            </w:r>
          </w:p>
        </w:tc>
        <w:tc>
          <w:tcPr>
            <w:tcW w:w="244"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0.1450 </w:t>
            </w:r>
          </w:p>
        </w:tc>
        <w:tc>
          <w:tcPr>
            <w:tcW w:w="240" w:type="pct"/>
            <w:shd w:val="clear" w:color="auto" w:fill="auto"/>
            <w:noWrap/>
            <w:vAlign w:val="center"/>
            <w:hideMark/>
          </w:tcPr>
          <w:p w:rsidR="00294CBD" w:rsidRDefault="00294CBD" w:rsidP="00294CBD">
            <w:pPr>
              <w:jc w:val="center"/>
              <w:rPr>
                <w:rFonts w:ascii="Times New Roman" w:hAnsi="Times New Roman" w:cs="Times New Roman"/>
                <w:sz w:val="16"/>
                <w:szCs w:val="16"/>
              </w:rPr>
            </w:pPr>
            <w:r>
              <w:rPr>
                <w:rFonts w:ascii="Times New Roman" w:hAnsi="Times New Roman" w:cs="Times New Roman"/>
                <w:sz w:val="16"/>
                <w:szCs w:val="16"/>
              </w:rPr>
              <w:t xml:space="preserve">0.0518 </w:t>
            </w:r>
          </w:p>
        </w:tc>
      </w:tr>
    </w:tbl>
    <w:p w:rsidR="00C23AA8" w:rsidRPr="00C23AA8" w:rsidRDefault="00C23AA8" w:rsidP="00FE231B">
      <w:pPr>
        <w:rPr>
          <w:rFonts w:ascii="Times New Roman" w:hAnsi="Times New Roman" w:cs="Times New Roman"/>
          <w:i/>
        </w:rPr>
      </w:pPr>
      <w:r w:rsidRPr="00E310C7">
        <w:rPr>
          <w:rFonts w:ascii="Times New Roman" w:hAnsi="Times New Roman" w:cs="Times New Roman"/>
          <w:i/>
        </w:rPr>
        <w:t xml:space="preserve">Note: </w:t>
      </w:r>
      <w:r w:rsidRPr="00B67528">
        <w:rPr>
          <w:rFonts w:ascii="Times New Roman" w:hAnsi="Times New Roman" w:cs="Times New Roman"/>
          <w:i/>
        </w:rPr>
        <w:t>TE, total effect to the life expectancy gap.</w:t>
      </w:r>
      <w:r w:rsidR="00FE231B">
        <w:rPr>
          <w:rFonts w:ascii="Times New Roman" w:hAnsi="Times New Roman" w:cs="Times New Roman" w:hint="eastAsia"/>
          <w:i/>
        </w:rPr>
        <w:t xml:space="preserve"> </w:t>
      </w:r>
      <w:r w:rsidRPr="00C23AA8">
        <w:rPr>
          <w:rFonts w:ascii="Times New Roman" w:hAnsi="Times New Roman" w:cs="Times New Roman"/>
          <w:i/>
        </w:rPr>
        <w:t>Gray shadow</w:t>
      </w:r>
      <w:r>
        <w:rPr>
          <w:rFonts w:ascii="Times New Roman" w:hAnsi="Times New Roman" w:cs="Times New Roman"/>
          <w:i/>
        </w:rPr>
        <w:t xml:space="preserve"> represents n</w:t>
      </w:r>
      <w:r w:rsidRPr="00C23AA8">
        <w:rPr>
          <w:rFonts w:ascii="Times New Roman" w:hAnsi="Times New Roman" w:cs="Times New Roman"/>
          <w:i/>
        </w:rPr>
        <w:t>egative</w:t>
      </w:r>
      <w:r>
        <w:rPr>
          <w:rFonts w:ascii="Times New Roman" w:hAnsi="Times New Roman" w:cs="Times New Roman"/>
          <w:i/>
        </w:rPr>
        <w:t xml:space="preserve"> effect </w:t>
      </w:r>
      <w:r w:rsidRPr="00B67528">
        <w:rPr>
          <w:rFonts w:ascii="Times New Roman" w:hAnsi="Times New Roman" w:cs="Times New Roman"/>
          <w:i/>
        </w:rPr>
        <w:t>to the life expectancy gap</w:t>
      </w:r>
      <w:r w:rsidR="00AC34DD">
        <w:rPr>
          <w:rFonts w:ascii="Times New Roman" w:hAnsi="Times New Roman" w:cs="Times New Roman"/>
          <w:i/>
        </w:rPr>
        <w:t>; Value of ‘0.0000’ r</w:t>
      </w:r>
      <w:r w:rsidR="00AC34DD" w:rsidRPr="00AC34DD">
        <w:rPr>
          <w:rFonts w:ascii="Times New Roman" w:hAnsi="Times New Roman" w:cs="Times New Roman"/>
          <w:i/>
        </w:rPr>
        <w:t>epresents</w:t>
      </w:r>
      <w:r w:rsidR="00AC34DD">
        <w:rPr>
          <w:rFonts w:ascii="Times New Roman" w:hAnsi="Times New Roman" w:cs="Times New Roman"/>
          <w:i/>
        </w:rPr>
        <w:t xml:space="preserve"> |effect</w:t>
      </w:r>
      <w:r w:rsidR="00AC34DD">
        <w:rPr>
          <w:rFonts w:ascii="Times New Roman" w:hAnsi="Times New Roman" w:cs="Times New Roman" w:hint="eastAsia"/>
          <w:i/>
        </w:rPr>
        <w:t>|</w:t>
      </w:r>
      <w:r w:rsidR="00AC34DD">
        <w:rPr>
          <w:rFonts w:ascii="Times New Roman" w:hAnsi="Times New Roman" w:cs="Times New Roman"/>
          <w:i/>
        </w:rPr>
        <w:t>&lt;0.0001.</w:t>
      </w:r>
      <w:r w:rsidRPr="00C23AA8">
        <w:rPr>
          <w:rFonts w:ascii="Times New Roman" w:hAnsi="Times New Roman" w:cs="Times New Roman"/>
          <w:i/>
        </w:rPr>
        <w:br w:type="page"/>
      </w:r>
    </w:p>
    <w:p w:rsidR="002C7CEC" w:rsidRPr="00B67528" w:rsidRDefault="002C7CEC" w:rsidP="002C7CEC">
      <w:pPr>
        <w:adjustRightInd w:val="0"/>
        <w:snapToGrid w:val="0"/>
        <w:spacing w:beforeLines="50" w:before="156" w:afterLines="50" w:after="156"/>
        <w:rPr>
          <w:rFonts w:ascii="Times New Roman" w:hAnsi="Times New Roman" w:cs="Times New Roman"/>
          <w:b/>
        </w:rPr>
      </w:pPr>
      <w:r w:rsidRPr="00B34386">
        <w:rPr>
          <w:rFonts w:ascii="Times New Roman" w:hAnsi="Times New Roman" w:cs="Times New Roman"/>
          <w:b/>
        </w:rPr>
        <w:lastRenderedPageBreak/>
        <w:t>Table S</w:t>
      </w:r>
      <w:r w:rsidR="003101BC">
        <w:rPr>
          <w:rFonts w:ascii="Times New Roman" w:hAnsi="Times New Roman" w:cs="Times New Roman"/>
          <w:b/>
        </w:rPr>
        <w:t>6</w:t>
      </w:r>
      <w:r>
        <w:rPr>
          <w:rFonts w:ascii="Times New Roman" w:hAnsi="Times New Roman" w:cs="Times New Roman"/>
          <w:b/>
        </w:rPr>
        <w:t>b</w:t>
      </w:r>
      <w:r w:rsidRPr="00B34386">
        <w:rPr>
          <w:rFonts w:ascii="Times New Roman" w:hAnsi="Times New Roman" w:cs="Times New Roman"/>
          <w:b/>
        </w:rPr>
        <w:t xml:space="preserve"> </w:t>
      </w:r>
      <w:r w:rsidRPr="00B34386">
        <w:rPr>
          <w:rFonts w:ascii="Times New Roman" w:hAnsi="Times New Roman" w:cs="Times New Roman"/>
        </w:rPr>
        <w:t>Number of years contributed by ages and causes to the life expectancy gap</w:t>
      </w:r>
      <w:r>
        <w:rPr>
          <w:rFonts w:ascii="Times New Roman" w:hAnsi="Times New Roman" w:cs="Times New Roman"/>
        </w:rPr>
        <w:t xml:space="preserve"> for female, </w:t>
      </w:r>
      <w:r w:rsidRPr="00B34386">
        <w:rPr>
          <w:rFonts w:ascii="Times New Roman" w:hAnsi="Times New Roman" w:cs="Times New Roman"/>
        </w:rPr>
        <w:t xml:space="preserve">China, </w:t>
      </w:r>
      <w:r>
        <w:rPr>
          <w:rFonts w:ascii="Times New Roman" w:hAnsi="Times New Roman" w:cs="Times New Roman"/>
        </w:rPr>
        <w:t>2002-2007.</w:t>
      </w: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1134"/>
        <w:gridCol w:w="752"/>
        <w:gridCol w:w="752"/>
        <w:gridCol w:w="752"/>
        <w:gridCol w:w="752"/>
        <w:gridCol w:w="752"/>
        <w:gridCol w:w="752"/>
        <w:gridCol w:w="752"/>
        <w:gridCol w:w="751"/>
        <w:gridCol w:w="751"/>
        <w:gridCol w:w="751"/>
        <w:gridCol w:w="751"/>
        <w:gridCol w:w="751"/>
        <w:gridCol w:w="751"/>
        <w:gridCol w:w="751"/>
        <w:gridCol w:w="751"/>
        <w:gridCol w:w="751"/>
        <w:gridCol w:w="751"/>
        <w:gridCol w:w="751"/>
        <w:gridCol w:w="739"/>
      </w:tblGrid>
      <w:tr w:rsidR="002C7CEC" w:rsidRPr="002C7CEC" w:rsidTr="00AC34DD">
        <w:trPr>
          <w:trHeight w:val="280"/>
        </w:trPr>
        <w:tc>
          <w:tcPr>
            <w:tcW w:w="368" w:type="pct"/>
            <w:vMerge w:val="restart"/>
            <w:tcBorders>
              <w:top w:val="single" w:sz="12"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Causes of death</w:t>
            </w:r>
          </w:p>
        </w:tc>
        <w:tc>
          <w:tcPr>
            <w:tcW w:w="4632" w:type="pct"/>
            <w:gridSpan w:val="19"/>
            <w:tcBorders>
              <w:top w:val="single" w:sz="12"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Age groups</w:t>
            </w:r>
          </w:p>
        </w:tc>
      </w:tr>
      <w:tr w:rsidR="002C7CEC" w:rsidRPr="002C7CEC" w:rsidTr="00436CB2">
        <w:trPr>
          <w:trHeight w:val="280"/>
        </w:trPr>
        <w:tc>
          <w:tcPr>
            <w:tcW w:w="368" w:type="pct"/>
            <w:vMerge/>
            <w:tcBorders>
              <w:bottom w:val="single" w:sz="8" w:space="0" w:color="auto"/>
            </w:tcBorders>
            <w:vAlign w:val="center"/>
            <w:hideMark/>
          </w:tcPr>
          <w:p w:rsidR="002C7CEC" w:rsidRPr="002C7CEC" w:rsidRDefault="002C7CEC" w:rsidP="002C7CEC">
            <w:pPr>
              <w:widowControl/>
              <w:jc w:val="left"/>
              <w:rPr>
                <w:rFonts w:ascii="Times New Roman" w:eastAsia="宋体" w:hAnsi="Times New Roman" w:cs="Times New Roman"/>
                <w:color w:val="000000"/>
                <w:kern w:val="0"/>
                <w:sz w:val="18"/>
                <w:szCs w:val="15"/>
              </w:rPr>
            </w:pP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&lt;1</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1-4</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5-9</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10-14</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15-19</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20-24</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25-29</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30-34</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35-39</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40-44</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45-49</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50-54</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55-59</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60-64</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65-69</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70-74</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75-79</w:t>
            </w:r>
          </w:p>
        </w:tc>
        <w:tc>
          <w:tcPr>
            <w:tcW w:w="244"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80-84</w:t>
            </w:r>
          </w:p>
        </w:tc>
        <w:tc>
          <w:tcPr>
            <w:tcW w:w="240" w:type="pct"/>
            <w:tcBorders>
              <w:top w:val="single" w:sz="8" w:space="0" w:color="auto"/>
              <w:bottom w:val="single" w:sz="8" w:space="0" w:color="auto"/>
            </w:tcBorders>
            <w:shd w:val="clear" w:color="auto" w:fill="auto"/>
            <w:noWrap/>
            <w:vAlign w:val="center"/>
            <w:hideMark/>
          </w:tcPr>
          <w:p w:rsidR="002C7CEC" w:rsidRPr="002C7CEC" w:rsidRDefault="002C7CEC" w:rsidP="002C7CEC">
            <w:pPr>
              <w:widowControl/>
              <w:jc w:val="center"/>
              <w:rPr>
                <w:rFonts w:ascii="Times New Roman" w:eastAsia="宋体" w:hAnsi="Times New Roman" w:cs="Times New Roman"/>
                <w:color w:val="000000"/>
                <w:kern w:val="0"/>
                <w:sz w:val="18"/>
                <w:szCs w:val="15"/>
              </w:rPr>
            </w:pPr>
            <w:r w:rsidRPr="002C7CEC">
              <w:rPr>
                <w:rFonts w:ascii="Times New Roman" w:eastAsia="宋体" w:hAnsi="Times New Roman" w:cs="Times New Roman"/>
                <w:color w:val="000000"/>
                <w:kern w:val="0"/>
                <w:sz w:val="18"/>
                <w:szCs w:val="15"/>
              </w:rPr>
              <w:t>85+</w:t>
            </w:r>
          </w:p>
        </w:tc>
      </w:tr>
      <w:tr w:rsidR="00436CB2" w:rsidRPr="002C7CEC" w:rsidTr="00436CB2">
        <w:trPr>
          <w:trHeight w:val="280"/>
        </w:trPr>
        <w:tc>
          <w:tcPr>
            <w:tcW w:w="368" w:type="pct"/>
            <w:tcBorders>
              <w:top w:val="single" w:sz="8" w:space="0" w:color="auto"/>
            </w:tcBorders>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w:t>
            </w:r>
          </w:p>
        </w:tc>
        <w:tc>
          <w:tcPr>
            <w:tcW w:w="244" w:type="pct"/>
            <w:tcBorders>
              <w:top w:val="single" w:sz="8" w:space="0" w:color="auto"/>
            </w:tcBorders>
            <w:shd w:val="clear" w:color="auto" w:fill="auto"/>
            <w:noWrap/>
            <w:vAlign w:val="center"/>
            <w:hideMark/>
          </w:tcPr>
          <w:p w:rsidR="00436CB2" w:rsidRDefault="00436CB2" w:rsidP="00436CB2">
            <w:pPr>
              <w:widowControl/>
              <w:jc w:val="center"/>
              <w:rPr>
                <w:rFonts w:ascii="Times New Roman" w:hAnsi="Times New Roman" w:cs="Times New Roman"/>
                <w:sz w:val="16"/>
                <w:szCs w:val="16"/>
              </w:rPr>
            </w:pPr>
            <w:r>
              <w:rPr>
                <w:rFonts w:ascii="Times New Roman" w:hAnsi="Times New Roman" w:cs="Times New Roman"/>
                <w:sz w:val="16"/>
                <w:szCs w:val="16"/>
              </w:rPr>
              <w:t xml:space="preserve">0.4731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0.0574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0.0120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0.0090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0.0118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0.0095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0.0096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0.0064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0.0060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0.0067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0.0077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0.0116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0.0122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0.0132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0.0133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0.0121 </w:t>
            </w:r>
          </w:p>
        </w:tc>
        <w:tc>
          <w:tcPr>
            <w:tcW w:w="240"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0.0094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A1</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A2</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0.2261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0.0077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0.0066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A3</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A4</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A5</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0.2224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A6</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0.0192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A7</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0.1260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0.0388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0.0181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0.0387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0.0417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0.0685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0.0690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0.0930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0.0898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0.0941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0.2081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0.2278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0.2510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0.2624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0.1755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0.1022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0.0265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0.0264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0.0337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0.0261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0.0221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0.0469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0.0355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0.0269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0.0101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B2</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0.0245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0.0356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0.0365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0.0381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0.1015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0.1099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0.0684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0.0266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B3</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0.0223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0.0477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0.0655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0.0963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0.1087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0.0873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0.0648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B4</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B5</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B6</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0"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436CB2" w:rsidRPr="002C7CEC" w:rsidTr="00395B93">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B7</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B8</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B9</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2C7CEC" w:rsidTr="00436CB2">
        <w:trPr>
          <w:trHeight w:val="280"/>
        </w:trPr>
        <w:tc>
          <w:tcPr>
            <w:tcW w:w="368" w:type="pct"/>
            <w:shd w:val="clear" w:color="auto" w:fill="auto"/>
            <w:noWrap/>
            <w:vAlign w:val="center"/>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B10</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0.0973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0.0162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0.0251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0.0287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0.0315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0.0255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0.0254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0"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r>
      <w:tr w:rsidR="00436CB2" w:rsidRPr="002C7CEC" w:rsidTr="00395B93">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C1</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C2</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0.0189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C3</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C4</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0.0320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r>
      <w:tr w:rsidR="00436CB2" w:rsidRPr="002C7CEC" w:rsidTr="00436CB2">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TE</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0.6243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0.1386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0.0588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0.0430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0.0360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0.0821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0.0768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0.1035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0.0879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0.1103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0.2245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0.2440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0.2682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0.2796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0.1893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0.1102 </w:t>
            </w:r>
          </w:p>
        </w:tc>
      </w:tr>
    </w:tbl>
    <w:p w:rsidR="00C23AA8" w:rsidRPr="00C23AA8" w:rsidRDefault="00C23AA8" w:rsidP="00FE231B">
      <w:pPr>
        <w:rPr>
          <w:rFonts w:ascii="Times New Roman" w:hAnsi="Times New Roman" w:cs="Times New Roman"/>
          <w:i/>
        </w:rPr>
      </w:pPr>
      <w:r w:rsidRPr="00E310C7">
        <w:rPr>
          <w:rFonts w:ascii="Times New Roman" w:hAnsi="Times New Roman" w:cs="Times New Roman"/>
          <w:i/>
        </w:rPr>
        <w:t xml:space="preserve">Note: </w:t>
      </w:r>
      <w:r w:rsidRPr="00B67528">
        <w:rPr>
          <w:rFonts w:ascii="Times New Roman" w:hAnsi="Times New Roman" w:cs="Times New Roman"/>
          <w:i/>
        </w:rPr>
        <w:t>TE, total effect to the life expectancy gap.</w:t>
      </w:r>
      <w:r w:rsidR="00FE231B">
        <w:rPr>
          <w:rFonts w:ascii="Times New Roman" w:hAnsi="Times New Roman" w:cs="Times New Roman" w:hint="eastAsia"/>
          <w:i/>
        </w:rPr>
        <w:t xml:space="preserve"> </w:t>
      </w:r>
      <w:r w:rsidRPr="00C23AA8">
        <w:rPr>
          <w:rFonts w:ascii="Times New Roman" w:hAnsi="Times New Roman" w:cs="Times New Roman"/>
          <w:i/>
        </w:rPr>
        <w:t>Gray shadow</w:t>
      </w:r>
      <w:r>
        <w:rPr>
          <w:rFonts w:ascii="Times New Roman" w:hAnsi="Times New Roman" w:cs="Times New Roman"/>
          <w:i/>
        </w:rPr>
        <w:t xml:space="preserve"> represents n</w:t>
      </w:r>
      <w:r w:rsidRPr="00C23AA8">
        <w:rPr>
          <w:rFonts w:ascii="Times New Roman" w:hAnsi="Times New Roman" w:cs="Times New Roman"/>
          <w:i/>
        </w:rPr>
        <w:t>egative</w:t>
      </w:r>
      <w:r>
        <w:rPr>
          <w:rFonts w:ascii="Times New Roman" w:hAnsi="Times New Roman" w:cs="Times New Roman"/>
          <w:i/>
        </w:rPr>
        <w:t xml:space="preserve"> effect </w:t>
      </w:r>
      <w:r w:rsidRPr="00B67528">
        <w:rPr>
          <w:rFonts w:ascii="Times New Roman" w:hAnsi="Times New Roman" w:cs="Times New Roman"/>
          <w:i/>
        </w:rPr>
        <w:t>to the life expectancy gap</w:t>
      </w:r>
      <w:r w:rsidR="00AC34DD">
        <w:rPr>
          <w:rFonts w:ascii="Times New Roman" w:hAnsi="Times New Roman" w:cs="Times New Roman"/>
          <w:i/>
        </w:rPr>
        <w:t>; Value of ‘0.0000’ r</w:t>
      </w:r>
      <w:r w:rsidR="00AC34DD" w:rsidRPr="00AC34DD">
        <w:rPr>
          <w:rFonts w:ascii="Times New Roman" w:hAnsi="Times New Roman" w:cs="Times New Roman"/>
          <w:i/>
        </w:rPr>
        <w:t>epresents</w:t>
      </w:r>
      <w:r w:rsidR="00AC34DD">
        <w:rPr>
          <w:rFonts w:ascii="Times New Roman" w:hAnsi="Times New Roman" w:cs="Times New Roman"/>
          <w:i/>
        </w:rPr>
        <w:t xml:space="preserve"> |effect</w:t>
      </w:r>
      <w:r w:rsidR="00AC34DD">
        <w:rPr>
          <w:rFonts w:ascii="Times New Roman" w:hAnsi="Times New Roman" w:cs="Times New Roman" w:hint="eastAsia"/>
          <w:i/>
        </w:rPr>
        <w:t>|</w:t>
      </w:r>
      <w:r w:rsidR="00AC34DD">
        <w:rPr>
          <w:rFonts w:ascii="Times New Roman" w:hAnsi="Times New Roman" w:cs="Times New Roman"/>
          <w:i/>
        </w:rPr>
        <w:t>&lt;0.0001.</w:t>
      </w:r>
      <w:r w:rsidRPr="00C23AA8">
        <w:rPr>
          <w:rFonts w:ascii="Times New Roman" w:hAnsi="Times New Roman" w:cs="Times New Roman"/>
          <w:i/>
        </w:rPr>
        <w:br w:type="page"/>
      </w:r>
    </w:p>
    <w:p w:rsidR="002C7CEC" w:rsidRPr="00B67528" w:rsidRDefault="002C7CEC" w:rsidP="002C7CEC">
      <w:pPr>
        <w:adjustRightInd w:val="0"/>
        <w:snapToGrid w:val="0"/>
        <w:spacing w:beforeLines="50" w:before="156" w:afterLines="50" w:after="156"/>
        <w:rPr>
          <w:rFonts w:ascii="Times New Roman" w:hAnsi="Times New Roman" w:cs="Times New Roman"/>
          <w:b/>
        </w:rPr>
      </w:pPr>
      <w:r w:rsidRPr="00B34386">
        <w:rPr>
          <w:rFonts w:ascii="Times New Roman" w:hAnsi="Times New Roman" w:cs="Times New Roman"/>
          <w:b/>
        </w:rPr>
        <w:lastRenderedPageBreak/>
        <w:t>Table S</w:t>
      </w:r>
      <w:r w:rsidR="003101BC">
        <w:rPr>
          <w:rFonts w:ascii="Times New Roman" w:hAnsi="Times New Roman" w:cs="Times New Roman"/>
          <w:b/>
        </w:rPr>
        <w:t>7</w:t>
      </w:r>
      <w:r>
        <w:rPr>
          <w:rFonts w:ascii="Times New Roman" w:hAnsi="Times New Roman" w:cs="Times New Roman"/>
          <w:b/>
        </w:rPr>
        <w:t>a</w:t>
      </w:r>
      <w:r w:rsidRPr="00B34386">
        <w:rPr>
          <w:rFonts w:ascii="Times New Roman" w:hAnsi="Times New Roman" w:cs="Times New Roman"/>
          <w:b/>
        </w:rPr>
        <w:t xml:space="preserve"> </w:t>
      </w:r>
      <w:r w:rsidRPr="00B34386">
        <w:rPr>
          <w:rFonts w:ascii="Times New Roman" w:hAnsi="Times New Roman" w:cs="Times New Roman"/>
        </w:rPr>
        <w:t>Number of years contributed by ages and causes to the life expectancy gap</w:t>
      </w:r>
      <w:r>
        <w:rPr>
          <w:rFonts w:ascii="Times New Roman" w:hAnsi="Times New Roman" w:cs="Times New Roman"/>
        </w:rPr>
        <w:t xml:space="preserve"> for male, </w:t>
      </w:r>
      <w:r w:rsidRPr="00B34386">
        <w:rPr>
          <w:rFonts w:ascii="Times New Roman" w:hAnsi="Times New Roman" w:cs="Times New Roman"/>
        </w:rPr>
        <w:t xml:space="preserve">China, </w:t>
      </w:r>
      <w:r w:rsidR="003101BC">
        <w:rPr>
          <w:rFonts w:ascii="Times New Roman" w:hAnsi="Times New Roman" w:cs="Times New Roman"/>
        </w:rPr>
        <w:t>2007-2016</w:t>
      </w:r>
      <w:r>
        <w:rPr>
          <w:rFonts w:ascii="Times New Roman" w:hAnsi="Times New Roman" w:cs="Times New Roman"/>
        </w:rPr>
        <w:t>.</w:t>
      </w: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1134"/>
        <w:gridCol w:w="752"/>
        <w:gridCol w:w="752"/>
        <w:gridCol w:w="752"/>
        <w:gridCol w:w="752"/>
        <w:gridCol w:w="752"/>
        <w:gridCol w:w="752"/>
        <w:gridCol w:w="752"/>
        <w:gridCol w:w="751"/>
        <w:gridCol w:w="751"/>
        <w:gridCol w:w="751"/>
        <w:gridCol w:w="751"/>
        <w:gridCol w:w="751"/>
        <w:gridCol w:w="751"/>
        <w:gridCol w:w="751"/>
        <w:gridCol w:w="751"/>
        <w:gridCol w:w="751"/>
        <w:gridCol w:w="751"/>
        <w:gridCol w:w="751"/>
        <w:gridCol w:w="739"/>
      </w:tblGrid>
      <w:tr w:rsidR="003101BC" w:rsidRPr="003101BC" w:rsidTr="00843726">
        <w:trPr>
          <w:trHeight w:val="280"/>
        </w:trPr>
        <w:tc>
          <w:tcPr>
            <w:tcW w:w="368" w:type="pct"/>
            <w:vMerge w:val="restart"/>
            <w:tcBorders>
              <w:top w:val="single" w:sz="12" w:space="0" w:color="auto"/>
              <w:bottom w:val="nil"/>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Causes of death</w:t>
            </w:r>
          </w:p>
        </w:tc>
        <w:tc>
          <w:tcPr>
            <w:tcW w:w="4632" w:type="pct"/>
            <w:gridSpan w:val="19"/>
            <w:tcBorders>
              <w:top w:val="single" w:sz="12"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Age groups</w:t>
            </w:r>
          </w:p>
        </w:tc>
      </w:tr>
      <w:tr w:rsidR="003101BC" w:rsidRPr="003101BC" w:rsidTr="00843726">
        <w:trPr>
          <w:trHeight w:val="280"/>
        </w:trPr>
        <w:tc>
          <w:tcPr>
            <w:tcW w:w="368" w:type="pct"/>
            <w:vMerge/>
            <w:tcBorders>
              <w:top w:val="nil"/>
              <w:bottom w:val="single" w:sz="8" w:space="0" w:color="auto"/>
            </w:tcBorders>
            <w:vAlign w:val="center"/>
            <w:hideMark/>
          </w:tcPr>
          <w:p w:rsidR="003101BC" w:rsidRPr="003101BC" w:rsidRDefault="003101BC" w:rsidP="003101BC">
            <w:pPr>
              <w:widowControl/>
              <w:jc w:val="left"/>
              <w:rPr>
                <w:rFonts w:ascii="Times New Roman" w:eastAsia="宋体" w:hAnsi="Times New Roman" w:cs="Times New Roman"/>
                <w:color w:val="000000"/>
                <w:kern w:val="0"/>
                <w:sz w:val="18"/>
                <w:szCs w:val="15"/>
              </w:rPr>
            </w:pP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&lt;1</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1-4</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5-9</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10-14</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15-19</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20-24</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25-29</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30-34</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35-39</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40-44</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45-49</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50-54</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55-59</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60-64</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65-69</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70-74</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75-79</w:t>
            </w:r>
          </w:p>
        </w:tc>
        <w:tc>
          <w:tcPr>
            <w:tcW w:w="244"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80-84</w:t>
            </w:r>
          </w:p>
        </w:tc>
        <w:tc>
          <w:tcPr>
            <w:tcW w:w="240" w:type="pct"/>
            <w:tcBorders>
              <w:top w:val="single" w:sz="8" w:space="0" w:color="auto"/>
              <w:bottom w:val="single" w:sz="8" w:space="0" w:color="auto"/>
            </w:tcBorders>
            <w:shd w:val="clear" w:color="auto" w:fill="auto"/>
            <w:noWrap/>
            <w:vAlign w:val="center"/>
            <w:hideMark/>
          </w:tcPr>
          <w:p w:rsidR="003101BC" w:rsidRPr="003101BC" w:rsidRDefault="003101BC" w:rsidP="003101BC">
            <w:pPr>
              <w:widowControl/>
              <w:jc w:val="center"/>
              <w:rPr>
                <w:rFonts w:ascii="Times New Roman" w:eastAsia="宋体" w:hAnsi="Times New Roman" w:cs="Times New Roman"/>
                <w:color w:val="000000"/>
                <w:kern w:val="0"/>
                <w:sz w:val="18"/>
                <w:szCs w:val="15"/>
              </w:rPr>
            </w:pPr>
            <w:r w:rsidRPr="003101BC">
              <w:rPr>
                <w:rFonts w:ascii="Times New Roman" w:eastAsia="宋体" w:hAnsi="Times New Roman" w:cs="Times New Roman"/>
                <w:color w:val="000000"/>
                <w:kern w:val="0"/>
                <w:sz w:val="18"/>
                <w:szCs w:val="15"/>
              </w:rPr>
              <w:t>85+</w:t>
            </w:r>
          </w:p>
        </w:tc>
      </w:tr>
      <w:tr w:rsidR="00436CB2" w:rsidRPr="003101BC" w:rsidTr="00076AA4">
        <w:trPr>
          <w:trHeight w:val="280"/>
        </w:trPr>
        <w:tc>
          <w:tcPr>
            <w:tcW w:w="368" w:type="pct"/>
            <w:tcBorders>
              <w:top w:val="single" w:sz="8" w:space="0" w:color="auto"/>
            </w:tcBorders>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w:t>
            </w:r>
          </w:p>
        </w:tc>
        <w:tc>
          <w:tcPr>
            <w:tcW w:w="244" w:type="pct"/>
            <w:tcBorders>
              <w:top w:val="single" w:sz="8" w:space="0" w:color="auto"/>
            </w:tcBorders>
            <w:shd w:val="clear" w:color="auto" w:fill="auto"/>
            <w:noWrap/>
            <w:vAlign w:val="center"/>
            <w:hideMark/>
          </w:tcPr>
          <w:p w:rsidR="00436CB2" w:rsidRDefault="00436CB2" w:rsidP="00436CB2">
            <w:pPr>
              <w:widowControl/>
              <w:jc w:val="center"/>
              <w:rPr>
                <w:rFonts w:ascii="Times New Roman" w:hAnsi="Times New Roman" w:cs="Times New Roman"/>
                <w:sz w:val="16"/>
                <w:szCs w:val="16"/>
              </w:rPr>
            </w:pPr>
            <w:r>
              <w:rPr>
                <w:rFonts w:ascii="Times New Roman" w:hAnsi="Times New Roman" w:cs="Times New Roman"/>
                <w:sz w:val="16"/>
                <w:szCs w:val="16"/>
              </w:rPr>
              <w:t xml:space="preserve">0.4350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0.0350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0.0079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0.0076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0.0097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0.0081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0.0091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0.0113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0.0095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0.0076 </w:t>
            </w:r>
          </w:p>
        </w:tc>
        <w:tc>
          <w:tcPr>
            <w:tcW w:w="240"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0.0054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A1</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A2</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0.1373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0.0326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A3</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A4</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A5</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0.2943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A6</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A7</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0.1163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0.0276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0.0241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0.0595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0.1045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0.0707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0.1275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0.1567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0.0742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0.1240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0.1933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0.1478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0.0994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0.0466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0.0230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0.0362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0.0587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0.0641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0.0290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0.0434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0.0288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0.0104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B2</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0.0356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0.0372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0.0517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0.0195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0.0666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0.0451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0.0316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0.0092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B3</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0.0228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0.0290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0.0461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0.0736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0.0679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0.0537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0.0326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B4</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B5</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B6</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0"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B7</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0"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B8</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B9</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3101BC" w:rsidTr="00076AA4">
        <w:trPr>
          <w:trHeight w:val="280"/>
        </w:trPr>
        <w:tc>
          <w:tcPr>
            <w:tcW w:w="368" w:type="pct"/>
            <w:shd w:val="clear" w:color="auto" w:fill="auto"/>
            <w:noWrap/>
            <w:vAlign w:val="center"/>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B10</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0.0985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0.0142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0"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0.0508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0.0265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0.0362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0.0594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0.0383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0.0498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0.0659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0.0592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0.0239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0.0252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r>
      <w:tr w:rsidR="00436CB2" w:rsidRPr="003101BC" w:rsidTr="00395B93">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C1</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C2</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C3</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0.0342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0.0281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0.0366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0.0332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r>
      <w:tr w:rsidR="00436CB2" w:rsidRPr="003101BC" w:rsidTr="00076AA4">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C4</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0.0441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0.0338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0.0185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0.0149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0.0193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r>
      <w:tr w:rsidR="00436CB2" w:rsidRPr="003101BC" w:rsidTr="00843726">
        <w:trPr>
          <w:trHeight w:val="280"/>
        </w:trPr>
        <w:tc>
          <w:tcPr>
            <w:tcW w:w="368"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TE</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0.5720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0.1151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0.0724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0.0378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0.0514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0.0809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0.0512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0.0764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0.1287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0.1683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0.0993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0.1604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0.1843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0.0839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0.1369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0.2120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0.1631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0.1109 </w:t>
            </w:r>
          </w:p>
        </w:tc>
        <w:tc>
          <w:tcPr>
            <w:tcW w:w="240"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0.0536 </w:t>
            </w:r>
          </w:p>
        </w:tc>
      </w:tr>
    </w:tbl>
    <w:p w:rsidR="00C23AA8" w:rsidRPr="00C23AA8" w:rsidRDefault="00C23AA8" w:rsidP="00FE231B">
      <w:pPr>
        <w:rPr>
          <w:rFonts w:ascii="Times New Roman" w:hAnsi="Times New Roman" w:cs="Times New Roman"/>
          <w:i/>
        </w:rPr>
      </w:pPr>
      <w:r w:rsidRPr="00E310C7">
        <w:rPr>
          <w:rFonts w:ascii="Times New Roman" w:hAnsi="Times New Roman" w:cs="Times New Roman"/>
          <w:i/>
        </w:rPr>
        <w:t xml:space="preserve">Note: </w:t>
      </w:r>
      <w:r w:rsidRPr="00B67528">
        <w:rPr>
          <w:rFonts w:ascii="Times New Roman" w:hAnsi="Times New Roman" w:cs="Times New Roman"/>
          <w:i/>
        </w:rPr>
        <w:t>TE, total effect to the life expectancy gap.</w:t>
      </w:r>
      <w:r w:rsidR="00FE231B">
        <w:rPr>
          <w:rFonts w:ascii="Times New Roman" w:hAnsi="Times New Roman" w:cs="Times New Roman" w:hint="eastAsia"/>
          <w:i/>
        </w:rPr>
        <w:t xml:space="preserve"> </w:t>
      </w:r>
      <w:r w:rsidRPr="00C23AA8">
        <w:rPr>
          <w:rFonts w:ascii="Times New Roman" w:hAnsi="Times New Roman" w:cs="Times New Roman"/>
          <w:i/>
        </w:rPr>
        <w:t>Gray shadow</w:t>
      </w:r>
      <w:r>
        <w:rPr>
          <w:rFonts w:ascii="Times New Roman" w:hAnsi="Times New Roman" w:cs="Times New Roman"/>
          <w:i/>
        </w:rPr>
        <w:t xml:space="preserve"> represents n</w:t>
      </w:r>
      <w:r w:rsidRPr="00C23AA8">
        <w:rPr>
          <w:rFonts w:ascii="Times New Roman" w:hAnsi="Times New Roman" w:cs="Times New Roman"/>
          <w:i/>
        </w:rPr>
        <w:t>egative</w:t>
      </w:r>
      <w:r>
        <w:rPr>
          <w:rFonts w:ascii="Times New Roman" w:hAnsi="Times New Roman" w:cs="Times New Roman"/>
          <w:i/>
        </w:rPr>
        <w:t xml:space="preserve"> effect </w:t>
      </w:r>
      <w:r w:rsidRPr="00B67528">
        <w:rPr>
          <w:rFonts w:ascii="Times New Roman" w:hAnsi="Times New Roman" w:cs="Times New Roman"/>
          <w:i/>
        </w:rPr>
        <w:t>to the life expectancy gap</w:t>
      </w:r>
      <w:r w:rsidR="00AC34DD">
        <w:rPr>
          <w:rFonts w:ascii="Times New Roman" w:hAnsi="Times New Roman" w:cs="Times New Roman"/>
          <w:i/>
        </w:rPr>
        <w:t>; Value of ‘0.0000’ r</w:t>
      </w:r>
      <w:r w:rsidR="00AC34DD" w:rsidRPr="00AC34DD">
        <w:rPr>
          <w:rFonts w:ascii="Times New Roman" w:hAnsi="Times New Roman" w:cs="Times New Roman"/>
          <w:i/>
        </w:rPr>
        <w:t>epresents</w:t>
      </w:r>
      <w:r w:rsidR="00AC34DD">
        <w:rPr>
          <w:rFonts w:ascii="Times New Roman" w:hAnsi="Times New Roman" w:cs="Times New Roman"/>
          <w:i/>
        </w:rPr>
        <w:t xml:space="preserve"> |effect</w:t>
      </w:r>
      <w:r w:rsidR="00AC34DD">
        <w:rPr>
          <w:rFonts w:ascii="Times New Roman" w:hAnsi="Times New Roman" w:cs="Times New Roman" w:hint="eastAsia"/>
          <w:i/>
        </w:rPr>
        <w:t>|</w:t>
      </w:r>
      <w:r w:rsidR="00AC34DD">
        <w:rPr>
          <w:rFonts w:ascii="Times New Roman" w:hAnsi="Times New Roman" w:cs="Times New Roman"/>
          <w:i/>
        </w:rPr>
        <w:t>&lt;0.0001.</w:t>
      </w:r>
      <w:r w:rsidRPr="00C23AA8">
        <w:rPr>
          <w:rFonts w:ascii="Times New Roman" w:hAnsi="Times New Roman" w:cs="Times New Roman"/>
          <w:i/>
        </w:rPr>
        <w:br w:type="page"/>
      </w:r>
    </w:p>
    <w:p w:rsidR="003101BC" w:rsidRPr="00B67528" w:rsidRDefault="003101BC" w:rsidP="003101BC">
      <w:pPr>
        <w:adjustRightInd w:val="0"/>
        <w:snapToGrid w:val="0"/>
        <w:spacing w:beforeLines="50" w:before="156" w:afterLines="50" w:after="156"/>
        <w:rPr>
          <w:rFonts w:ascii="Times New Roman" w:hAnsi="Times New Roman" w:cs="Times New Roman"/>
          <w:b/>
        </w:rPr>
      </w:pPr>
      <w:r w:rsidRPr="00B34386">
        <w:rPr>
          <w:rFonts w:ascii="Times New Roman" w:hAnsi="Times New Roman" w:cs="Times New Roman"/>
          <w:b/>
        </w:rPr>
        <w:lastRenderedPageBreak/>
        <w:t>Table S</w:t>
      </w:r>
      <w:r>
        <w:rPr>
          <w:rFonts w:ascii="Times New Roman" w:hAnsi="Times New Roman" w:cs="Times New Roman"/>
          <w:b/>
        </w:rPr>
        <w:t>7b</w:t>
      </w:r>
      <w:r w:rsidRPr="00B34386">
        <w:rPr>
          <w:rFonts w:ascii="Times New Roman" w:hAnsi="Times New Roman" w:cs="Times New Roman"/>
          <w:b/>
        </w:rPr>
        <w:t xml:space="preserve"> </w:t>
      </w:r>
      <w:r w:rsidRPr="00B34386">
        <w:rPr>
          <w:rFonts w:ascii="Times New Roman" w:hAnsi="Times New Roman" w:cs="Times New Roman"/>
        </w:rPr>
        <w:t>Number of years contributed by ages and causes to the life expectancy gap</w:t>
      </w:r>
      <w:r>
        <w:rPr>
          <w:rFonts w:ascii="Times New Roman" w:hAnsi="Times New Roman" w:cs="Times New Roman"/>
        </w:rPr>
        <w:t xml:space="preserve"> for female, </w:t>
      </w:r>
      <w:r w:rsidRPr="00B34386">
        <w:rPr>
          <w:rFonts w:ascii="Times New Roman" w:hAnsi="Times New Roman" w:cs="Times New Roman"/>
        </w:rPr>
        <w:t xml:space="preserve">China, </w:t>
      </w:r>
      <w:r>
        <w:rPr>
          <w:rFonts w:ascii="Times New Roman" w:hAnsi="Times New Roman" w:cs="Times New Roman"/>
        </w:rPr>
        <w:t>2007-2016.</w:t>
      </w: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1276"/>
        <w:gridCol w:w="743"/>
        <w:gridCol w:w="743"/>
        <w:gridCol w:w="743"/>
        <w:gridCol w:w="745"/>
        <w:gridCol w:w="742"/>
        <w:gridCol w:w="742"/>
        <w:gridCol w:w="742"/>
        <w:gridCol w:w="745"/>
        <w:gridCol w:w="742"/>
        <w:gridCol w:w="742"/>
        <w:gridCol w:w="742"/>
        <w:gridCol w:w="745"/>
        <w:gridCol w:w="742"/>
        <w:gridCol w:w="742"/>
        <w:gridCol w:w="742"/>
        <w:gridCol w:w="745"/>
        <w:gridCol w:w="742"/>
        <w:gridCol w:w="742"/>
        <w:gridCol w:w="751"/>
      </w:tblGrid>
      <w:tr w:rsidR="00C23AA8" w:rsidRPr="00C23AA8" w:rsidTr="00AC34DD">
        <w:trPr>
          <w:trHeight w:val="280"/>
        </w:trPr>
        <w:tc>
          <w:tcPr>
            <w:tcW w:w="414" w:type="pct"/>
            <w:vMerge w:val="restart"/>
            <w:tcBorders>
              <w:top w:val="single" w:sz="12" w:space="0" w:color="auto"/>
              <w:bottom w:val="nil"/>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Causes of death</w:t>
            </w:r>
          </w:p>
        </w:tc>
        <w:tc>
          <w:tcPr>
            <w:tcW w:w="4586" w:type="pct"/>
            <w:gridSpan w:val="19"/>
            <w:tcBorders>
              <w:top w:val="single" w:sz="12"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Age groups</w:t>
            </w:r>
          </w:p>
        </w:tc>
      </w:tr>
      <w:tr w:rsidR="00C23AA8" w:rsidRPr="00C23AA8" w:rsidTr="00436CB2">
        <w:trPr>
          <w:trHeight w:val="280"/>
        </w:trPr>
        <w:tc>
          <w:tcPr>
            <w:tcW w:w="414" w:type="pct"/>
            <w:vMerge/>
            <w:tcBorders>
              <w:top w:val="nil"/>
              <w:bottom w:val="single" w:sz="8" w:space="0" w:color="auto"/>
            </w:tcBorders>
            <w:vAlign w:val="center"/>
            <w:hideMark/>
          </w:tcPr>
          <w:p w:rsidR="00C23AA8" w:rsidRPr="00C23AA8" w:rsidRDefault="00C23AA8" w:rsidP="00C23AA8">
            <w:pPr>
              <w:widowControl/>
              <w:jc w:val="left"/>
              <w:rPr>
                <w:rFonts w:ascii="Times New Roman" w:eastAsia="宋体" w:hAnsi="Times New Roman" w:cs="Times New Roman"/>
                <w:color w:val="000000"/>
                <w:kern w:val="0"/>
                <w:sz w:val="18"/>
                <w:szCs w:val="15"/>
              </w:rPr>
            </w:pP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&lt;1</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1-4</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5-9</w:t>
            </w:r>
          </w:p>
        </w:tc>
        <w:tc>
          <w:tcPr>
            <w:tcW w:w="242"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10-14</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15-19</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20-24</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25-29</w:t>
            </w:r>
          </w:p>
        </w:tc>
        <w:tc>
          <w:tcPr>
            <w:tcW w:w="242"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30-34</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35-39</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40-44</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45-49</w:t>
            </w:r>
          </w:p>
        </w:tc>
        <w:tc>
          <w:tcPr>
            <w:tcW w:w="242"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50-54</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55-59</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60-64</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65-69</w:t>
            </w:r>
          </w:p>
        </w:tc>
        <w:tc>
          <w:tcPr>
            <w:tcW w:w="242"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70-74</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75-79</w:t>
            </w:r>
          </w:p>
        </w:tc>
        <w:tc>
          <w:tcPr>
            <w:tcW w:w="241"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80-84</w:t>
            </w:r>
          </w:p>
        </w:tc>
        <w:tc>
          <w:tcPr>
            <w:tcW w:w="244" w:type="pct"/>
            <w:tcBorders>
              <w:top w:val="single" w:sz="8" w:space="0" w:color="auto"/>
              <w:bottom w:val="single" w:sz="8" w:space="0" w:color="auto"/>
            </w:tcBorders>
            <w:shd w:val="clear" w:color="auto" w:fill="auto"/>
            <w:noWrap/>
            <w:vAlign w:val="center"/>
            <w:hideMark/>
          </w:tcPr>
          <w:p w:rsidR="00C23AA8" w:rsidRPr="00C23AA8" w:rsidRDefault="00C23AA8" w:rsidP="00C23AA8">
            <w:pPr>
              <w:widowControl/>
              <w:jc w:val="center"/>
              <w:rPr>
                <w:rFonts w:ascii="Times New Roman" w:eastAsia="宋体" w:hAnsi="Times New Roman" w:cs="Times New Roman"/>
                <w:color w:val="000000"/>
                <w:kern w:val="0"/>
                <w:sz w:val="18"/>
                <w:szCs w:val="15"/>
              </w:rPr>
            </w:pPr>
            <w:r w:rsidRPr="00C23AA8">
              <w:rPr>
                <w:rFonts w:ascii="Times New Roman" w:eastAsia="宋体" w:hAnsi="Times New Roman" w:cs="Times New Roman"/>
                <w:color w:val="000000"/>
                <w:kern w:val="0"/>
                <w:sz w:val="18"/>
                <w:szCs w:val="15"/>
              </w:rPr>
              <w:t>85+</w:t>
            </w:r>
          </w:p>
        </w:tc>
      </w:tr>
      <w:tr w:rsidR="00436CB2" w:rsidRPr="00C23AA8" w:rsidTr="00436CB2">
        <w:trPr>
          <w:trHeight w:val="280"/>
        </w:trPr>
        <w:tc>
          <w:tcPr>
            <w:tcW w:w="414" w:type="pct"/>
            <w:tcBorders>
              <w:top w:val="single" w:sz="8" w:space="0" w:color="auto"/>
            </w:tcBorders>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w:t>
            </w:r>
          </w:p>
        </w:tc>
        <w:tc>
          <w:tcPr>
            <w:tcW w:w="241" w:type="pct"/>
            <w:tcBorders>
              <w:top w:val="single" w:sz="8" w:space="0" w:color="auto"/>
            </w:tcBorders>
            <w:shd w:val="clear" w:color="auto" w:fill="auto"/>
            <w:noWrap/>
            <w:vAlign w:val="center"/>
            <w:hideMark/>
          </w:tcPr>
          <w:p w:rsidR="00436CB2" w:rsidRDefault="00436CB2" w:rsidP="00436CB2">
            <w:pPr>
              <w:widowControl/>
              <w:jc w:val="center"/>
              <w:rPr>
                <w:rFonts w:ascii="Times New Roman" w:hAnsi="Times New Roman" w:cs="Times New Roman"/>
                <w:sz w:val="16"/>
                <w:szCs w:val="16"/>
              </w:rPr>
            </w:pPr>
            <w:r>
              <w:rPr>
                <w:rFonts w:ascii="Times New Roman" w:hAnsi="Times New Roman" w:cs="Times New Roman"/>
                <w:sz w:val="16"/>
                <w:szCs w:val="16"/>
              </w:rPr>
              <w:t xml:space="preserve">0.4165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0.0336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0.0020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0.0084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0.0057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0.0081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0.0084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0.0106 </w:t>
            </w:r>
          </w:p>
        </w:tc>
        <w:tc>
          <w:tcPr>
            <w:tcW w:w="242"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0.0139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0.0133 </w:t>
            </w:r>
          </w:p>
        </w:tc>
        <w:tc>
          <w:tcPr>
            <w:tcW w:w="241"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0.0144 </w:t>
            </w:r>
          </w:p>
        </w:tc>
        <w:tc>
          <w:tcPr>
            <w:tcW w:w="244" w:type="pct"/>
            <w:tcBorders>
              <w:top w:val="single" w:sz="8" w:space="0" w:color="auto"/>
            </w:tcBorders>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0.0169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A1</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0.0015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A2</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0.1270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0.0142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A3</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A4</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A5</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0.2778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A6</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A7</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0.1130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0.0369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0.0269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0.0513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0.0840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0.0768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0.1488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0.2224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0.2166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0.3209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0.4287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0.3621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0.2845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0.2108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0.0329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0.0287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0.0498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0.0675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0.0532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0.0742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0.0831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0.0519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0.0262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0.0137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B2</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0.0326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0.0307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0.0660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0.1023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0.1031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0.1542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0.2064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0.1790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0.1393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0.0941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B3</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0.0140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0.0255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0.0375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0.0635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0.1068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0.1105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0.1053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0.0941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B4</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0.0028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B5</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0.0061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0.0054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B6</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r>
      <w:tr w:rsidR="00436CB2" w:rsidRPr="00C23AA8" w:rsidTr="00B84F9B">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B7</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4" w:type="pct"/>
            <w:shd w:val="clear" w:color="D9D9D9" w:fill="BFBFBF"/>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B8</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0.0146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B9</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r>
      <w:tr w:rsidR="00436CB2" w:rsidRPr="00C23AA8" w:rsidTr="00436CB2">
        <w:trPr>
          <w:trHeight w:val="280"/>
        </w:trPr>
        <w:tc>
          <w:tcPr>
            <w:tcW w:w="414" w:type="pct"/>
            <w:shd w:val="clear" w:color="auto" w:fill="auto"/>
            <w:noWrap/>
            <w:vAlign w:val="center"/>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B10</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0.0927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0.0181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2"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0.0009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0.0017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0.0014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0.0006 </w:t>
            </w:r>
          </w:p>
        </w:tc>
        <w:tc>
          <w:tcPr>
            <w:tcW w:w="242"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0.0004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0.0001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2"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0.0002 </w:t>
            </w:r>
          </w:p>
        </w:tc>
        <w:tc>
          <w:tcPr>
            <w:tcW w:w="241"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0.0003 </w:t>
            </w:r>
          </w:p>
        </w:tc>
        <w:tc>
          <w:tcPr>
            <w:tcW w:w="244" w:type="pct"/>
            <w:shd w:val="clear" w:color="auto" w:fill="auto"/>
            <w:noWrap/>
            <w:vAlign w:val="center"/>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ind w:firstLineChars="50" w:firstLine="90"/>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0.0499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0.0088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0.0250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0.0303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0.0221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0.0252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0.0286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0.0272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0.0218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0.0216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0.0143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0.0171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0.0191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0.0125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0.0091 </w:t>
            </w:r>
          </w:p>
        </w:tc>
      </w:tr>
      <w:tr w:rsidR="00436CB2" w:rsidRPr="00C23AA8" w:rsidTr="00B84F9B">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C1</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0.0000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C2</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0.0019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0.0005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0.0118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0.0131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0.0091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0.0050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C3</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0.0124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0.0067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0.0085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0.0108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0.0052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0.0071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0.0016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0.0010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C4</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0.0154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0.0357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0.0056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0.0027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0.0045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0.0039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0.0059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0.0055 </w:t>
            </w:r>
          </w:p>
        </w:tc>
      </w:tr>
      <w:tr w:rsidR="00436CB2" w:rsidRPr="00C23AA8" w:rsidTr="00436CB2">
        <w:trPr>
          <w:trHeight w:val="280"/>
        </w:trPr>
        <w:tc>
          <w:tcPr>
            <w:tcW w:w="414" w:type="pct"/>
            <w:shd w:val="clear" w:color="auto" w:fill="auto"/>
            <w:noWrap/>
            <w:vAlign w:val="center"/>
            <w:hideMark/>
          </w:tcPr>
          <w:p w:rsidR="00436CB2" w:rsidRPr="002C7CEC" w:rsidRDefault="00436CB2" w:rsidP="00436CB2">
            <w:pPr>
              <w:widowControl/>
              <w:jc w:val="center"/>
              <w:rPr>
                <w:rFonts w:ascii="Times New Roman" w:eastAsia="宋体" w:hAnsi="Times New Roman" w:cs="Times New Roman"/>
                <w:color w:val="000000"/>
                <w:kern w:val="0"/>
                <w:sz w:val="18"/>
                <w:szCs w:val="18"/>
              </w:rPr>
            </w:pPr>
            <w:r w:rsidRPr="002C7CEC">
              <w:rPr>
                <w:rFonts w:ascii="Times New Roman" w:eastAsia="宋体" w:hAnsi="Times New Roman" w:cs="Times New Roman"/>
                <w:color w:val="000000"/>
                <w:kern w:val="0"/>
                <w:sz w:val="18"/>
                <w:szCs w:val="18"/>
              </w:rPr>
              <w:t>TE</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0.5498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0.1204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0.0168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0.0161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0.0468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0.0590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0.0448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0.0577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0.0857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0.1163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0.0974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0.1768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0.2522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0.2393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0.3486 </w:t>
            </w:r>
          </w:p>
        </w:tc>
        <w:tc>
          <w:tcPr>
            <w:tcW w:w="242"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0.4617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0.3910 </w:t>
            </w:r>
          </w:p>
        </w:tc>
        <w:tc>
          <w:tcPr>
            <w:tcW w:w="241"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0.3113 </w:t>
            </w:r>
          </w:p>
        </w:tc>
        <w:tc>
          <w:tcPr>
            <w:tcW w:w="244" w:type="pct"/>
            <w:shd w:val="clear" w:color="auto" w:fill="auto"/>
            <w:noWrap/>
            <w:vAlign w:val="center"/>
            <w:hideMark/>
          </w:tcPr>
          <w:p w:rsidR="00436CB2" w:rsidRDefault="00436CB2" w:rsidP="00436CB2">
            <w:pPr>
              <w:jc w:val="center"/>
              <w:rPr>
                <w:rFonts w:ascii="Times New Roman" w:hAnsi="Times New Roman" w:cs="Times New Roman"/>
                <w:sz w:val="16"/>
                <w:szCs w:val="16"/>
              </w:rPr>
            </w:pPr>
            <w:r>
              <w:rPr>
                <w:rFonts w:ascii="Times New Roman" w:hAnsi="Times New Roman" w:cs="Times New Roman"/>
                <w:sz w:val="16"/>
                <w:szCs w:val="16"/>
              </w:rPr>
              <w:t xml:space="preserve">0.2369 </w:t>
            </w:r>
          </w:p>
        </w:tc>
      </w:tr>
    </w:tbl>
    <w:p w:rsidR="003101BC" w:rsidRPr="00843726" w:rsidRDefault="00C23AA8" w:rsidP="00FE231B">
      <w:pPr>
        <w:rPr>
          <w:rFonts w:ascii="Times New Roman" w:hAnsi="Times New Roman" w:cs="Times New Roman"/>
          <w:i/>
        </w:rPr>
      </w:pPr>
      <w:r w:rsidRPr="00E310C7">
        <w:rPr>
          <w:rFonts w:ascii="Times New Roman" w:hAnsi="Times New Roman" w:cs="Times New Roman"/>
          <w:i/>
        </w:rPr>
        <w:t xml:space="preserve">Note: </w:t>
      </w:r>
      <w:r w:rsidRPr="00B67528">
        <w:rPr>
          <w:rFonts w:ascii="Times New Roman" w:hAnsi="Times New Roman" w:cs="Times New Roman"/>
          <w:i/>
        </w:rPr>
        <w:t>TE, total effect to the life expectancy gap.</w:t>
      </w:r>
      <w:r w:rsidR="00FE231B">
        <w:rPr>
          <w:rFonts w:ascii="Times New Roman" w:hAnsi="Times New Roman" w:cs="Times New Roman" w:hint="eastAsia"/>
          <w:i/>
        </w:rPr>
        <w:t xml:space="preserve"> </w:t>
      </w:r>
      <w:r w:rsidRPr="00C23AA8">
        <w:rPr>
          <w:rFonts w:ascii="Times New Roman" w:hAnsi="Times New Roman" w:cs="Times New Roman"/>
          <w:i/>
        </w:rPr>
        <w:t>Gray shadow</w:t>
      </w:r>
      <w:r>
        <w:rPr>
          <w:rFonts w:ascii="Times New Roman" w:hAnsi="Times New Roman" w:cs="Times New Roman"/>
          <w:i/>
        </w:rPr>
        <w:t xml:space="preserve"> represents n</w:t>
      </w:r>
      <w:r w:rsidRPr="00C23AA8">
        <w:rPr>
          <w:rFonts w:ascii="Times New Roman" w:hAnsi="Times New Roman" w:cs="Times New Roman"/>
          <w:i/>
        </w:rPr>
        <w:t>egative</w:t>
      </w:r>
      <w:r>
        <w:rPr>
          <w:rFonts w:ascii="Times New Roman" w:hAnsi="Times New Roman" w:cs="Times New Roman"/>
          <w:i/>
        </w:rPr>
        <w:t xml:space="preserve"> effect </w:t>
      </w:r>
      <w:r w:rsidRPr="00B67528">
        <w:rPr>
          <w:rFonts w:ascii="Times New Roman" w:hAnsi="Times New Roman" w:cs="Times New Roman"/>
          <w:i/>
        </w:rPr>
        <w:t>to the life expectancy gap</w:t>
      </w:r>
      <w:r w:rsidR="00AC34DD">
        <w:rPr>
          <w:rFonts w:ascii="Times New Roman" w:hAnsi="Times New Roman" w:cs="Times New Roman"/>
          <w:i/>
        </w:rPr>
        <w:t>; Value of ‘0.0000’ r</w:t>
      </w:r>
      <w:r w:rsidR="00AC34DD" w:rsidRPr="00AC34DD">
        <w:rPr>
          <w:rFonts w:ascii="Times New Roman" w:hAnsi="Times New Roman" w:cs="Times New Roman"/>
          <w:i/>
        </w:rPr>
        <w:t>epresents</w:t>
      </w:r>
      <w:r w:rsidR="00AC34DD">
        <w:rPr>
          <w:rFonts w:ascii="Times New Roman" w:hAnsi="Times New Roman" w:cs="Times New Roman"/>
          <w:i/>
        </w:rPr>
        <w:t xml:space="preserve"> |effect</w:t>
      </w:r>
      <w:r w:rsidR="00AC34DD">
        <w:rPr>
          <w:rFonts w:ascii="Times New Roman" w:hAnsi="Times New Roman" w:cs="Times New Roman" w:hint="eastAsia"/>
          <w:i/>
        </w:rPr>
        <w:t>|</w:t>
      </w:r>
      <w:r w:rsidR="00AC34DD">
        <w:rPr>
          <w:rFonts w:ascii="Times New Roman" w:hAnsi="Times New Roman" w:cs="Times New Roman"/>
          <w:i/>
        </w:rPr>
        <w:t>&lt;0.0001.</w:t>
      </w:r>
    </w:p>
    <w:sectPr w:rsidR="003101BC" w:rsidRPr="00843726" w:rsidSect="004F57BB">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6443" w:rsidRDefault="001B6443" w:rsidP="00076AA4">
      <w:r>
        <w:separator/>
      </w:r>
    </w:p>
  </w:endnote>
  <w:endnote w:type="continuationSeparator" w:id="0">
    <w:p w:rsidR="001B6443" w:rsidRDefault="001B6443" w:rsidP="0007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Italic">
    <w:altName w:val="Times New Roman"/>
    <w:panose1 w:val="00000000000000000000"/>
    <w:charset w:val="00"/>
    <w:family w:val="roman"/>
    <w:notTrueType/>
    <w:pitch w:val="default"/>
  </w:font>
  <w:font w:name="Shaker2Lancet-Bold">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6443" w:rsidRDefault="001B6443" w:rsidP="00076AA4">
      <w:r>
        <w:separator/>
      </w:r>
    </w:p>
  </w:footnote>
  <w:footnote w:type="continuationSeparator" w:id="0">
    <w:p w:rsidR="001B6443" w:rsidRDefault="001B6443" w:rsidP="00076A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3304B1"/>
    <w:multiLevelType w:val="hybridMultilevel"/>
    <w:tmpl w:val="7846A308"/>
    <w:lvl w:ilvl="0" w:tplc="947000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8D7621A"/>
    <w:multiLevelType w:val="hybridMultilevel"/>
    <w:tmpl w:val="77265E52"/>
    <w:lvl w:ilvl="0" w:tplc="DCDC7116">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AA922B2"/>
    <w:multiLevelType w:val="hybridMultilevel"/>
    <w:tmpl w:val="36BAC596"/>
    <w:lvl w:ilvl="0" w:tplc="606EB22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CA071DD"/>
    <w:multiLevelType w:val="hybridMultilevel"/>
    <w:tmpl w:val="B98A983C"/>
    <w:lvl w:ilvl="0" w:tplc="E76CC2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C9771E8"/>
    <w:multiLevelType w:val="hybridMultilevel"/>
    <w:tmpl w:val="DC289320"/>
    <w:lvl w:ilvl="0" w:tplc="827C77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DA60B81"/>
    <w:multiLevelType w:val="hybridMultilevel"/>
    <w:tmpl w:val="DAA81EEE"/>
    <w:lvl w:ilvl="0" w:tplc="DCDC71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BA7"/>
    <w:rsid w:val="0003093C"/>
    <w:rsid w:val="00030B2E"/>
    <w:rsid w:val="00076AA4"/>
    <w:rsid w:val="00090A89"/>
    <w:rsid w:val="000D1D42"/>
    <w:rsid w:val="00142C80"/>
    <w:rsid w:val="00180BD3"/>
    <w:rsid w:val="001B6443"/>
    <w:rsid w:val="001D1AAD"/>
    <w:rsid w:val="001D3D4D"/>
    <w:rsid w:val="001D73C8"/>
    <w:rsid w:val="001F40AA"/>
    <w:rsid w:val="00205E34"/>
    <w:rsid w:val="002550FA"/>
    <w:rsid w:val="00294CBD"/>
    <w:rsid w:val="002C7CEC"/>
    <w:rsid w:val="002F0BA7"/>
    <w:rsid w:val="003101BC"/>
    <w:rsid w:val="00323B0C"/>
    <w:rsid w:val="003422E8"/>
    <w:rsid w:val="003605E9"/>
    <w:rsid w:val="00395B93"/>
    <w:rsid w:val="00400419"/>
    <w:rsid w:val="00407EB0"/>
    <w:rsid w:val="00417599"/>
    <w:rsid w:val="00436CB2"/>
    <w:rsid w:val="00471775"/>
    <w:rsid w:val="004B0BF2"/>
    <w:rsid w:val="004C4308"/>
    <w:rsid w:val="004F57BB"/>
    <w:rsid w:val="00521076"/>
    <w:rsid w:val="00523463"/>
    <w:rsid w:val="00537E66"/>
    <w:rsid w:val="00540C58"/>
    <w:rsid w:val="0054111A"/>
    <w:rsid w:val="005A7AAA"/>
    <w:rsid w:val="006502E2"/>
    <w:rsid w:val="00665117"/>
    <w:rsid w:val="006725BC"/>
    <w:rsid w:val="006876AC"/>
    <w:rsid w:val="006934FD"/>
    <w:rsid w:val="006A23A6"/>
    <w:rsid w:val="006B6C99"/>
    <w:rsid w:val="006F5B30"/>
    <w:rsid w:val="007147A5"/>
    <w:rsid w:val="00727EF1"/>
    <w:rsid w:val="0076516C"/>
    <w:rsid w:val="00807922"/>
    <w:rsid w:val="0082250B"/>
    <w:rsid w:val="00843726"/>
    <w:rsid w:val="00890E0C"/>
    <w:rsid w:val="008A1767"/>
    <w:rsid w:val="008A254C"/>
    <w:rsid w:val="008A75FC"/>
    <w:rsid w:val="008B19E1"/>
    <w:rsid w:val="009810B4"/>
    <w:rsid w:val="00993935"/>
    <w:rsid w:val="00A14AB6"/>
    <w:rsid w:val="00A47AAC"/>
    <w:rsid w:val="00AC34DD"/>
    <w:rsid w:val="00AE285F"/>
    <w:rsid w:val="00B34386"/>
    <w:rsid w:val="00B67528"/>
    <w:rsid w:val="00B84F9B"/>
    <w:rsid w:val="00BB7A4B"/>
    <w:rsid w:val="00BD47E2"/>
    <w:rsid w:val="00C23AA8"/>
    <w:rsid w:val="00C53AA1"/>
    <w:rsid w:val="00C806F2"/>
    <w:rsid w:val="00CF5E2C"/>
    <w:rsid w:val="00D00EBE"/>
    <w:rsid w:val="00D03853"/>
    <w:rsid w:val="00DD5613"/>
    <w:rsid w:val="00E310C7"/>
    <w:rsid w:val="00E5512D"/>
    <w:rsid w:val="00E71147"/>
    <w:rsid w:val="00E8739B"/>
    <w:rsid w:val="00EC03A9"/>
    <w:rsid w:val="00F275A3"/>
    <w:rsid w:val="00F865FC"/>
    <w:rsid w:val="00FE2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5765A3-8D0F-4F0E-9CAE-27FC67394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C43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076A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76AA4"/>
    <w:rPr>
      <w:sz w:val="18"/>
      <w:szCs w:val="18"/>
    </w:rPr>
  </w:style>
  <w:style w:type="paragraph" w:styleId="a5">
    <w:name w:val="footer"/>
    <w:basedOn w:val="a"/>
    <w:link w:val="Char0"/>
    <w:uiPriority w:val="99"/>
    <w:unhideWhenUsed/>
    <w:rsid w:val="00076AA4"/>
    <w:pPr>
      <w:tabs>
        <w:tab w:val="center" w:pos="4153"/>
        <w:tab w:val="right" w:pos="8306"/>
      </w:tabs>
      <w:snapToGrid w:val="0"/>
      <w:jc w:val="left"/>
    </w:pPr>
    <w:rPr>
      <w:sz w:val="18"/>
      <w:szCs w:val="18"/>
    </w:rPr>
  </w:style>
  <w:style w:type="character" w:customStyle="1" w:styleId="Char0">
    <w:name w:val="页脚 Char"/>
    <w:basedOn w:val="a0"/>
    <w:link w:val="a5"/>
    <w:uiPriority w:val="99"/>
    <w:rsid w:val="00076AA4"/>
    <w:rPr>
      <w:sz w:val="18"/>
      <w:szCs w:val="18"/>
    </w:rPr>
  </w:style>
  <w:style w:type="paragraph" w:styleId="a6">
    <w:name w:val="List Paragraph"/>
    <w:basedOn w:val="a"/>
    <w:uiPriority w:val="34"/>
    <w:qFormat/>
    <w:rsid w:val="004F57BB"/>
    <w:pPr>
      <w:ind w:firstLineChars="200" w:firstLine="420"/>
    </w:pPr>
  </w:style>
  <w:style w:type="character" w:customStyle="1" w:styleId="fontstyle01">
    <w:name w:val="fontstyle01"/>
    <w:basedOn w:val="a0"/>
    <w:rsid w:val="00CF5E2C"/>
    <w:rPr>
      <w:rFonts w:ascii="Cambria" w:hAnsi="Cambria" w:hint="default"/>
      <w:b w:val="0"/>
      <w:bCs w:val="0"/>
      <w:i w:val="0"/>
      <w:iCs w:val="0"/>
      <w:color w:val="000000"/>
      <w:sz w:val="18"/>
      <w:szCs w:val="18"/>
    </w:rPr>
  </w:style>
  <w:style w:type="character" w:customStyle="1" w:styleId="fontstyle11">
    <w:name w:val="fontstyle11"/>
    <w:basedOn w:val="a0"/>
    <w:rsid w:val="00CF5E2C"/>
    <w:rPr>
      <w:rFonts w:ascii="Calibri" w:hAnsi="Calibri" w:hint="default"/>
      <w:b w:val="0"/>
      <w:bCs w:val="0"/>
      <w:i w:val="0"/>
      <w:iCs w:val="0"/>
      <w:color w:val="000000"/>
      <w:sz w:val="24"/>
      <w:szCs w:val="24"/>
    </w:rPr>
  </w:style>
  <w:style w:type="character" w:customStyle="1" w:styleId="fontstyle31">
    <w:name w:val="fontstyle31"/>
    <w:basedOn w:val="a0"/>
    <w:rsid w:val="00CF5E2C"/>
    <w:rPr>
      <w:rFonts w:ascii="Calibri-Italic" w:hAnsi="Calibri-Italic" w:hint="default"/>
      <w:b w:val="0"/>
      <w:bCs w:val="0"/>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0448">
      <w:bodyDiv w:val="1"/>
      <w:marLeft w:val="0"/>
      <w:marRight w:val="0"/>
      <w:marTop w:val="0"/>
      <w:marBottom w:val="0"/>
      <w:divBdr>
        <w:top w:val="none" w:sz="0" w:space="0" w:color="auto"/>
        <w:left w:val="none" w:sz="0" w:space="0" w:color="auto"/>
        <w:bottom w:val="none" w:sz="0" w:space="0" w:color="auto"/>
        <w:right w:val="none" w:sz="0" w:space="0" w:color="auto"/>
      </w:divBdr>
    </w:div>
    <w:div w:id="65418169">
      <w:bodyDiv w:val="1"/>
      <w:marLeft w:val="0"/>
      <w:marRight w:val="0"/>
      <w:marTop w:val="0"/>
      <w:marBottom w:val="0"/>
      <w:divBdr>
        <w:top w:val="none" w:sz="0" w:space="0" w:color="auto"/>
        <w:left w:val="none" w:sz="0" w:space="0" w:color="auto"/>
        <w:bottom w:val="none" w:sz="0" w:space="0" w:color="auto"/>
        <w:right w:val="none" w:sz="0" w:space="0" w:color="auto"/>
      </w:divBdr>
    </w:div>
    <w:div w:id="186407718">
      <w:bodyDiv w:val="1"/>
      <w:marLeft w:val="0"/>
      <w:marRight w:val="0"/>
      <w:marTop w:val="0"/>
      <w:marBottom w:val="0"/>
      <w:divBdr>
        <w:top w:val="none" w:sz="0" w:space="0" w:color="auto"/>
        <w:left w:val="none" w:sz="0" w:space="0" w:color="auto"/>
        <w:bottom w:val="none" w:sz="0" w:space="0" w:color="auto"/>
        <w:right w:val="none" w:sz="0" w:space="0" w:color="auto"/>
      </w:divBdr>
    </w:div>
    <w:div w:id="200559281">
      <w:bodyDiv w:val="1"/>
      <w:marLeft w:val="0"/>
      <w:marRight w:val="0"/>
      <w:marTop w:val="0"/>
      <w:marBottom w:val="0"/>
      <w:divBdr>
        <w:top w:val="none" w:sz="0" w:space="0" w:color="auto"/>
        <w:left w:val="none" w:sz="0" w:space="0" w:color="auto"/>
        <w:bottom w:val="none" w:sz="0" w:space="0" w:color="auto"/>
        <w:right w:val="none" w:sz="0" w:space="0" w:color="auto"/>
      </w:divBdr>
    </w:div>
    <w:div w:id="213347866">
      <w:bodyDiv w:val="1"/>
      <w:marLeft w:val="0"/>
      <w:marRight w:val="0"/>
      <w:marTop w:val="0"/>
      <w:marBottom w:val="0"/>
      <w:divBdr>
        <w:top w:val="none" w:sz="0" w:space="0" w:color="auto"/>
        <w:left w:val="none" w:sz="0" w:space="0" w:color="auto"/>
        <w:bottom w:val="none" w:sz="0" w:space="0" w:color="auto"/>
        <w:right w:val="none" w:sz="0" w:space="0" w:color="auto"/>
      </w:divBdr>
    </w:div>
    <w:div w:id="275869830">
      <w:bodyDiv w:val="1"/>
      <w:marLeft w:val="0"/>
      <w:marRight w:val="0"/>
      <w:marTop w:val="0"/>
      <w:marBottom w:val="0"/>
      <w:divBdr>
        <w:top w:val="none" w:sz="0" w:space="0" w:color="auto"/>
        <w:left w:val="none" w:sz="0" w:space="0" w:color="auto"/>
        <w:bottom w:val="none" w:sz="0" w:space="0" w:color="auto"/>
        <w:right w:val="none" w:sz="0" w:space="0" w:color="auto"/>
      </w:divBdr>
    </w:div>
    <w:div w:id="370307420">
      <w:bodyDiv w:val="1"/>
      <w:marLeft w:val="0"/>
      <w:marRight w:val="0"/>
      <w:marTop w:val="0"/>
      <w:marBottom w:val="0"/>
      <w:divBdr>
        <w:top w:val="none" w:sz="0" w:space="0" w:color="auto"/>
        <w:left w:val="none" w:sz="0" w:space="0" w:color="auto"/>
        <w:bottom w:val="none" w:sz="0" w:space="0" w:color="auto"/>
        <w:right w:val="none" w:sz="0" w:space="0" w:color="auto"/>
      </w:divBdr>
    </w:div>
    <w:div w:id="432553929">
      <w:bodyDiv w:val="1"/>
      <w:marLeft w:val="0"/>
      <w:marRight w:val="0"/>
      <w:marTop w:val="0"/>
      <w:marBottom w:val="0"/>
      <w:divBdr>
        <w:top w:val="none" w:sz="0" w:space="0" w:color="auto"/>
        <w:left w:val="none" w:sz="0" w:space="0" w:color="auto"/>
        <w:bottom w:val="none" w:sz="0" w:space="0" w:color="auto"/>
        <w:right w:val="none" w:sz="0" w:space="0" w:color="auto"/>
      </w:divBdr>
    </w:div>
    <w:div w:id="507453613">
      <w:bodyDiv w:val="1"/>
      <w:marLeft w:val="0"/>
      <w:marRight w:val="0"/>
      <w:marTop w:val="0"/>
      <w:marBottom w:val="0"/>
      <w:divBdr>
        <w:top w:val="none" w:sz="0" w:space="0" w:color="auto"/>
        <w:left w:val="none" w:sz="0" w:space="0" w:color="auto"/>
        <w:bottom w:val="none" w:sz="0" w:space="0" w:color="auto"/>
        <w:right w:val="none" w:sz="0" w:space="0" w:color="auto"/>
      </w:divBdr>
    </w:div>
    <w:div w:id="508252418">
      <w:bodyDiv w:val="1"/>
      <w:marLeft w:val="0"/>
      <w:marRight w:val="0"/>
      <w:marTop w:val="0"/>
      <w:marBottom w:val="0"/>
      <w:divBdr>
        <w:top w:val="none" w:sz="0" w:space="0" w:color="auto"/>
        <w:left w:val="none" w:sz="0" w:space="0" w:color="auto"/>
        <w:bottom w:val="none" w:sz="0" w:space="0" w:color="auto"/>
        <w:right w:val="none" w:sz="0" w:space="0" w:color="auto"/>
      </w:divBdr>
    </w:div>
    <w:div w:id="666371438">
      <w:bodyDiv w:val="1"/>
      <w:marLeft w:val="0"/>
      <w:marRight w:val="0"/>
      <w:marTop w:val="0"/>
      <w:marBottom w:val="0"/>
      <w:divBdr>
        <w:top w:val="none" w:sz="0" w:space="0" w:color="auto"/>
        <w:left w:val="none" w:sz="0" w:space="0" w:color="auto"/>
        <w:bottom w:val="none" w:sz="0" w:space="0" w:color="auto"/>
        <w:right w:val="none" w:sz="0" w:space="0" w:color="auto"/>
      </w:divBdr>
    </w:div>
    <w:div w:id="732966738">
      <w:bodyDiv w:val="1"/>
      <w:marLeft w:val="0"/>
      <w:marRight w:val="0"/>
      <w:marTop w:val="0"/>
      <w:marBottom w:val="0"/>
      <w:divBdr>
        <w:top w:val="none" w:sz="0" w:space="0" w:color="auto"/>
        <w:left w:val="none" w:sz="0" w:space="0" w:color="auto"/>
        <w:bottom w:val="none" w:sz="0" w:space="0" w:color="auto"/>
        <w:right w:val="none" w:sz="0" w:space="0" w:color="auto"/>
      </w:divBdr>
    </w:div>
    <w:div w:id="987631310">
      <w:bodyDiv w:val="1"/>
      <w:marLeft w:val="0"/>
      <w:marRight w:val="0"/>
      <w:marTop w:val="0"/>
      <w:marBottom w:val="0"/>
      <w:divBdr>
        <w:top w:val="none" w:sz="0" w:space="0" w:color="auto"/>
        <w:left w:val="none" w:sz="0" w:space="0" w:color="auto"/>
        <w:bottom w:val="none" w:sz="0" w:space="0" w:color="auto"/>
        <w:right w:val="none" w:sz="0" w:space="0" w:color="auto"/>
      </w:divBdr>
    </w:div>
    <w:div w:id="1276521246">
      <w:bodyDiv w:val="1"/>
      <w:marLeft w:val="0"/>
      <w:marRight w:val="0"/>
      <w:marTop w:val="0"/>
      <w:marBottom w:val="0"/>
      <w:divBdr>
        <w:top w:val="none" w:sz="0" w:space="0" w:color="auto"/>
        <w:left w:val="none" w:sz="0" w:space="0" w:color="auto"/>
        <w:bottom w:val="none" w:sz="0" w:space="0" w:color="auto"/>
        <w:right w:val="none" w:sz="0" w:space="0" w:color="auto"/>
      </w:divBdr>
    </w:div>
    <w:div w:id="1296831359">
      <w:bodyDiv w:val="1"/>
      <w:marLeft w:val="0"/>
      <w:marRight w:val="0"/>
      <w:marTop w:val="0"/>
      <w:marBottom w:val="0"/>
      <w:divBdr>
        <w:top w:val="none" w:sz="0" w:space="0" w:color="auto"/>
        <w:left w:val="none" w:sz="0" w:space="0" w:color="auto"/>
        <w:bottom w:val="none" w:sz="0" w:space="0" w:color="auto"/>
        <w:right w:val="none" w:sz="0" w:space="0" w:color="auto"/>
      </w:divBdr>
    </w:div>
    <w:div w:id="1361708069">
      <w:bodyDiv w:val="1"/>
      <w:marLeft w:val="0"/>
      <w:marRight w:val="0"/>
      <w:marTop w:val="0"/>
      <w:marBottom w:val="0"/>
      <w:divBdr>
        <w:top w:val="none" w:sz="0" w:space="0" w:color="auto"/>
        <w:left w:val="none" w:sz="0" w:space="0" w:color="auto"/>
        <w:bottom w:val="none" w:sz="0" w:space="0" w:color="auto"/>
        <w:right w:val="none" w:sz="0" w:space="0" w:color="auto"/>
      </w:divBdr>
    </w:div>
    <w:div w:id="1408306873">
      <w:bodyDiv w:val="1"/>
      <w:marLeft w:val="0"/>
      <w:marRight w:val="0"/>
      <w:marTop w:val="0"/>
      <w:marBottom w:val="0"/>
      <w:divBdr>
        <w:top w:val="none" w:sz="0" w:space="0" w:color="auto"/>
        <w:left w:val="none" w:sz="0" w:space="0" w:color="auto"/>
        <w:bottom w:val="none" w:sz="0" w:space="0" w:color="auto"/>
        <w:right w:val="none" w:sz="0" w:space="0" w:color="auto"/>
      </w:divBdr>
    </w:div>
    <w:div w:id="1766683159">
      <w:bodyDiv w:val="1"/>
      <w:marLeft w:val="0"/>
      <w:marRight w:val="0"/>
      <w:marTop w:val="0"/>
      <w:marBottom w:val="0"/>
      <w:divBdr>
        <w:top w:val="none" w:sz="0" w:space="0" w:color="auto"/>
        <w:left w:val="none" w:sz="0" w:space="0" w:color="auto"/>
        <w:bottom w:val="none" w:sz="0" w:space="0" w:color="auto"/>
        <w:right w:val="none" w:sz="0" w:space="0" w:color="auto"/>
      </w:divBdr>
    </w:div>
    <w:div w:id="1829907500">
      <w:bodyDiv w:val="1"/>
      <w:marLeft w:val="0"/>
      <w:marRight w:val="0"/>
      <w:marTop w:val="0"/>
      <w:marBottom w:val="0"/>
      <w:divBdr>
        <w:top w:val="none" w:sz="0" w:space="0" w:color="auto"/>
        <w:left w:val="none" w:sz="0" w:space="0" w:color="auto"/>
        <w:bottom w:val="none" w:sz="0" w:space="0" w:color="auto"/>
        <w:right w:val="none" w:sz="0" w:space="0" w:color="auto"/>
      </w:divBdr>
    </w:div>
    <w:div w:id="1856577637">
      <w:bodyDiv w:val="1"/>
      <w:marLeft w:val="0"/>
      <w:marRight w:val="0"/>
      <w:marTop w:val="0"/>
      <w:marBottom w:val="0"/>
      <w:divBdr>
        <w:top w:val="none" w:sz="0" w:space="0" w:color="auto"/>
        <w:left w:val="none" w:sz="0" w:space="0" w:color="auto"/>
        <w:bottom w:val="none" w:sz="0" w:space="0" w:color="auto"/>
        <w:right w:val="none" w:sz="0" w:space="0" w:color="auto"/>
      </w:divBdr>
    </w:div>
    <w:div w:id="2092385908">
      <w:bodyDiv w:val="1"/>
      <w:marLeft w:val="0"/>
      <w:marRight w:val="0"/>
      <w:marTop w:val="0"/>
      <w:marBottom w:val="0"/>
      <w:divBdr>
        <w:top w:val="none" w:sz="0" w:space="0" w:color="auto"/>
        <w:left w:val="none" w:sz="0" w:space="0" w:color="auto"/>
        <w:bottom w:val="none" w:sz="0" w:space="0" w:color="auto"/>
        <w:right w:val="none" w:sz="0" w:space="0" w:color="auto"/>
      </w:divBdr>
    </w:div>
    <w:div w:id="213413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550</TotalTime>
  <Pages>13</Pages>
  <Words>7603</Words>
  <Characters>43343</Characters>
  <Application>Microsoft Office Word</Application>
  <DocSecurity>0</DocSecurity>
  <Lines>361</Lines>
  <Paragraphs>101</Paragraphs>
  <ScaleCrop>false</ScaleCrop>
  <Company/>
  <LinksUpToDate>false</LinksUpToDate>
  <CharactersWithSpaces>50845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 Soft</dc:creator>
  <cp:keywords/>
  <dc:description/>
  <cp:lastModifiedBy>Microsoft</cp:lastModifiedBy>
  <cp:revision>50</cp:revision>
  <dcterms:created xsi:type="dcterms:W3CDTF">2018-08-24T12:56:00Z</dcterms:created>
  <dcterms:modified xsi:type="dcterms:W3CDTF">2020-02-27T02:53:00Z</dcterms:modified>
</cp:coreProperties>
</file>