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33" w:type="dxa"/>
        <w:tblInd w:w="-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5"/>
        <w:gridCol w:w="1963"/>
        <w:gridCol w:w="1948"/>
        <w:gridCol w:w="1558"/>
        <w:gridCol w:w="929"/>
      </w:tblGrid>
      <w:tr w:rsidR="00053E46" w:rsidRPr="00C826F4" w:rsidTr="00C82E92">
        <w:trPr>
          <w:trHeight w:val="33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Patients (n=121)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C826F4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C826F4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C826F4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C826F4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053E46" w:rsidRPr="00C826F4" w:rsidTr="00C82E92">
        <w:trPr>
          <w:trHeight w:val="653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  <w:vAlign w:val="bottom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Demographics  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CVVHD-Citrate - only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CVVH-Heparin - only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Both modalities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P values</w:t>
            </w:r>
          </w:p>
        </w:tc>
      </w:tr>
      <w:tr w:rsidR="00053E46" w:rsidRPr="00C826F4" w:rsidTr="00C82E92">
        <w:trPr>
          <w:trHeight w:val="33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Total number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48 (39,7)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30 (24,8)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43 (35,5)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Median age - (IQR) - years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71 (12)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68 (11)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69 (14)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0.0759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Median body weight - (IQR) - kg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78,5 (27,5)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80 (19,5)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78 (30,2)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0.5083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Male sex - no. (%)</w:t>
            </w: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37 (77,1)</w:t>
            </w:r>
          </w:p>
        </w:tc>
        <w:tc>
          <w:tcPr>
            <w:tcW w:w="1948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16 (53,3)</w:t>
            </w:r>
          </w:p>
        </w:tc>
        <w:tc>
          <w:tcPr>
            <w:tcW w:w="1558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28 (65,1)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0.0904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Illness </w:t>
            </w:r>
            <w:proofErr w:type="spellStart"/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severty</w:t>
            </w:r>
            <w:proofErr w:type="spellEnd"/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 xml:space="preserve">Median </w:t>
            </w:r>
            <w:proofErr w:type="spellStart"/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Charlson</w:t>
            </w:r>
            <w:proofErr w:type="spellEnd"/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 xml:space="preserve"> score - (IQR)</w:t>
            </w: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6 (3,5)</w:t>
            </w:r>
          </w:p>
        </w:tc>
        <w:tc>
          <w:tcPr>
            <w:tcW w:w="1948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6 (3)</w:t>
            </w:r>
          </w:p>
        </w:tc>
        <w:tc>
          <w:tcPr>
            <w:tcW w:w="1558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5 (4)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0.2741</w:t>
            </w:r>
          </w:p>
        </w:tc>
      </w:tr>
      <w:tr w:rsidR="0037556C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right w:val="nil"/>
            </w:tcBorders>
          </w:tcPr>
          <w:p w:rsidR="0037556C" w:rsidRPr="00A47ED8" w:rsidRDefault="00B141B4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Median SAP</w:t>
            </w:r>
            <w:r w:rsidR="0037556C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S II score – (IQR)</w:t>
            </w: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37556C" w:rsidRPr="00A47ED8" w:rsidRDefault="0037556C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53.5 (18.5)</w:t>
            </w:r>
          </w:p>
        </w:tc>
        <w:tc>
          <w:tcPr>
            <w:tcW w:w="1948" w:type="dxa"/>
            <w:tcBorders>
              <w:top w:val="nil"/>
              <w:left w:val="nil"/>
              <w:right w:val="nil"/>
            </w:tcBorders>
          </w:tcPr>
          <w:p w:rsidR="0037556C" w:rsidRPr="00A47ED8" w:rsidRDefault="0037556C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72.5 (33.75)</w:t>
            </w:r>
          </w:p>
        </w:tc>
        <w:tc>
          <w:tcPr>
            <w:tcW w:w="1558" w:type="dxa"/>
            <w:tcBorders>
              <w:top w:val="nil"/>
              <w:left w:val="nil"/>
              <w:right w:val="nil"/>
            </w:tcBorders>
          </w:tcPr>
          <w:p w:rsidR="0037556C" w:rsidRPr="00A47ED8" w:rsidRDefault="0037556C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61 (19.5)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</w:tcPr>
          <w:p w:rsidR="0037556C" w:rsidRPr="00A47ED8" w:rsidRDefault="0037556C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0.0001</w:t>
            </w:r>
            <w:r w:rsidR="00305BB2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*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Renal function parameters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 xml:space="preserve">Mean baseline creatinine - (SD) - </w:t>
            </w:r>
            <w:r w:rsidRPr="00A47ED8">
              <w:rPr>
                <w:rFonts w:eastAsia="Calibri" w:cstheme="minorHAnsi"/>
                <w:color w:val="000000"/>
                <w:sz w:val="20"/>
                <w:szCs w:val="20"/>
              </w:rPr>
              <w:t></w:t>
            </w: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mol/L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109 (71)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91 (58,5)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78 (29)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0.0508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Mean GFR MDRD - (SD) -  ml/min/1.72m2</w:t>
            </w: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59,6 (31)</w:t>
            </w:r>
          </w:p>
        </w:tc>
        <w:tc>
          <w:tcPr>
            <w:tcW w:w="1948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68,1 (66,8)</w:t>
            </w:r>
          </w:p>
        </w:tc>
        <w:tc>
          <w:tcPr>
            <w:tcW w:w="1558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89,5 (39,8)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0.0517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Co-existing conditions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Chronic kidney injury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26 (54,2)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11 (36,7)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11 (25,6)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0.0193*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 xml:space="preserve">Hemodialysis </w:t>
            </w:r>
            <w:proofErr w:type="spellStart"/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dependancy</w:t>
            </w:r>
            <w:proofErr w:type="spellEnd"/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 xml:space="preserve">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12 (25)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3 (10)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4 (9,3)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0.0742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Diabetes mellitus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19 (39,6)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6 (20)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14 (32,6)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0.1974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Chronic hypertension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38 (79,2)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13 (43,3)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23 (53,5)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0.0030*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Congestive heart failure stage I (FEVG=40-50%)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6 (12,5)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2 (6,7)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2 (4,7)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0.3721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Congestive heart failure stage II (FEVG &lt; 40%)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5 (10,4)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5 (16,7)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10 (23,3)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0.2579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Peripheral arterial disease - no. (%)</w:t>
            </w: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14 (29,2)</w:t>
            </w:r>
          </w:p>
        </w:tc>
        <w:tc>
          <w:tcPr>
            <w:tcW w:w="1948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3 (10)</w:t>
            </w:r>
          </w:p>
        </w:tc>
        <w:tc>
          <w:tcPr>
            <w:tcW w:w="1558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8 (18,6)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0.1159</w:t>
            </w:r>
          </w:p>
        </w:tc>
      </w:tr>
      <w:tr w:rsidR="00053E46" w:rsidRPr="00C826F4" w:rsidTr="00C82E92">
        <w:trPr>
          <w:trHeight w:val="33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ICU admissions (n=126)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053E46" w:rsidRPr="00B8019C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Diagnostic at ICU admission (1 missing)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Septic shock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6 (12)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9 (29)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14 (31,8)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0.0511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Cardiogenic shock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11 (22)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6 (19,4)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6 (13,6)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0.0572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Hemorrhagic shock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18 (36)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 (3,2)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4 (9,1)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0.0002*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Cardiac arrest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13 (26)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2 (6,5)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2 (4,5)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0.0042*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Acute kidney failure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2 (4)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2 (4,5)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0.5003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Acute respiratory failure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 (2,3)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0.3954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lastRenderedPageBreak/>
              <w:t>Intoxication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5 (16,1)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3 (6,8)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0.0155*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Others - no. (%)</w:t>
            </w: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1948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8 (25,8)</w:t>
            </w:r>
          </w:p>
        </w:tc>
        <w:tc>
          <w:tcPr>
            <w:tcW w:w="1558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12 (27,3)</w:t>
            </w: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0.0004*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Type of admission (2 missing)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Medical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18 (36)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17 (56,7)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18 (40,9)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0.1858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Surgical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29 (58)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9 (30)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23 (52,3)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0.0464*</w:t>
            </w:r>
          </w:p>
        </w:tc>
      </w:tr>
      <w:tr w:rsidR="00053E46" w:rsidRPr="00C826F4" w:rsidTr="00C82E92">
        <w:trPr>
          <w:trHeight w:val="296"/>
        </w:trPr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Others - no. (%)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3 (6)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4 (13,3)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C82E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3 (6,8)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53E46" w:rsidRPr="00A47ED8" w:rsidRDefault="00053E46" w:rsidP="00572C4B">
            <w:pPr>
              <w:autoSpaceDE w:val="0"/>
              <w:autoSpaceDN w:val="0"/>
              <w:adjustRightInd w:val="0"/>
              <w:spacing w:line="276" w:lineRule="auto"/>
              <w:ind w:left="-40"/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</w:pPr>
            <w:r w:rsidRPr="00A47ED8">
              <w:rPr>
                <w:rFonts w:cstheme="minorHAnsi"/>
                <w:bCs/>
                <w:color w:val="000000"/>
                <w:sz w:val="20"/>
                <w:szCs w:val="20"/>
                <w:lang w:val="en-US"/>
              </w:rPr>
              <w:t>0.0472</w:t>
            </w:r>
          </w:p>
        </w:tc>
      </w:tr>
    </w:tbl>
    <w:p w:rsidR="00053E46" w:rsidRPr="00C826F4" w:rsidRDefault="00053E46" w:rsidP="00053E46">
      <w:pPr>
        <w:spacing w:line="276" w:lineRule="auto"/>
        <w:ind w:left="-284"/>
        <w:rPr>
          <w:rFonts w:ascii="Cambria" w:hAnsi="Cambria"/>
          <w:b/>
          <w:sz w:val="22"/>
          <w:szCs w:val="22"/>
          <w:lang w:val="en-US"/>
        </w:rPr>
      </w:pPr>
    </w:p>
    <w:p w:rsidR="00053E46" w:rsidRDefault="00053E46" w:rsidP="00053E46">
      <w:pPr>
        <w:ind w:left="-284"/>
        <w:rPr>
          <w:rFonts w:ascii="Cambria" w:hAnsi="Cambria"/>
          <w:b/>
          <w:lang w:val="en-US"/>
        </w:rPr>
      </w:pPr>
    </w:p>
    <w:p w:rsidR="00B8019C" w:rsidRDefault="00053E46" w:rsidP="00B8019C">
      <w:pPr>
        <w:spacing w:line="360" w:lineRule="auto"/>
        <w:ind w:left="-142"/>
        <w:rPr>
          <w:rFonts w:eastAsia="Cambria" w:cstheme="minorHAnsi"/>
          <w:b/>
          <w:sz w:val="22"/>
          <w:szCs w:val="22"/>
          <w:lang w:val="en-US"/>
        </w:rPr>
      </w:pPr>
      <w:r>
        <w:rPr>
          <w:rFonts w:cstheme="minorHAnsi"/>
          <w:b/>
          <w:sz w:val="22"/>
          <w:szCs w:val="22"/>
          <w:lang w:val="en-US"/>
        </w:rPr>
        <w:t xml:space="preserve">Supplementary table </w:t>
      </w:r>
      <w:r w:rsidRPr="00C826F4">
        <w:rPr>
          <w:rFonts w:cstheme="minorHAnsi"/>
          <w:b/>
          <w:sz w:val="22"/>
          <w:szCs w:val="22"/>
          <w:lang w:val="en-US"/>
        </w:rPr>
        <w:t>2: Characteristics of study patients according to CRRT modality</w:t>
      </w:r>
      <w:r w:rsidR="00B8019C" w:rsidRPr="00B8019C">
        <w:rPr>
          <w:rFonts w:eastAsia="Cambria" w:cstheme="minorHAnsi"/>
          <w:b/>
          <w:sz w:val="22"/>
          <w:szCs w:val="22"/>
          <w:lang w:val="en-US"/>
        </w:rPr>
        <w:t xml:space="preserve"> </w:t>
      </w:r>
      <w:r w:rsidR="00B8019C" w:rsidRPr="00B8019C">
        <w:rPr>
          <w:rFonts w:eastAsia="Cambria" w:cstheme="minorHAnsi"/>
          <w:b/>
          <w:sz w:val="22"/>
          <w:szCs w:val="22"/>
          <w:lang w:val="en-US"/>
        </w:rPr>
        <w:t>groups.</w:t>
      </w:r>
    </w:p>
    <w:p w:rsidR="00C45150" w:rsidRDefault="00C45150" w:rsidP="00B8019C">
      <w:pPr>
        <w:spacing w:line="360" w:lineRule="auto"/>
        <w:ind w:left="-142"/>
        <w:rPr>
          <w:rFonts w:cstheme="minorHAnsi"/>
          <w:sz w:val="22"/>
          <w:szCs w:val="22"/>
          <w:lang w:val="en-US"/>
        </w:rPr>
      </w:pPr>
      <w:r>
        <w:rPr>
          <w:rFonts w:cstheme="minorHAnsi"/>
          <w:sz w:val="22"/>
          <w:szCs w:val="22"/>
          <w:lang w:val="en-US"/>
        </w:rPr>
        <w:t xml:space="preserve">NB 1: </w:t>
      </w:r>
      <w:r w:rsidR="00C243C3">
        <w:rPr>
          <w:rFonts w:cstheme="minorHAnsi"/>
          <w:sz w:val="22"/>
          <w:szCs w:val="22"/>
          <w:lang w:val="en-US"/>
        </w:rPr>
        <w:t>“</w:t>
      </w:r>
      <w:r>
        <w:rPr>
          <w:rFonts w:cstheme="minorHAnsi"/>
          <w:sz w:val="22"/>
          <w:szCs w:val="22"/>
          <w:lang w:val="en-US"/>
        </w:rPr>
        <w:t>Both modalities</w:t>
      </w:r>
      <w:r w:rsidR="00C243C3">
        <w:rPr>
          <w:rFonts w:cstheme="minorHAnsi"/>
          <w:sz w:val="22"/>
          <w:szCs w:val="22"/>
          <w:lang w:val="en-US"/>
        </w:rPr>
        <w:t>”</w:t>
      </w:r>
      <w:bookmarkStart w:id="0" w:name="_GoBack"/>
      <w:bookmarkEnd w:id="0"/>
      <w:r w:rsidR="00C243C3">
        <w:rPr>
          <w:rFonts w:cstheme="minorHAnsi"/>
          <w:sz w:val="22"/>
          <w:szCs w:val="22"/>
          <w:lang w:val="en-US"/>
        </w:rPr>
        <w:t xml:space="preserve"> group</w:t>
      </w:r>
      <w:r>
        <w:rPr>
          <w:rFonts w:cstheme="minorHAnsi"/>
          <w:sz w:val="22"/>
          <w:szCs w:val="22"/>
          <w:lang w:val="en-US"/>
        </w:rPr>
        <w:t xml:space="preserve"> includes patients who received both CVVH-Heparin and CVVHD-Citrate sequentially.</w:t>
      </w:r>
    </w:p>
    <w:p w:rsidR="00B8019C" w:rsidRPr="00B8019C" w:rsidRDefault="00C45150" w:rsidP="00B8019C">
      <w:pPr>
        <w:spacing w:line="360" w:lineRule="auto"/>
        <w:ind w:left="-142"/>
        <w:rPr>
          <w:rFonts w:eastAsia="Cambria" w:cstheme="minorHAnsi"/>
          <w:b/>
          <w:sz w:val="22"/>
          <w:szCs w:val="22"/>
          <w:lang w:val="en-US"/>
        </w:rPr>
      </w:pPr>
      <w:r>
        <w:rPr>
          <w:rFonts w:cstheme="minorHAnsi"/>
          <w:sz w:val="22"/>
          <w:szCs w:val="22"/>
          <w:lang w:val="en-US"/>
        </w:rPr>
        <w:t>N</w:t>
      </w:r>
      <w:r w:rsidR="00B8019C" w:rsidRPr="00B8019C">
        <w:rPr>
          <w:rFonts w:cstheme="minorHAnsi"/>
          <w:sz w:val="22"/>
          <w:szCs w:val="22"/>
          <w:lang w:val="en-US"/>
        </w:rPr>
        <w:t>B</w:t>
      </w:r>
      <w:r>
        <w:rPr>
          <w:rFonts w:cstheme="minorHAnsi"/>
          <w:sz w:val="22"/>
          <w:szCs w:val="22"/>
          <w:lang w:val="en-US"/>
        </w:rPr>
        <w:t xml:space="preserve"> 2</w:t>
      </w:r>
      <w:r w:rsidR="00B8019C" w:rsidRPr="00B8019C">
        <w:rPr>
          <w:rFonts w:cstheme="minorHAnsi"/>
          <w:sz w:val="22"/>
          <w:szCs w:val="22"/>
          <w:lang w:val="en-US"/>
        </w:rPr>
        <w:t>: CVVH-Heparin group includes circuits ran with therapeutic heparin but also sub-therapeutic and no anticoagulation at all</w:t>
      </w:r>
      <w:r w:rsidR="00B8019C" w:rsidRPr="00B8019C">
        <w:rPr>
          <w:rFonts w:asciiTheme="majorHAnsi" w:hAnsiTheme="majorHAnsi" w:cstheme="majorHAnsi"/>
          <w:sz w:val="22"/>
          <w:szCs w:val="22"/>
          <w:lang w:val="en-US"/>
        </w:rPr>
        <w:t>.</w:t>
      </w:r>
    </w:p>
    <w:p w:rsidR="00B8019C" w:rsidRDefault="00B8019C" w:rsidP="00B8019C">
      <w:pPr>
        <w:spacing w:line="360" w:lineRule="auto"/>
        <w:ind w:left="-709"/>
        <w:rPr>
          <w:rFonts w:eastAsia="Cambria" w:cstheme="minorHAnsi"/>
          <w:sz w:val="22"/>
          <w:szCs w:val="22"/>
          <w:lang w:val="en-US"/>
        </w:rPr>
      </w:pPr>
    </w:p>
    <w:p w:rsidR="00B8019C" w:rsidRPr="00B8019C" w:rsidRDefault="00B8019C" w:rsidP="00B8019C">
      <w:pPr>
        <w:spacing w:line="360" w:lineRule="auto"/>
        <w:ind w:left="-709"/>
        <w:rPr>
          <w:rFonts w:eastAsia="Cambria" w:cstheme="minorHAnsi"/>
          <w:sz w:val="22"/>
          <w:szCs w:val="22"/>
          <w:lang w:val="en-US"/>
        </w:rPr>
      </w:pPr>
    </w:p>
    <w:p w:rsidR="00B8019C" w:rsidRDefault="00B8019C" w:rsidP="00B8019C">
      <w:pPr>
        <w:ind w:left="-142"/>
        <w:rPr>
          <w:rFonts w:cstheme="minorHAnsi"/>
          <w:b/>
          <w:sz w:val="22"/>
          <w:szCs w:val="22"/>
          <w:lang w:val="en-US"/>
        </w:rPr>
      </w:pPr>
    </w:p>
    <w:p w:rsidR="00B8019C" w:rsidRPr="00053E46" w:rsidRDefault="00B8019C" w:rsidP="00793919">
      <w:pPr>
        <w:ind w:left="-142"/>
        <w:rPr>
          <w:lang w:val="en-US"/>
        </w:rPr>
      </w:pPr>
    </w:p>
    <w:sectPr w:rsidR="00B8019C" w:rsidRPr="00053E46" w:rsidSect="00053E46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6"/>
    <w:rsid w:val="00053E46"/>
    <w:rsid w:val="00305BB2"/>
    <w:rsid w:val="0037556C"/>
    <w:rsid w:val="00572C4B"/>
    <w:rsid w:val="00793919"/>
    <w:rsid w:val="00B141B4"/>
    <w:rsid w:val="00B41C75"/>
    <w:rsid w:val="00B8019C"/>
    <w:rsid w:val="00C243C3"/>
    <w:rsid w:val="00C3198F"/>
    <w:rsid w:val="00C45150"/>
    <w:rsid w:val="00C4653C"/>
    <w:rsid w:val="00E80DD9"/>
    <w:rsid w:val="00E83DD9"/>
    <w:rsid w:val="00E87589"/>
    <w:rsid w:val="00F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F396E9"/>
  <w14:defaultImageDpi w14:val="32767"/>
  <w15:chartTrackingRefBased/>
  <w15:docId w15:val="{EE34C784-0279-F44D-ACD7-D2590AB0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semiHidden/>
    <w:unhideWhenUsed/>
    <w:rsid w:val="00053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Bianchi Nathan</cp:lastModifiedBy>
  <cp:revision>8</cp:revision>
  <dcterms:created xsi:type="dcterms:W3CDTF">2019-11-14T11:03:00Z</dcterms:created>
  <dcterms:modified xsi:type="dcterms:W3CDTF">2020-01-15T15:33:00Z</dcterms:modified>
</cp:coreProperties>
</file>