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150" w:rsidRPr="007E7702" w:rsidRDefault="00335150" w:rsidP="00335150">
      <w:pPr>
        <w:spacing w:after="0" w:line="480" w:lineRule="auto"/>
        <w:rPr>
          <w:rFonts w:ascii="Times New Roman" w:hAnsi="Times New Roman"/>
        </w:rPr>
      </w:pPr>
      <w:r>
        <w:rPr>
          <w:rFonts w:ascii="Times New Roman" w:hAnsi="Times New Roman"/>
          <w:b/>
        </w:rPr>
        <w:t xml:space="preserve">Supplementary File 1. </w:t>
      </w:r>
      <w:r>
        <w:rPr>
          <w:rFonts w:ascii="Times New Roman" w:hAnsi="Times New Roman"/>
        </w:rPr>
        <w:t xml:space="preserve">This file is the six-gene dataset in nexus format and includes both the RAxML bipartitions ML tree and the BI .con tree. </w:t>
      </w:r>
    </w:p>
    <w:p w:rsidR="00335150" w:rsidRDefault="00335150" w:rsidP="00335150">
      <w:pPr>
        <w:spacing w:after="0" w:line="480" w:lineRule="auto"/>
        <w:rPr>
          <w:rFonts w:ascii="Times New Roman" w:hAnsi="Times New Roman"/>
        </w:rPr>
      </w:pPr>
      <w:r w:rsidRPr="00447FF0">
        <w:rPr>
          <w:rFonts w:ascii="Times New Roman" w:hAnsi="Times New Roman"/>
          <w:b/>
        </w:rPr>
        <w:t>Supplementary Figure 1</w:t>
      </w:r>
      <w:r>
        <w:rPr>
          <w:rFonts w:ascii="Times New Roman" w:hAnsi="Times New Roman"/>
        </w:rPr>
        <w:t xml:space="preserve">. Best ML tree of the Inocybaceae based on phylogenetic analyses of </w:t>
      </w:r>
      <w:r>
        <w:rPr>
          <w:rFonts w:ascii="Times New Roman" w:hAnsi="Times New Roman"/>
          <w:i/>
        </w:rPr>
        <w:t xml:space="preserve">rpb1 </w:t>
      </w:r>
      <w:r>
        <w:rPr>
          <w:rFonts w:ascii="Times New Roman" w:hAnsi="Times New Roman"/>
        </w:rPr>
        <w:t xml:space="preserve">coding regions and partial </w:t>
      </w:r>
      <w:r>
        <w:rPr>
          <w:rFonts w:ascii="Times New Roman" w:hAnsi="Times New Roman"/>
          <w:i/>
        </w:rPr>
        <w:t>rpb1</w:t>
      </w:r>
      <w:r>
        <w:rPr>
          <w:rFonts w:ascii="Times New Roman" w:hAnsi="Times New Roman"/>
        </w:rPr>
        <w:t>-intron 2. The seven major lineages of Inocybaceae are labeled. Whole numbers above or below branches represent bootstrap proportions. The tree is rooted between the families Crepidotaceae and Inocybaceae.</w:t>
      </w:r>
    </w:p>
    <w:p w:rsidR="00335150" w:rsidRDefault="00335150" w:rsidP="00335150">
      <w:pPr>
        <w:spacing w:after="0" w:line="480" w:lineRule="auto"/>
        <w:rPr>
          <w:rFonts w:ascii="Times New Roman" w:hAnsi="Times New Roman"/>
        </w:rPr>
      </w:pPr>
      <w:r w:rsidRPr="00447FF0">
        <w:rPr>
          <w:rFonts w:ascii="Times New Roman" w:hAnsi="Times New Roman"/>
          <w:b/>
        </w:rPr>
        <w:t>Supplementary Figure 2</w:t>
      </w:r>
      <w:r>
        <w:rPr>
          <w:rFonts w:ascii="Times New Roman" w:hAnsi="Times New Roman"/>
        </w:rPr>
        <w:t xml:space="preserve">. Best ML tree of the Inocybaceae based on phylogenetic analyses of </w:t>
      </w:r>
      <w:r>
        <w:rPr>
          <w:rFonts w:ascii="Times New Roman" w:hAnsi="Times New Roman"/>
          <w:i/>
        </w:rPr>
        <w:t>rpb2</w:t>
      </w:r>
      <w:r>
        <w:rPr>
          <w:rFonts w:ascii="Times New Roman" w:hAnsi="Times New Roman"/>
        </w:rPr>
        <w:t xml:space="preserve"> coding regions. The seven major lineages of Inocybaceae are labeled. Whole numbers above or below branches represent bootstrap proportions. The tree is rooted between the families Crepidotaceae and Inocybaceae.</w:t>
      </w:r>
    </w:p>
    <w:p w:rsidR="00335150" w:rsidRDefault="00335150" w:rsidP="00335150">
      <w:pPr>
        <w:spacing w:after="0" w:line="480" w:lineRule="auto"/>
        <w:rPr>
          <w:rFonts w:ascii="Times New Roman" w:hAnsi="Times New Roman"/>
        </w:rPr>
      </w:pPr>
      <w:r w:rsidRPr="00447FF0">
        <w:rPr>
          <w:rFonts w:ascii="Times New Roman" w:hAnsi="Times New Roman"/>
          <w:b/>
        </w:rPr>
        <w:t>Supplementary Figure 3</w:t>
      </w:r>
      <w:r>
        <w:rPr>
          <w:rFonts w:ascii="Times New Roman" w:hAnsi="Times New Roman"/>
        </w:rPr>
        <w:t xml:space="preserve">. Best ML tree of the Inocybaceae based on phylogenetic analyses of </w:t>
      </w:r>
      <w:r>
        <w:rPr>
          <w:rFonts w:ascii="Times New Roman" w:hAnsi="Times New Roman"/>
          <w:i/>
        </w:rPr>
        <w:t>tef1</w:t>
      </w:r>
      <w:r>
        <w:rPr>
          <w:rFonts w:ascii="Times New Roman" w:hAnsi="Times New Roman"/>
        </w:rPr>
        <w:t xml:space="preserve"> coding regions. The seven major lineages of Inocybaceae are labeled. Whole numbers above or below branches represent bootstrap proportions. The tree is rooted between the families Crepidotaceae and Inocybaceae.</w:t>
      </w:r>
    </w:p>
    <w:p w:rsidR="00335150" w:rsidRDefault="00335150" w:rsidP="00335150">
      <w:pPr>
        <w:spacing w:after="0" w:line="480" w:lineRule="auto"/>
        <w:rPr>
          <w:rFonts w:ascii="Times New Roman" w:hAnsi="Times New Roman"/>
        </w:rPr>
      </w:pPr>
      <w:r w:rsidRPr="00447FF0">
        <w:rPr>
          <w:rFonts w:ascii="Times New Roman" w:hAnsi="Times New Roman"/>
          <w:b/>
        </w:rPr>
        <w:t>Supplementary Figure 4</w:t>
      </w:r>
      <w:r>
        <w:rPr>
          <w:rFonts w:ascii="Times New Roman" w:hAnsi="Times New Roman"/>
        </w:rPr>
        <w:t>. Best ML tree of the Inocybaceae based on phylogenetic analyses of combined rRNA gene regions 18S, 28S, and 5.8S. The seven major lineages of Inocybaceae are labeled. Whole numbers above or below branches represent bootstrap proportions. The tree is rooted between the families Crepidotaceae and Inocybaceae.</w:t>
      </w:r>
    </w:p>
    <w:p w:rsidR="00335150" w:rsidRPr="00C12EF9" w:rsidRDefault="00335150" w:rsidP="00335150">
      <w:pPr>
        <w:spacing w:after="0" w:line="480" w:lineRule="auto"/>
        <w:rPr>
          <w:rFonts w:ascii="Times New Roman" w:hAnsi="Times New Roman"/>
        </w:rPr>
      </w:pPr>
      <w:r w:rsidRPr="002A7C28">
        <w:rPr>
          <w:rFonts w:ascii="Times New Roman" w:hAnsi="Times New Roman"/>
          <w:vertAlign w:val="superscript"/>
        </w:rPr>
        <w:t>1</w:t>
      </w:r>
      <w:r>
        <w:rPr>
          <w:rFonts w:ascii="Times New Roman" w:hAnsi="Times New Roman"/>
        </w:rPr>
        <w:t>Corresponding author: pmatheny@utk.edu</w:t>
      </w:r>
    </w:p>
    <w:p w:rsidR="00E36D86" w:rsidRDefault="00E36D86">
      <w:bookmarkStart w:id="0" w:name="_GoBack"/>
      <w:bookmarkEnd w:id="0"/>
    </w:p>
    <w:sectPr w:rsidR="00E36D86" w:rsidSect="009676E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150" w:rsidRDefault="00335150" w:rsidP="00335150">
      <w:pPr>
        <w:spacing w:after="0"/>
      </w:pPr>
      <w:r>
        <w:separator/>
      </w:r>
    </w:p>
  </w:endnote>
  <w:endnote w:type="continuationSeparator" w:id="0">
    <w:p w:rsidR="00335150" w:rsidRDefault="00335150" w:rsidP="003351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C75" w:rsidRDefault="00335150" w:rsidP="00937D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7C75" w:rsidRDefault="00335150" w:rsidP="00BF04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C75" w:rsidRDefault="00335150" w:rsidP="00937DBD">
    <w:pPr>
      <w:pStyle w:val="Footer"/>
      <w:framePr w:wrap="around" w:vAnchor="text" w:hAnchor="margin" w:xAlign="right" w:y="1"/>
      <w:rPr>
        <w:rStyle w:val="PageNumber"/>
      </w:rPr>
    </w:pPr>
    <w:r>
      <w:rPr>
        <w:noProof/>
      </w:rPr>
      <mc:AlternateContent>
        <mc:Choice Requires="wps">
          <w:drawing>
            <wp:anchor distT="0" distB="0" distL="114300" distR="114300" simplePos="1" relativeHeight="251659264" behindDoc="0" locked="0" layoutInCell="0" allowOverlap="1">
              <wp:simplePos x="0" y="9601200"/>
              <wp:positionH relativeFrom="page">
                <wp:posOffset>0</wp:posOffset>
              </wp:positionH>
              <wp:positionV relativeFrom="page">
                <wp:posOffset>9601200</wp:posOffset>
              </wp:positionV>
              <wp:extent cx="7772400" cy="266700"/>
              <wp:effectExtent l="0" t="0" r="0" b="0"/>
              <wp:wrapNone/>
              <wp:docPr id="1" name="MSIPCM86a54f69b5e80aa04febc39b" descr="{&quot;HashCode&quot;:15615934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35150" w:rsidRPr="00335150" w:rsidRDefault="00335150" w:rsidP="00335150">
                          <w:pPr>
                            <w:spacing w:after="0"/>
                            <w:rPr>
                              <w:rFonts w:ascii="Rockwell" w:hAnsi="Rockwell"/>
                              <w:color w:val="0078D7"/>
                              <w:sz w:val="18"/>
                            </w:rPr>
                          </w:pPr>
                          <w:r w:rsidRPr="00335150">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86a54f69b5e80aa04febc39b" o:spid="_x0000_s1026" type="#_x0000_t202" alt="{&quot;HashCode&quot;:1561593418,&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" o:allowincell="f" filled="f" stroked="f" strokeweight=".5pt">
              <v:fill o:detectmouseclick="t"/>
              <v:textbox inset="20pt,0,,0">
                <w:txbxContent>
                  <w:p w:rsidR="00335150" w:rsidRPr="00335150" w:rsidRDefault="00335150" w:rsidP="00335150">
                    <w:pPr>
                      <w:spacing w:after="0"/>
                      <w:rPr>
                        <w:rFonts w:ascii="Rockwell" w:hAnsi="Rockwell"/>
                        <w:color w:val="0078D7"/>
                        <w:sz w:val="18"/>
                      </w:rPr>
                    </w:pPr>
                    <w:r w:rsidRPr="00335150">
                      <w:rPr>
                        <w:rFonts w:ascii="Rockwell" w:hAnsi="Rockwell"/>
                        <w:color w:val="0078D7"/>
                        <w:sz w:val="18"/>
                      </w:rPr>
                      <w:t>Information Classification: General</w:t>
                    </w:r>
                  </w:p>
                </w:txbxContent>
              </v:textbox>
              <w10:wrap anchorx="page" anchory="page"/>
            </v:shape>
          </w:pict>
        </mc:Fallback>
      </mc:AlternateContent>
    </w:r>
    <w:r>
      <w:rPr>
        <w:rStyle w:val="PageNumber"/>
      </w:rPr>
      <w:fldChar w:fldCharType="begin"/>
    </w:r>
    <w:r>
      <w:rPr>
        <w:rStyle w:val="PageNumber"/>
      </w:rPr>
      <w:instrText xml:space="preserve">PAGE  </w:instrText>
    </w:r>
    <w:r>
      <w:rPr>
        <w:rStyle w:val="PageNumber"/>
      </w:rPr>
      <w:fldChar w:fldCharType="separate"/>
    </w:r>
    <w:r>
      <w:rPr>
        <w:rStyle w:val="PageNumber"/>
        <w:noProof/>
      </w:rPr>
      <w:t>45</w:t>
    </w:r>
    <w:r>
      <w:rPr>
        <w:rStyle w:val="PageNumber"/>
      </w:rPr>
      <w:fldChar w:fldCharType="end"/>
    </w:r>
  </w:p>
  <w:p w:rsidR="00E67C75" w:rsidRDefault="00335150" w:rsidP="00BF04F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150" w:rsidRDefault="00335150">
    <w:pPr>
      <w:pStyle w:val="Footer"/>
    </w:pPr>
    <w:r>
      <w:rPr>
        <w:noProof/>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9601200</wp:posOffset>
              </wp:positionV>
              <wp:extent cx="7772400" cy="266700"/>
              <wp:effectExtent l="0" t="0" r="0" b="0"/>
              <wp:wrapNone/>
              <wp:docPr id="2" name="MSIPCM0ea14f4dbe7320ffd847028a" descr="{&quot;HashCode&quot;:15615934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35150" w:rsidRPr="00335150" w:rsidRDefault="00335150" w:rsidP="00335150">
                          <w:pPr>
                            <w:spacing w:after="0"/>
                            <w:rPr>
                              <w:rFonts w:ascii="Rockwell" w:hAnsi="Rockwell"/>
                              <w:color w:val="0078D7"/>
                              <w:sz w:val="18"/>
                            </w:rPr>
                          </w:pPr>
                          <w:r w:rsidRPr="00335150">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ea14f4dbe7320ffd847028a" o:spid="_x0000_s1027" type="#_x0000_t202" alt="{&quot;HashCode&quot;:1561593418,&quot;Height&quot;:792.0,&quot;Width&quot;:612.0,&quot;Placement&quot;:&quot;Footer&quot;,&quot;Index&quot;:&quot;FirstPage&quot;,&quot;Section&quot;:1,&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" o:allowincell="f" filled="f" stroked="f" strokeweight=".5pt">
              <v:fill o:detectmouseclick="t"/>
              <v:textbox inset="20pt,0,,0">
                <w:txbxContent>
                  <w:p w:rsidR="00335150" w:rsidRPr="00335150" w:rsidRDefault="00335150" w:rsidP="00335150">
                    <w:pPr>
                      <w:spacing w:after="0"/>
                      <w:rPr>
                        <w:rFonts w:ascii="Rockwell" w:hAnsi="Rockwell"/>
                        <w:color w:val="0078D7"/>
                        <w:sz w:val="18"/>
                      </w:rPr>
                    </w:pPr>
                    <w:r w:rsidRPr="00335150">
                      <w:rPr>
                        <w:rFonts w:ascii="Rockwell" w:hAnsi="Rockwell"/>
                        <w:color w:val="0078D7"/>
                        <w:sz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150" w:rsidRDefault="00335150" w:rsidP="00335150">
      <w:pPr>
        <w:spacing w:after="0"/>
      </w:pPr>
      <w:r>
        <w:separator/>
      </w:r>
    </w:p>
  </w:footnote>
  <w:footnote w:type="continuationSeparator" w:id="0">
    <w:p w:rsidR="00335150" w:rsidRDefault="00335150" w:rsidP="003351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150" w:rsidRDefault="003351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150" w:rsidRDefault="003351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5150" w:rsidRDefault="003351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150"/>
    <w:rsid w:val="00335150"/>
    <w:rsid w:val="00E36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E126C14-A437-40CE-9C62-BAA8F735C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5150"/>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35150"/>
    <w:pPr>
      <w:tabs>
        <w:tab w:val="center" w:pos="4320"/>
        <w:tab w:val="right" w:pos="8640"/>
      </w:tabs>
      <w:spacing w:after="0"/>
    </w:pPr>
  </w:style>
  <w:style w:type="character" w:customStyle="1" w:styleId="FooterChar">
    <w:name w:val="Footer Char"/>
    <w:basedOn w:val="DefaultParagraphFont"/>
    <w:link w:val="Footer"/>
    <w:uiPriority w:val="99"/>
    <w:rsid w:val="00335150"/>
    <w:rPr>
      <w:sz w:val="24"/>
      <w:szCs w:val="24"/>
    </w:rPr>
  </w:style>
  <w:style w:type="character" w:styleId="PageNumber">
    <w:name w:val="page number"/>
    <w:basedOn w:val="DefaultParagraphFont"/>
    <w:uiPriority w:val="99"/>
    <w:semiHidden/>
    <w:unhideWhenUsed/>
    <w:rsid w:val="00335150"/>
  </w:style>
  <w:style w:type="character" w:styleId="LineNumber">
    <w:name w:val="line number"/>
    <w:basedOn w:val="DefaultParagraphFont"/>
    <w:uiPriority w:val="99"/>
    <w:semiHidden/>
    <w:unhideWhenUsed/>
    <w:rsid w:val="00335150"/>
  </w:style>
  <w:style w:type="paragraph" w:styleId="Header">
    <w:name w:val="header"/>
    <w:basedOn w:val="Normal"/>
    <w:link w:val="HeaderChar"/>
    <w:uiPriority w:val="99"/>
    <w:unhideWhenUsed/>
    <w:rsid w:val="00335150"/>
    <w:pPr>
      <w:tabs>
        <w:tab w:val="center" w:pos="4680"/>
        <w:tab w:val="right" w:pos="9360"/>
      </w:tabs>
      <w:spacing w:after="0"/>
    </w:pPr>
  </w:style>
  <w:style w:type="character" w:customStyle="1" w:styleId="HeaderChar">
    <w:name w:val="Header Char"/>
    <w:basedOn w:val="DefaultParagraphFont"/>
    <w:link w:val="Header"/>
    <w:uiPriority w:val="99"/>
    <w:rsid w:val="003351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Gedney, Amanda</dc:creator>
  <cp:keywords/>
  <dc:description/>
  <cp:lastModifiedBy>Gedney, Amanda</cp:lastModifiedBy>
  <cp:revision>1</cp:revision>
  <dcterms:created xsi:type="dcterms:W3CDTF">2019-09-18T19:34:00Z</dcterms:created>
  <dcterms:modified xsi:type="dcterms:W3CDTF">2019-09-18T19:34:00Z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81c070e-054b-4d1c-ba4c-fc70b099192e_Enabled">
    <vt:lpwstr>True</vt:lpwstr>
  </property>
  <property fmtid="{D5CDD505-2E9C-101B-9397-08002B2CF9AE}" pid="3" name="MSIP_Label_181c070e-054b-4d1c-ba4c-fc70b099192e_SiteId">
    <vt:lpwstr>2567d566-604c-408a-8a60-55d0dc9d9d6b</vt:lpwstr>
  </property>
  <property fmtid="{D5CDD505-2E9C-101B-9397-08002B2CF9AE}" pid="4" name="MSIP_Label_181c070e-054b-4d1c-ba4c-fc70b099192e_Owner">
    <vt:lpwstr>Amanda.Gedney@informa.com</vt:lpwstr>
  </property>
  <property fmtid="{D5CDD505-2E9C-101B-9397-08002B2CF9AE}" pid="5" name="MSIP_Label_181c070e-054b-4d1c-ba4c-fc70b099192e_SetDate">
    <vt:lpwstr>2019-09-18T19:34:32.5838151Z</vt:lpwstr>
  </property>
  <property fmtid="{D5CDD505-2E9C-101B-9397-08002B2CF9AE}" pid="6" name="MSIP_Label_181c070e-054b-4d1c-ba4c-fc70b099192e_Name">
    <vt:lpwstr>General</vt:lpwstr>
  </property>
  <property fmtid="{D5CDD505-2E9C-101B-9397-08002B2CF9AE}" pid="7" name="MSIP_Label_181c070e-054b-4d1c-ba4c-fc70b099192e_Application">
    <vt:lpwstr>Microsoft Azure Information Protection</vt:lpwstr>
  </property>
  <property fmtid="{D5CDD505-2E9C-101B-9397-08002B2CF9AE}" pid="8" name="MSIP_Label_181c070e-054b-4d1c-ba4c-fc70b099192e_ActionId">
    <vt:lpwstr>c3e3d429-06fe-4e70-a17b-c2e1393cc391</vt:lpwstr>
  </property>
  <property fmtid="{D5CDD505-2E9C-101B-9397-08002B2CF9AE}" pid="9" name="MSIP_Label_181c070e-054b-4d1c-ba4c-fc70b099192e_Extended_MSFT_Method">
    <vt:lpwstr>Automatic</vt:lpwstr>
  </property>
  <property fmtid="{D5CDD505-2E9C-101B-9397-08002B2CF9AE}" pid="10" name="MSIP_Label_2bbab825-a111-45e4-86a1-18cee0005896_Enabled">
    <vt:lpwstr>True</vt:lpwstr>
  </property>
  <property fmtid="{D5CDD505-2E9C-101B-9397-08002B2CF9AE}" pid="11" name="MSIP_Label_2bbab825-a111-45e4-86a1-18cee0005896_SiteId">
    <vt:lpwstr>2567d566-604c-408a-8a60-55d0dc9d9d6b</vt:lpwstr>
  </property>
  <property fmtid="{D5CDD505-2E9C-101B-9397-08002B2CF9AE}" pid="12" name="MSIP_Label_2bbab825-a111-45e4-86a1-18cee0005896_Owner">
    <vt:lpwstr>Amanda.Gedney@informa.com</vt:lpwstr>
  </property>
  <property fmtid="{D5CDD505-2E9C-101B-9397-08002B2CF9AE}" pid="13" name="MSIP_Label_2bbab825-a111-45e4-86a1-18cee0005896_SetDate">
    <vt:lpwstr>2019-09-18T19:34:32.5838151Z</vt:lpwstr>
  </property>
  <property fmtid="{D5CDD505-2E9C-101B-9397-08002B2CF9AE}" pid="14" name="MSIP_Label_2bbab825-a111-45e4-86a1-18cee0005896_Name">
    <vt:lpwstr>Un-restricted</vt:lpwstr>
  </property>
  <property fmtid="{D5CDD505-2E9C-101B-9397-08002B2CF9AE}" pid="15" name="MSIP_Label_2bbab825-a111-45e4-86a1-18cee0005896_Application">
    <vt:lpwstr>Microsoft Azure Information Protection</vt:lpwstr>
  </property>
  <property fmtid="{D5CDD505-2E9C-101B-9397-08002B2CF9AE}" pid="16" name="MSIP_Label_2bbab825-a111-45e4-86a1-18cee0005896_ActionId">
    <vt:lpwstr>c3e3d429-06fe-4e70-a17b-c2e1393cc391</vt:lpwstr>
  </property>
  <property fmtid="{D5CDD505-2E9C-101B-9397-08002B2CF9AE}" pid="17" name="MSIP_Label_2bbab825-a111-45e4-86a1-18cee0005896_Parent">
    <vt:lpwstr>181c070e-054b-4d1c-ba4c-fc70b099192e</vt:lpwstr>
  </property>
  <property fmtid="{D5CDD505-2E9C-101B-9397-08002B2CF9AE}" pid="18" name="MSIP_Label_2bbab825-a111-45e4-86a1-18cee0005896_Extended_MSFT_Method">
    <vt:lpwstr>Automatic</vt:lpwstr>
  </property>
  <property fmtid="{D5CDD505-2E9C-101B-9397-08002B2CF9AE}" pid="19" name="Sensitivity">
    <vt:lpwstr>General Un-restricted</vt:lpwstr>
  </property>
</Properties>
</file>